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theme/themeOverride3.xml" ContentType="application/vnd.openxmlformats-officedocument.themeOverride+xml"/>
  <Override PartName="/word/charts/chart8.xml" ContentType="application/vnd.openxmlformats-officedocument.drawingml.chart+xml"/>
  <Override PartName="/word/theme/themeOverride4.xml" ContentType="application/vnd.openxmlformats-officedocument.themeOverride+xml"/>
  <Override PartName="/word/drawings/drawing1.xml" ContentType="application/vnd.openxmlformats-officedocument.drawingml.chartshapes+xml"/>
  <Override PartName="/word/charts/chart9.xml" ContentType="application/vnd.openxmlformats-officedocument.drawingml.chart+xml"/>
  <Override PartName="/word/theme/themeOverride5.xml" ContentType="application/vnd.openxmlformats-officedocument.themeOverride+xml"/>
  <Override PartName="/word/charts/chart10.xml" ContentType="application/vnd.openxmlformats-officedocument.drawingml.chart+xml"/>
  <Override PartName="/word/theme/themeOverride6.xml" ContentType="application/vnd.openxmlformats-officedocument.themeOverride+xml"/>
  <Override PartName="/word/charts/chart11.xml" ContentType="application/vnd.openxmlformats-officedocument.drawingml.chart+xml"/>
  <Override PartName="/word/theme/themeOverride7.xml" ContentType="application/vnd.openxmlformats-officedocument.themeOverride+xml"/>
  <Override PartName="/word/charts/chart12.xml" ContentType="application/vnd.openxmlformats-officedocument.drawingml.chart+xml"/>
  <Override PartName="/word/theme/themeOverride8.xml" ContentType="application/vnd.openxmlformats-officedocument.themeOverride+xml"/>
  <Override PartName="/word/charts/chart13.xml" ContentType="application/vnd.openxmlformats-officedocument.drawingml.chart+xml"/>
  <Override PartName="/word/theme/themeOverride9.xml" ContentType="application/vnd.openxmlformats-officedocument.themeOverride+xml"/>
  <Override PartName="/word/charts/chart14.xml" ContentType="application/vnd.openxmlformats-officedocument.drawingml.chart+xml"/>
  <Override PartName="/word/theme/themeOverride10.xml" ContentType="application/vnd.openxmlformats-officedocument.themeOverride+xml"/>
  <Override PartName="/word/charts/chart15.xml" ContentType="application/vnd.openxmlformats-officedocument.drawingml.chart+xml"/>
  <Override PartName="/word/theme/themeOverride11.xml" ContentType="application/vnd.openxmlformats-officedocument.themeOverride+xml"/>
  <Override PartName="/word/charts/chart16.xml" ContentType="application/vnd.openxmlformats-officedocument.drawingml.chart+xml"/>
  <Override PartName="/word/theme/themeOverride12.xml" ContentType="application/vnd.openxmlformats-officedocument.themeOverride+xml"/>
  <Override PartName="/word/charts/chart1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18.xml" ContentType="application/vnd.openxmlformats-officedocument.drawingml.chart+xml"/>
  <Override PartName="/word/theme/themeOverride13.xml" ContentType="application/vnd.openxmlformats-officedocument.themeOverride+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charts/chart19.xml" ContentType="application/vnd.openxmlformats-officedocument.drawingml.chart+xml"/>
  <Override PartName="/word/charts/style6.xml" ContentType="application/vnd.ms-office.chartstyle+xml"/>
  <Override PartName="/word/charts/colors6.xml" ContentType="application/vnd.ms-office.chartcolorstyle+xml"/>
  <Override PartName="/word/header11.xml" ContentType="application/vnd.openxmlformats-officedocument.wordprocessingml.header+xml"/>
  <Override PartName="/word/header1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header20.xml" ContentType="application/vnd.openxmlformats-officedocument.wordprocessingml.header+xml"/>
  <Override PartName="/word/header21.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header24.xml" ContentType="application/vnd.openxmlformats-officedocument.wordprocessingml.header+xml"/>
  <Override PartName="/word/header25.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7.xml" ContentType="application/vnd.openxmlformats-officedocument.wordprocessingml.header+xml"/>
  <Override PartName="/word/footer24.xml" ContentType="application/vnd.openxmlformats-officedocument.wordprocessingml.footer+xml"/>
  <Override PartName="/word/header28.xml" ContentType="application/vnd.openxmlformats-officedocument.wordprocessingml.head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F3E02EA" w14:textId="154EFBCD" w:rsidR="00492D5F" w:rsidRPr="00655FC7" w:rsidRDefault="00492D5F" w:rsidP="00492D5F">
      <w:pPr>
        <w:ind w:left="-284" w:hanging="426"/>
        <w:rPr>
          <w:rFonts w:cstheme="minorHAnsi"/>
        </w:rPr>
      </w:pPr>
      <w:bookmarkStart w:id="0" w:name="_Toc434322028"/>
      <w:bookmarkStart w:id="1" w:name="_Toc21085168"/>
    </w:p>
    <w:p w14:paraId="49029869" w14:textId="77777777" w:rsidR="00492D5F" w:rsidRPr="00655FC7" w:rsidRDefault="00492D5F" w:rsidP="00492D5F">
      <w:pPr>
        <w:ind w:left="-284" w:hanging="426"/>
        <w:rPr>
          <w:rFonts w:cstheme="minorHAnsi"/>
        </w:rPr>
      </w:pPr>
    </w:p>
    <w:p w14:paraId="039DD6FB" w14:textId="77777777" w:rsidR="00492D5F" w:rsidRPr="00655FC7" w:rsidRDefault="00492D5F" w:rsidP="00492D5F">
      <w:pPr>
        <w:ind w:left="-284" w:hanging="426"/>
        <w:rPr>
          <w:rFonts w:cstheme="minorHAnsi"/>
        </w:rPr>
      </w:pPr>
    </w:p>
    <w:p w14:paraId="594CFEB3" w14:textId="77777777" w:rsidR="00492D5F" w:rsidRPr="00655FC7" w:rsidRDefault="00492D5F" w:rsidP="00492D5F">
      <w:pPr>
        <w:ind w:left="-284" w:hanging="426"/>
        <w:rPr>
          <w:rFonts w:cstheme="minorHAnsi"/>
        </w:rPr>
      </w:pPr>
    </w:p>
    <w:p w14:paraId="79D3F69C" w14:textId="77777777" w:rsidR="00492D5F" w:rsidRPr="00655FC7" w:rsidRDefault="00492D5F" w:rsidP="00492D5F">
      <w:pPr>
        <w:ind w:left="-284" w:hanging="426"/>
        <w:rPr>
          <w:rFonts w:cstheme="minorHAnsi"/>
        </w:rPr>
      </w:pPr>
    </w:p>
    <w:p w14:paraId="53A8B9DA" w14:textId="77777777" w:rsidR="00492D5F" w:rsidRPr="00655FC7" w:rsidRDefault="00492D5F" w:rsidP="00492D5F">
      <w:pPr>
        <w:ind w:left="-284" w:hanging="426"/>
        <w:rPr>
          <w:rFonts w:cstheme="minorHAnsi"/>
        </w:rPr>
      </w:pPr>
    </w:p>
    <w:p w14:paraId="0AEED1B7" w14:textId="77777777" w:rsidR="00492D5F" w:rsidRPr="00655FC7" w:rsidRDefault="00492D5F" w:rsidP="00492D5F">
      <w:pPr>
        <w:ind w:left="-284" w:hanging="426"/>
        <w:rPr>
          <w:rFonts w:cstheme="minorHAnsi"/>
        </w:rPr>
      </w:pPr>
    </w:p>
    <w:p w14:paraId="06F01414" w14:textId="77777777" w:rsidR="00492D5F" w:rsidRPr="00655FC7" w:rsidRDefault="00492D5F" w:rsidP="00492D5F">
      <w:pPr>
        <w:ind w:left="-284" w:hanging="426"/>
        <w:rPr>
          <w:rFonts w:cstheme="minorHAnsi"/>
        </w:rPr>
      </w:pPr>
    </w:p>
    <w:p w14:paraId="433EF864" w14:textId="77777777" w:rsidR="00492D5F" w:rsidRPr="00655FC7" w:rsidRDefault="00492D5F" w:rsidP="00492D5F">
      <w:pPr>
        <w:ind w:left="-284" w:hanging="426"/>
        <w:rPr>
          <w:rFonts w:cstheme="minorHAnsi"/>
        </w:rPr>
      </w:pPr>
    </w:p>
    <w:p w14:paraId="61CBE5D9" w14:textId="77777777" w:rsidR="00492D5F" w:rsidRPr="00655FC7" w:rsidRDefault="00492D5F" w:rsidP="00492D5F">
      <w:pPr>
        <w:ind w:left="-284" w:hanging="426"/>
        <w:rPr>
          <w:rFonts w:cstheme="minorHAnsi"/>
        </w:rPr>
      </w:pPr>
    </w:p>
    <w:p w14:paraId="663DA7A5" w14:textId="77777777" w:rsidR="00492D5F" w:rsidRPr="00655FC7" w:rsidRDefault="00492D5F" w:rsidP="00492D5F">
      <w:pPr>
        <w:ind w:left="-284" w:hanging="426"/>
        <w:rPr>
          <w:rFonts w:cstheme="minorHAnsi"/>
        </w:rPr>
      </w:pPr>
    </w:p>
    <w:p w14:paraId="665561C5" w14:textId="5D645CBF" w:rsidR="00492D5F" w:rsidRPr="00655FC7" w:rsidRDefault="00240F36" w:rsidP="00492D5F">
      <w:pPr>
        <w:ind w:left="-284" w:hanging="426"/>
        <w:rPr>
          <w:rFonts w:cstheme="minorHAnsi"/>
        </w:rPr>
      </w:pPr>
      <w:r w:rsidRPr="00655FC7">
        <w:rPr>
          <w:rFonts w:cstheme="minorHAnsi"/>
          <w:noProof/>
        </w:rPr>
        <w:drawing>
          <wp:anchor distT="0" distB="0" distL="114300" distR="114300" simplePos="0" relativeHeight="251680768" behindDoc="1" locked="0" layoutInCell="1" allowOverlap="1" wp14:anchorId="6E46E7FF" wp14:editId="1863CAB2">
            <wp:simplePos x="0" y="0"/>
            <wp:positionH relativeFrom="column">
              <wp:posOffset>-180340</wp:posOffset>
            </wp:positionH>
            <wp:positionV relativeFrom="paragraph">
              <wp:posOffset>-2156460</wp:posOffset>
            </wp:positionV>
            <wp:extent cx="7560000" cy="10693412"/>
            <wp:effectExtent l="0" t="0" r="3175" b="0"/>
            <wp:wrapNone/>
            <wp:docPr id="421181047" name="Obraz 1" descr="Obraz zawierający tekst, zrzut ekranu,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181047" name="Obraz 1" descr="Obraz zawierający tekst, zrzut ekranu, mapa&#10;&#10;Opis wygenerowany automatycznie"/>
                    <pic:cNvPicPr/>
                  </pic:nvPicPr>
                  <pic:blipFill>
                    <a:blip r:embed="rId8">
                      <a:extLst>
                        <a:ext uri="{28A0092B-C50C-407E-A947-70E740481C1C}">
                          <a14:useLocalDpi xmlns:a14="http://schemas.microsoft.com/office/drawing/2010/main" val="0"/>
                        </a:ext>
                      </a:extLst>
                    </a:blip>
                    <a:stretch>
                      <a:fillRect/>
                    </a:stretch>
                  </pic:blipFill>
                  <pic:spPr>
                    <a:xfrm>
                      <a:off x="0" y="0"/>
                      <a:ext cx="7560000" cy="10693412"/>
                    </a:xfrm>
                    <a:prstGeom prst="rect">
                      <a:avLst/>
                    </a:prstGeom>
                  </pic:spPr>
                </pic:pic>
              </a:graphicData>
            </a:graphic>
            <wp14:sizeRelH relativeFrom="page">
              <wp14:pctWidth>0</wp14:pctWidth>
            </wp14:sizeRelH>
            <wp14:sizeRelV relativeFrom="page">
              <wp14:pctHeight>0</wp14:pctHeight>
            </wp14:sizeRelV>
          </wp:anchor>
        </w:drawing>
      </w:r>
    </w:p>
    <w:p w14:paraId="7494B3EE" w14:textId="77777777" w:rsidR="00492D5F" w:rsidRPr="00655FC7" w:rsidRDefault="00492D5F" w:rsidP="00492D5F">
      <w:pPr>
        <w:ind w:left="-284" w:hanging="426"/>
        <w:rPr>
          <w:rFonts w:cstheme="minorHAnsi"/>
        </w:rPr>
      </w:pPr>
    </w:p>
    <w:p w14:paraId="07C7AAD9" w14:textId="77777777" w:rsidR="00492D5F" w:rsidRPr="00655FC7" w:rsidRDefault="00492D5F" w:rsidP="00492D5F">
      <w:pPr>
        <w:ind w:left="-284" w:hanging="426"/>
        <w:rPr>
          <w:rFonts w:cstheme="minorHAnsi"/>
        </w:rPr>
      </w:pPr>
    </w:p>
    <w:p w14:paraId="11F20434" w14:textId="77777777" w:rsidR="00492D5F" w:rsidRPr="00655FC7" w:rsidRDefault="00492D5F" w:rsidP="00492D5F">
      <w:pPr>
        <w:ind w:left="-284" w:hanging="426"/>
        <w:rPr>
          <w:rFonts w:cstheme="minorHAnsi"/>
        </w:rPr>
      </w:pPr>
    </w:p>
    <w:p w14:paraId="0C97E94E" w14:textId="77777777" w:rsidR="00492D5F" w:rsidRPr="00655FC7" w:rsidRDefault="00492D5F" w:rsidP="00492D5F">
      <w:pPr>
        <w:ind w:left="-284" w:hanging="426"/>
        <w:rPr>
          <w:rFonts w:cstheme="minorHAnsi"/>
        </w:rPr>
      </w:pPr>
    </w:p>
    <w:p w14:paraId="3ADE0178" w14:textId="77777777" w:rsidR="00492D5F" w:rsidRPr="00655FC7" w:rsidRDefault="00492D5F" w:rsidP="00492D5F">
      <w:pPr>
        <w:ind w:left="-284" w:hanging="426"/>
        <w:rPr>
          <w:rFonts w:cstheme="minorHAnsi"/>
        </w:rPr>
      </w:pPr>
    </w:p>
    <w:p w14:paraId="71EB31E8" w14:textId="77777777" w:rsidR="00492D5F" w:rsidRPr="00655FC7" w:rsidRDefault="00492D5F" w:rsidP="00492D5F">
      <w:pPr>
        <w:ind w:left="-284" w:hanging="426"/>
        <w:rPr>
          <w:rFonts w:cstheme="minorHAnsi"/>
        </w:rPr>
      </w:pPr>
    </w:p>
    <w:p w14:paraId="66E67EE6" w14:textId="77777777" w:rsidR="00492D5F" w:rsidRPr="00655FC7" w:rsidRDefault="00492D5F" w:rsidP="00492D5F">
      <w:pPr>
        <w:ind w:left="-284" w:hanging="426"/>
        <w:rPr>
          <w:rFonts w:cstheme="minorHAnsi"/>
        </w:rPr>
      </w:pPr>
    </w:p>
    <w:p w14:paraId="339F33DE" w14:textId="77777777" w:rsidR="00492D5F" w:rsidRPr="00655FC7" w:rsidRDefault="00492D5F" w:rsidP="00492D5F">
      <w:pPr>
        <w:ind w:left="-284" w:hanging="426"/>
        <w:rPr>
          <w:rFonts w:cstheme="minorHAnsi"/>
        </w:rPr>
      </w:pPr>
    </w:p>
    <w:p w14:paraId="7D959E37" w14:textId="77777777" w:rsidR="00492D5F" w:rsidRPr="00655FC7" w:rsidRDefault="00492D5F" w:rsidP="00492D5F">
      <w:pPr>
        <w:ind w:left="-284" w:hanging="426"/>
        <w:rPr>
          <w:rFonts w:cstheme="minorHAnsi"/>
        </w:rPr>
      </w:pPr>
    </w:p>
    <w:p w14:paraId="6FE3AAA0" w14:textId="77777777" w:rsidR="00492D5F" w:rsidRPr="00655FC7" w:rsidRDefault="00492D5F" w:rsidP="00492D5F">
      <w:pPr>
        <w:ind w:left="-284" w:hanging="426"/>
        <w:rPr>
          <w:rFonts w:cstheme="minorHAnsi"/>
        </w:rPr>
      </w:pPr>
    </w:p>
    <w:p w14:paraId="0C15A5B4" w14:textId="77777777" w:rsidR="00492D5F" w:rsidRPr="00655FC7" w:rsidRDefault="00492D5F" w:rsidP="00492D5F">
      <w:pPr>
        <w:ind w:left="-284" w:hanging="426"/>
        <w:rPr>
          <w:rFonts w:cstheme="minorHAnsi"/>
        </w:rPr>
      </w:pPr>
    </w:p>
    <w:p w14:paraId="35829B52" w14:textId="77777777" w:rsidR="00492D5F" w:rsidRPr="00655FC7" w:rsidRDefault="00492D5F" w:rsidP="00492D5F">
      <w:pPr>
        <w:ind w:left="-284" w:hanging="426"/>
        <w:rPr>
          <w:rFonts w:cstheme="minorHAnsi"/>
        </w:rPr>
      </w:pPr>
    </w:p>
    <w:p w14:paraId="6E8D63B7" w14:textId="77777777" w:rsidR="00492D5F" w:rsidRPr="00655FC7" w:rsidRDefault="00492D5F" w:rsidP="00492D5F">
      <w:pPr>
        <w:ind w:left="-284" w:hanging="426"/>
        <w:rPr>
          <w:rFonts w:cstheme="minorHAnsi"/>
        </w:rPr>
      </w:pPr>
    </w:p>
    <w:p w14:paraId="413755E5" w14:textId="77777777" w:rsidR="00492D5F" w:rsidRPr="00655FC7" w:rsidRDefault="00492D5F" w:rsidP="00492D5F">
      <w:pPr>
        <w:ind w:left="-284" w:hanging="426"/>
        <w:rPr>
          <w:rFonts w:cstheme="minorHAnsi"/>
        </w:rPr>
      </w:pPr>
    </w:p>
    <w:p w14:paraId="02E71A1F" w14:textId="77777777" w:rsidR="00492D5F" w:rsidRPr="00655FC7" w:rsidRDefault="00492D5F" w:rsidP="00492D5F">
      <w:pPr>
        <w:ind w:left="-284" w:hanging="426"/>
        <w:rPr>
          <w:rFonts w:cstheme="minorHAnsi"/>
        </w:rPr>
      </w:pPr>
    </w:p>
    <w:p w14:paraId="76E1C843" w14:textId="77777777" w:rsidR="00492D5F" w:rsidRPr="00655FC7" w:rsidRDefault="00492D5F" w:rsidP="00492D5F">
      <w:pPr>
        <w:ind w:left="-284" w:hanging="426"/>
        <w:rPr>
          <w:rFonts w:cstheme="minorHAnsi"/>
        </w:rPr>
      </w:pPr>
    </w:p>
    <w:p w14:paraId="4ECCAA9A" w14:textId="77777777" w:rsidR="00492D5F" w:rsidRPr="00655FC7" w:rsidRDefault="00492D5F" w:rsidP="00492D5F">
      <w:pPr>
        <w:ind w:left="-284" w:hanging="426"/>
        <w:rPr>
          <w:rFonts w:cstheme="minorHAnsi"/>
        </w:rPr>
      </w:pPr>
    </w:p>
    <w:p w14:paraId="1CB9B4E2" w14:textId="77777777" w:rsidR="00492D5F" w:rsidRPr="00655FC7" w:rsidRDefault="00492D5F" w:rsidP="00492D5F">
      <w:pPr>
        <w:ind w:left="-284" w:hanging="426"/>
        <w:rPr>
          <w:rFonts w:cstheme="minorHAnsi"/>
        </w:rPr>
      </w:pPr>
    </w:p>
    <w:p w14:paraId="1B5CFAE6" w14:textId="77777777" w:rsidR="00492D5F" w:rsidRPr="00655FC7" w:rsidRDefault="00492D5F" w:rsidP="00492D5F">
      <w:pPr>
        <w:ind w:left="-284" w:hanging="426"/>
        <w:rPr>
          <w:rFonts w:cstheme="minorHAnsi"/>
        </w:rPr>
      </w:pPr>
    </w:p>
    <w:p w14:paraId="59121741" w14:textId="77777777" w:rsidR="00492D5F" w:rsidRPr="00655FC7" w:rsidRDefault="00492D5F" w:rsidP="00492D5F">
      <w:pPr>
        <w:ind w:left="-284" w:hanging="426"/>
        <w:rPr>
          <w:rFonts w:cstheme="minorHAnsi"/>
        </w:rPr>
      </w:pPr>
    </w:p>
    <w:p w14:paraId="26130051" w14:textId="77777777" w:rsidR="00492D5F" w:rsidRPr="00655FC7" w:rsidRDefault="00492D5F" w:rsidP="00492D5F">
      <w:pPr>
        <w:ind w:left="-284" w:hanging="426"/>
        <w:rPr>
          <w:rFonts w:cstheme="minorHAnsi"/>
        </w:rPr>
      </w:pPr>
    </w:p>
    <w:p w14:paraId="41FFE5E3" w14:textId="77777777" w:rsidR="00492D5F" w:rsidRPr="00655FC7" w:rsidRDefault="00492D5F" w:rsidP="00492D5F">
      <w:pPr>
        <w:ind w:left="-284" w:hanging="426"/>
        <w:rPr>
          <w:rFonts w:cstheme="minorHAnsi"/>
        </w:rPr>
      </w:pPr>
    </w:p>
    <w:p w14:paraId="112313BA" w14:textId="77777777" w:rsidR="00492D5F" w:rsidRPr="00655FC7" w:rsidRDefault="00492D5F" w:rsidP="00492D5F">
      <w:pPr>
        <w:ind w:left="-284" w:hanging="426"/>
        <w:rPr>
          <w:rFonts w:cstheme="minorHAnsi"/>
        </w:rPr>
      </w:pPr>
    </w:p>
    <w:p w14:paraId="09B88D62" w14:textId="77777777" w:rsidR="00492D5F" w:rsidRPr="00655FC7" w:rsidRDefault="00492D5F" w:rsidP="00492D5F">
      <w:pPr>
        <w:ind w:left="-284" w:hanging="426"/>
        <w:rPr>
          <w:rFonts w:cstheme="minorHAnsi"/>
        </w:rPr>
      </w:pPr>
    </w:p>
    <w:p w14:paraId="08148EAB" w14:textId="77777777" w:rsidR="00492D5F" w:rsidRPr="00655FC7" w:rsidRDefault="00492D5F" w:rsidP="00492D5F">
      <w:pPr>
        <w:ind w:left="-284" w:hanging="426"/>
        <w:rPr>
          <w:rFonts w:cstheme="minorHAnsi"/>
        </w:rPr>
      </w:pPr>
    </w:p>
    <w:p w14:paraId="17B1F417" w14:textId="1166DAC7" w:rsidR="00492D5F" w:rsidRPr="00655FC7" w:rsidRDefault="00492D5F" w:rsidP="00492D5F">
      <w:pPr>
        <w:ind w:left="-284" w:hanging="426"/>
        <w:rPr>
          <w:rFonts w:cstheme="minorHAnsi"/>
        </w:rPr>
      </w:pPr>
    </w:p>
    <w:p w14:paraId="20EDD227" w14:textId="77777777" w:rsidR="00492D5F" w:rsidRPr="00655FC7" w:rsidRDefault="00492D5F" w:rsidP="00492D5F">
      <w:pPr>
        <w:ind w:left="-284" w:hanging="426"/>
        <w:rPr>
          <w:rFonts w:cstheme="minorHAnsi"/>
        </w:rPr>
      </w:pPr>
    </w:p>
    <w:p w14:paraId="5EA3D3B2" w14:textId="425267B3" w:rsidR="00492D5F" w:rsidRPr="00655FC7" w:rsidRDefault="00492D5F" w:rsidP="00492D5F">
      <w:pPr>
        <w:ind w:left="-284" w:hanging="426"/>
        <w:rPr>
          <w:rFonts w:cstheme="minorHAnsi"/>
        </w:rPr>
      </w:pPr>
    </w:p>
    <w:p w14:paraId="4DFD2FFA" w14:textId="77777777" w:rsidR="00492D5F" w:rsidRPr="00655FC7" w:rsidRDefault="00492D5F" w:rsidP="00492D5F">
      <w:pPr>
        <w:ind w:left="-284" w:hanging="426"/>
        <w:rPr>
          <w:rFonts w:cstheme="minorHAnsi"/>
        </w:rPr>
      </w:pPr>
    </w:p>
    <w:p w14:paraId="0CB11F32" w14:textId="7FFBBDCE" w:rsidR="00492D5F" w:rsidRPr="00655FC7" w:rsidRDefault="00492D5F" w:rsidP="00492D5F">
      <w:pPr>
        <w:spacing w:line="240" w:lineRule="auto"/>
        <w:ind w:firstLine="0"/>
        <w:jc w:val="left"/>
        <w:rPr>
          <w:rFonts w:eastAsia="Times New Roman" w:cstheme="minorHAnsi"/>
          <w:b/>
          <w:color w:val="auto"/>
          <w:spacing w:val="8"/>
          <w:kern w:val="3"/>
          <w:sz w:val="44"/>
          <w:szCs w:val="36"/>
        </w:rPr>
      </w:pPr>
      <w:bookmarkStart w:id="2" w:name="_Toc435525895"/>
    </w:p>
    <w:p w14:paraId="6FCCA609" w14:textId="77777777" w:rsidR="002C7D31" w:rsidRPr="00655FC7" w:rsidRDefault="002C7D31" w:rsidP="00492D5F">
      <w:pPr>
        <w:spacing w:line="240" w:lineRule="auto"/>
        <w:ind w:firstLine="0"/>
        <w:jc w:val="left"/>
        <w:rPr>
          <w:rFonts w:eastAsia="Times New Roman" w:cstheme="minorHAnsi"/>
          <w:b/>
          <w:color w:val="auto"/>
          <w:spacing w:val="8"/>
          <w:kern w:val="3"/>
          <w:sz w:val="44"/>
          <w:szCs w:val="36"/>
        </w:rPr>
        <w:sectPr w:rsidR="002C7D31" w:rsidRPr="00655FC7" w:rsidSect="006A4AE9">
          <w:headerReference w:type="even" r:id="rId9"/>
          <w:headerReference w:type="default" r:id="rId10"/>
          <w:footerReference w:type="even" r:id="rId11"/>
          <w:footerReference w:type="default" r:id="rId12"/>
          <w:type w:val="continuous"/>
          <w:pgSz w:w="11906" w:h="16838"/>
          <w:pgMar w:top="0" w:right="0" w:bottom="0" w:left="284" w:header="0" w:footer="709" w:gutter="0"/>
          <w:cols w:space="708"/>
          <w:titlePg/>
          <w:docGrid w:linePitch="360"/>
        </w:sectPr>
      </w:pPr>
    </w:p>
    <w:p w14:paraId="4ADCB531" w14:textId="3D647709" w:rsidR="00492D5F" w:rsidRPr="00655FC7" w:rsidRDefault="0080743C" w:rsidP="00492D5F">
      <w:pPr>
        <w:spacing w:line="240" w:lineRule="auto"/>
        <w:ind w:firstLine="0"/>
        <w:jc w:val="left"/>
        <w:rPr>
          <w:rFonts w:cstheme="minorHAnsi"/>
          <w:b/>
          <w:color w:val="auto"/>
          <w:sz w:val="30"/>
        </w:rPr>
      </w:pPr>
      <w:r w:rsidRPr="00655FC7">
        <w:rPr>
          <w:rFonts w:cstheme="minorHAnsi"/>
          <w:b/>
          <w:noProof/>
          <w:color w:val="auto"/>
          <w:sz w:val="30"/>
        </w:rPr>
        <w:lastRenderedPageBreak/>
        <w:drawing>
          <wp:anchor distT="0" distB="0" distL="114300" distR="114300" simplePos="0" relativeHeight="251673600" behindDoc="1" locked="0" layoutInCell="1" allowOverlap="1" wp14:anchorId="5237742D" wp14:editId="22C6034E">
            <wp:simplePos x="0" y="0"/>
            <wp:positionH relativeFrom="column">
              <wp:posOffset>-179705</wp:posOffset>
            </wp:positionH>
            <wp:positionV relativeFrom="paragraph">
              <wp:posOffset>0</wp:posOffset>
            </wp:positionV>
            <wp:extent cx="7533549" cy="10656000"/>
            <wp:effectExtent l="0" t="0" r="0" b="0"/>
            <wp:wrapNone/>
            <wp:docPr id="998905709" name="Obraz 2" descr="Obraz zawierający tekst, zrzut ekranu, Czcionka, log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905709" name="Obraz 2" descr="Obraz zawierający tekst, zrzut ekranu, Czcionka, logo&#10;&#10;Opis wygenerowany automatycznie"/>
                    <pic:cNvPicPr/>
                  </pic:nvPicPr>
                  <pic:blipFill>
                    <a:blip r:embed="rId13">
                      <a:extLst>
                        <a:ext uri="{28A0092B-C50C-407E-A947-70E740481C1C}">
                          <a14:useLocalDpi xmlns:a14="http://schemas.microsoft.com/office/drawing/2010/main" val="0"/>
                        </a:ext>
                      </a:extLst>
                    </a:blip>
                    <a:stretch>
                      <a:fillRect/>
                    </a:stretch>
                  </pic:blipFill>
                  <pic:spPr>
                    <a:xfrm>
                      <a:off x="0" y="0"/>
                      <a:ext cx="7533549" cy="10656000"/>
                    </a:xfrm>
                    <a:prstGeom prst="rect">
                      <a:avLst/>
                    </a:prstGeom>
                  </pic:spPr>
                </pic:pic>
              </a:graphicData>
            </a:graphic>
            <wp14:sizeRelH relativeFrom="page">
              <wp14:pctWidth>0</wp14:pctWidth>
            </wp14:sizeRelH>
            <wp14:sizeRelV relativeFrom="page">
              <wp14:pctHeight>0</wp14:pctHeight>
            </wp14:sizeRelV>
          </wp:anchor>
        </w:drawing>
      </w:r>
    </w:p>
    <w:p w14:paraId="101FE77B" w14:textId="77777777" w:rsidR="00492D5F" w:rsidRPr="00655FC7" w:rsidRDefault="00492D5F" w:rsidP="0080743C">
      <w:pPr>
        <w:tabs>
          <w:tab w:val="left" w:pos="3119"/>
        </w:tabs>
        <w:ind w:firstLine="0"/>
        <w:rPr>
          <w:rFonts w:cstheme="minorHAnsi"/>
          <w:color w:val="auto"/>
        </w:rPr>
        <w:sectPr w:rsidR="00492D5F" w:rsidRPr="00655FC7" w:rsidSect="006A4AE9">
          <w:pgSz w:w="11906" w:h="16838"/>
          <w:pgMar w:top="0" w:right="0" w:bottom="0" w:left="284" w:header="709" w:footer="709" w:gutter="0"/>
          <w:cols w:space="708"/>
          <w:titlePg/>
          <w:docGrid w:linePitch="360"/>
        </w:sectPr>
      </w:pPr>
    </w:p>
    <w:tbl>
      <w:tblPr>
        <w:tblW w:w="0" w:type="auto"/>
        <w:tblLayout w:type="fixed"/>
        <w:tblLook w:val="0000" w:firstRow="0" w:lastRow="0" w:firstColumn="0" w:lastColumn="0" w:noHBand="0" w:noVBand="0"/>
      </w:tblPr>
      <w:tblGrid>
        <w:gridCol w:w="9091"/>
      </w:tblGrid>
      <w:tr w:rsidR="00492D5F" w:rsidRPr="00655FC7" w14:paraId="226D81EF" w14:textId="77777777" w:rsidTr="00492D5F">
        <w:trPr>
          <w:trHeight w:val="80"/>
        </w:trPr>
        <w:tc>
          <w:tcPr>
            <w:tcW w:w="9091" w:type="dxa"/>
            <w:shd w:val="clear" w:color="auto" w:fill="auto"/>
          </w:tcPr>
          <w:p w14:paraId="33000285" w14:textId="77777777" w:rsidR="00492D5F" w:rsidRPr="00655FC7" w:rsidRDefault="00492D5F" w:rsidP="00492D5F">
            <w:pPr>
              <w:tabs>
                <w:tab w:val="left" w:pos="3119"/>
              </w:tabs>
              <w:rPr>
                <w:rFonts w:cstheme="minorHAnsi"/>
              </w:rPr>
            </w:pPr>
            <w:r w:rsidRPr="00655FC7">
              <w:rPr>
                <w:rFonts w:cstheme="minorHAnsi"/>
                <w:b/>
                <w:color w:val="3D732D"/>
                <w:sz w:val="26"/>
              </w:rPr>
              <w:lastRenderedPageBreak/>
              <w:t>SPIS TREŚCI</w:t>
            </w:r>
          </w:p>
        </w:tc>
      </w:tr>
    </w:tbl>
    <w:p w14:paraId="4F22BBD6" w14:textId="30F1C2AB" w:rsidR="004B5C8C" w:rsidRPr="004B5C8C" w:rsidRDefault="00492D5F" w:rsidP="004B5C8C">
      <w:pPr>
        <w:pStyle w:val="Spistreci1"/>
        <w:tabs>
          <w:tab w:val="left" w:pos="880"/>
        </w:tabs>
        <w:spacing w:after="0"/>
        <w:rPr>
          <w:rFonts w:eastAsiaTheme="minorEastAsia"/>
          <w:b w:val="0"/>
          <w:i w:val="0"/>
          <w:color w:val="auto"/>
          <w:kern w:val="2"/>
          <w:sz w:val="24"/>
          <w:szCs w:val="24"/>
          <w:lang w:eastAsia="pl-PL"/>
          <w14:ligatures w14:val="standardContextual"/>
        </w:rPr>
      </w:pPr>
      <w:r w:rsidRPr="004B5C8C">
        <w:rPr>
          <w:rFonts w:cstheme="minorHAnsi"/>
          <w:b w:val="0"/>
          <w:i w:val="0"/>
          <w:noProof w:val="0"/>
          <w:color w:val="auto"/>
        </w:rPr>
        <w:fldChar w:fldCharType="begin"/>
      </w:r>
      <w:r w:rsidRPr="004B5C8C">
        <w:rPr>
          <w:rFonts w:cstheme="minorHAnsi"/>
          <w:b w:val="0"/>
          <w:i w:val="0"/>
          <w:noProof w:val="0"/>
          <w:color w:val="auto"/>
        </w:rPr>
        <w:instrText xml:space="preserve"> TOC \o "1-3" \h \z \u </w:instrText>
      </w:r>
      <w:r w:rsidRPr="004B5C8C">
        <w:rPr>
          <w:rFonts w:cstheme="minorHAnsi"/>
          <w:b w:val="0"/>
          <w:i w:val="0"/>
          <w:noProof w:val="0"/>
          <w:color w:val="auto"/>
        </w:rPr>
        <w:fldChar w:fldCharType="separate"/>
      </w:r>
      <w:hyperlink w:anchor="_Toc177732022" w:history="1">
        <w:r w:rsidR="004B5C8C" w:rsidRPr="004B5C8C">
          <w:rPr>
            <w:rStyle w:val="Hipercze"/>
            <w:i w:val="0"/>
          </w:rPr>
          <w:t>1.</w:t>
        </w:r>
        <w:r w:rsidR="004B5C8C" w:rsidRPr="004B5C8C">
          <w:rPr>
            <w:rFonts w:eastAsiaTheme="minorEastAsia"/>
            <w:b w:val="0"/>
            <w:i w:val="0"/>
            <w:color w:val="auto"/>
            <w:kern w:val="2"/>
            <w:sz w:val="24"/>
            <w:szCs w:val="24"/>
            <w:lang w:eastAsia="pl-PL"/>
            <w14:ligatures w14:val="standardContextual"/>
          </w:rPr>
          <w:tab/>
        </w:r>
        <w:r w:rsidR="004B5C8C" w:rsidRPr="004B5C8C">
          <w:rPr>
            <w:rStyle w:val="Hipercze"/>
            <w:i w:val="0"/>
          </w:rPr>
          <w:t>Wykaz skrótów</w:t>
        </w:r>
        <w:r w:rsidR="004B5C8C" w:rsidRPr="004B5C8C">
          <w:rPr>
            <w:i w:val="0"/>
            <w:webHidden/>
          </w:rPr>
          <w:tab/>
        </w:r>
        <w:r w:rsidR="004B5C8C" w:rsidRPr="004B5C8C">
          <w:rPr>
            <w:i w:val="0"/>
            <w:webHidden/>
          </w:rPr>
          <w:fldChar w:fldCharType="begin"/>
        </w:r>
        <w:r w:rsidR="004B5C8C" w:rsidRPr="004B5C8C">
          <w:rPr>
            <w:i w:val="0"/>
            <w:webHidden/>
          </w:rPr>
          <w:instrText xml:space="preserve"> PAGEREF _Toc177732022 \h </w:instrText>
        </w:r>
        <w:r w:rsidR="004B5C8C" w:rsidRPr="004B5C8C">
          <w:rPr>
            <w:i w:val="0"/>
            <w:webHidden/>
          </w:rPr>
        </w:r>
        <w:r w:rsidR="004B5C8C" w:rsidRPr="004B5C8C">
          <w:rPr>
            <w:i w:val="0"/>
            <w:webHidden/>
          </w:rPr>
          <w:fldChar w:fldCharType="separate"/>
        </w:r>
        <w:r w:rsidR="00A654D8">
          <w:rPr>
            <w:i w:val="0"/>
            <w:webHidden/>
          </w:rPr>
          <w:t>5</w:t>
        </w:r>
        <w:r w:rsidR="004B5C8C" w:rsidRPr="004B5C8C">
          <w:rPr>
            <w:i w:val="0"/>
            <w:webHidden/>
          </w:rPr>
          <w:fldChar w:fldCharType="end"/>
        </w:r>
      </w:hyperlink>
    </w:p>
    <w:p w14:paraId="028CCF32" w14:textId="0BD01ACE" w:rsidR="004B5C8C" w:rsidRPr="004B5C8C" w:rsidRDefault="004B5C8C" w:rsidP="004B5C8C">
      <w:pPr>
        <w:pStyle w:val="Spistreci1"/>
        <w:tabs>
          <w:tab w:val="left" w:pos="880"/>
        </w:tabs>
        <w:spacing w:after="0"/>
        <w:rPr>
          <w:rFonts w:eastAsiaTheme="minorEastAsia"/>
          <w:b w:val="0"/>
          <w:i w:val="0"/>
          <w:color w:val="auto"/>
          <w:kern w:val="2"/>
          <w:sz w:val="24"/>
          <w:szCs w:val="24"/>
          <w:lang w:eastAsia="pl-PL"/>
          <w14:ligatures w14:val="standardContextual"/>
        </w:rPr>
      </w:pPr>
      <w:hyperlink w:anchor="_Toc177732023" w:history="1">
        <w:r w:rsidRPr="004B5C8C">
          <w:rPr>
            <w:rStyle w:val="Hipercze"/>
            <w:i w:val="0"/>
            <w:lang w:eastAsia="ar-SA"/>
          </w:rPr>
          <w:t>2.</w:t>
        </w:r>
        <w:r w:rsidRPr="004B5C8C">
          <w:rPr>
            <w:rFonts w:eastAsiaTheme="minorEastAsia"/>
            <w:b w:val="0"/>
            <w:i w:val="0"/>
            <w:color w:val="auto"/>
            <w:kern w:val="2"/>
            <w:sz w:val="24"/>
            <w:szCs w:val="24"/>
            <w:lang w:eastAsia="pl-PL"/>
            <w14:ligatures w14:val="standardContextual"/>
          </w:rPr>
          <w:tab/>
        </w:r>
        <w:r w:rsidRPr="004B5C8C">
          <w:rPr>
            <w:rStyle w:val="Hipercze"/>
            <w:i w:val="0"/>
            <w:lang w:eastAsia="ar-SA"/>
          </w:rPr>
          <w:t>Streszczenie</w:t>
        </w:r>
        <w:r w:rsidRPr="004B5C8C">
          <w:rPr>
            <w:i w:val="0"/>
            <w:webHidden/>
          </w:rPr>
          <w:tab/>
        </w:r>
        <w:r w:rsidRPr="004B5C8C">
          <w:rPr>
            <w:i w:val="0"/>
            <w:webHidden/>
          </w:rPr>
          <w:fldChar w:fldCharType="begin"/>
        </w:r>
        <w:r w:rsidRPr="004B5C8C">
          <w:rPr>
            <w:i w:val="0"/>
            <w:webHidden/>
          </w:rPr>
          <w:instrText xml:space="preserve"> PAGEREF _Toc177732023 \h </w:instrText>
        </w:r>
        <w:r w:rsidRPr="004B5C8C">
          <w:rPr>
            <w:i w:val="0"/>
            <w:webHidden/>
          </w:rPr>
        </w:r>
        <w:r w:rsidRPr="004B5C8C">
          <w:rPr>
            <w:i w:val="0"/>
            <w:webHidden/>
          </w:rPr>
          <w:fldChar w:fldCharType="separate"/>
        </w:r>
        <w:r w:rsidR="00A654D8">
          <w:rPr>
            <w:i w:val="0"/>
            <w:webHidden/>
          </w:rPr>
          <w:t>7</w:t>
        </w:r>
        <w:r w:rsidRPr="004B5C8C">
          <w:rPr>
            <w:i w:val="0"/>
            <w:webHidden/>
          </w:rPr>
          <w:fldChar w:fldCharType="end"/>
        </w:r>
      </w:hyperlink>
    </w:p>
    <w:p w14:paraId="6EF56B75" w14:textId="40352DFC" w:rsidR="004B5C8C" w:rsidRPr="004B5C8C" w:rsidRDefault="004B5C8C" w:rsidP="004B5C8C">
      <w:pPr>
        <w:pStyle w:val="Spistreci1"/>
        <w:tabs>
          <w:tab w:val="left" w:pos="880"/>
        </w:tabs>
        <w:spacing w:after="0"/>
        <w:rPr>
          <w:rFonts w:eastAsiaTheme="minorEastAsia"/>
          <w:b w:val="0"/>
          <w:i w:val="0"/>
          <w:color w:val="auto"/>
          <w:kern w:val="2"/>
          <w:sz w:val="24"/>
          <w:szCs w:val="24"/>
          <w:lang w:eastAsia="pl-PL"/>
          <w14:ligatures w14:val="standardContextual"/>
        </w:rPr>
      </w:pPr>
      <w:hyperlink w:anchor="_Toc177732024" w:history="1">
        <w:r w:rsidRPr="004B5C8C">
          <w:rPr>
            <w:rStyle w:val="Hipercze"/>
            <w:rFonts w:eastAsia="Times New Roman"/>
            <w:i w:val="0"/>
            <w14:textOutline w14:w="9525" w14:cap="rnd" w14:cmpd="sng" w14:algn="ctr">
              <w14:noFill/>
              <w14:prstDash w14:val="solid"/>
              <w14:bevel/>
            </w14:textOutline>
          </w:rPr>
          <w:t>3.</w:t>
        </w:r>
        <w:r w:rsidRPr="004B5C8C">
          <w:rPr>
            <w:rFonts w:eastAsiaTheme="minorEastAsia"/>
            <w:b w:val="0"/>
            <w:i w:val="0"/>
            <w:color w:val="auto"/>
            <w:kern w:val="2"/>
            <w:sz w:val="24"/>
            <w:szCs w:val="24"/>
            <w:lang w:eastAsia="pl-PL"/>
            <w14:ligatures w14:val="standardContextual"/>
          </w:rPr>
          <w:tab/>
        </w:r>
        <w:r w:rsidRPr="004B5C8C">
          <w:rPr>
            <w:rStyle w:val="Hipercze"/>
            <w:rFonts w:eastAsia="Times New Roman"/>
            <w:i w:val="0"/>
            <w14:textOutline w14:w="9525" w14:cap="rnd" w14:cmpd="sng" w14:algn="ctr">
              <w14:noFill/>
              <w14:prstDash w14:val="solid"/>
              <w14:bevel/>
            </w14:textOutline>
          </w:rPr>
          <w:t>Wstęp</w:t>
        </w:r>
        <w:r w:rsidRPr="004B5C8C">
          <w:rPr>
            <w:i w:val="0"/>
            <w:webHidden/>
          </w:rPr>
          <w:tab/>
        </w:r>
        <w:r w:rsidRPr="004B5C8C">
          <w:rPr>
            <w:i w:val="0"/>
            <w:webHidden/>
          </w:rPr>
          <w:fldChar w:fldCharType="begin"/>
        </w:r>
        <w:r w:rsidRPr="004B5C8C">
          <w:rPr>
            <w:i w:val="0"/>
            <w:webHidden/>
          </w:rPr>
          <w:instrText xml:space="preserve"> PAGEREF _Toc177732024 \h </w:instrText>
        </w:r>
        <w:r w:rsidRPr="004B5C8C">
          <w:rPr>
            <w:i w:val="0"/>
            <w:webHidden/>
          </w:rPr>
        </w:r>
        <w:r w:rsidRPr="004B5C8C">
          <w:rPr>
            <w:i w:val="0"/>
            <w:webHidden/>
          </w:rPr>
          <w:fldChar w:fldCharType="separate"/>
        </w:r>
        <w:r w:rsidR="00A654D8">
          <w:rPr>
            <w:i w:val="0"/>
            <w:webHidden/>
          </w:rPr>
          <w:t>8</w:t>
        </w:r>
        <w:r w:rsidRPr="004B5C8C">
          <w:rPr>
            <w:i w:val="0"/>
            <w:webHidden/>
          </w:rPr>
          <w:fldChar w:fldCharType="end"/>
        </w:r>
      </w:hyperlink>
    </w:p>
    <w:p w14:paraId="58284D7C" w14:textId="40B18F86"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25" w:history="1">
        <w:r w:rsidRPr="004B5C8C">
          <w:rPr>
            <w:rStyle w:val="Hipercze"/>
            <w:noProof/>
          </w:rPr>
          <w:t>3.1.</w:t>
        </w:r>
        <w:r w:rsidRPr="004B5C8C">
          <w:rPr>
            <w:rFonts w:eastAsiaTheme="minorEastAsia"/>
            <w:noProof/>
            <w:color w:val="auto"/>
            <w:kern w:val="2"/>
            <w:sz w:val="24"/>
            <w:szCs w:val="24"/>
            <w:lang w:eastAsia="pl-PL"/>
            <w14:ligatures w14:val="standardContextual"/>
          </w:rPr>
          <w:tab/>
        </w:r>
        <w:r w:rsidRPr="004B5C8C">
          <w:rPr>
            <w:rStyle w:val="Hipercze"/>
            <w:noProof/>
          </w:rPr>
          <w:t>Cel i zakres opracowania</w:t>
        </w:r>
        <w:r w:rsidRPr="004B5C8C">
          <w:rPr>
            <w:noProof/>
            <w:webHidden/>
          </w:rPr>
          <w:tab/>
        </w:r>
        <w:r w:rsidRPr="004B5C8C">
          <w:rPr>
            <w:noProof/>
            <w:webHidden/>
          </w:rPr>
          <w:fldChar w:fldCharType="begin"/>
        </w:r>
        <w:r w:rsidRPr="004B5C8C">
          <w:rPr>
            <w:noProof/>
            <w:webHidden/>
          </w:rPr>
          <w:instrText xml:space="preserve"> PAGEREF _Toc177732025 \h </w:instrText>
        </w:r>
        <w:r w:rsidRPr="004B5C8C">
          <w:rPr>
            <w:noProof/>
            <w:webHidden/>
          </w:rPr>
        </w:r>
        <w:r w:rsidRPr="004B5C8C">
          <w:rPr>
            <w:noProof/>
            <w:webHidden/>
          </w:rPr>
          <w:fldChar w:fldCharType="separate"/>
        </w:r>
        <w:r w:rsidR="00A654D8">
          <w:rPr>
            <w:noProof/>
            <w:webHidden/>
          </w:rPr>
          <w:t>8</w:t>
        </w:r>
        <w:r w:rsidRPr="004B5C8C">
          <w:rPr>
            <w:noProof/>
            <w:webHidden/>
          </w:rPr>
          <w:fldChar w:fldCharType="end"/>
        </w:r>
      </w:hyperlink>
    </w:p>
    <w:p w14:paraId="1D3160B2" w14:textId="6A36F634"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26" w:history="1">
        <w:r w:rsidRPr="004B5C8C">
          <w:rPr>
            <w:rStyle w:val="Hipercze"/>
            <w:noProof/>
          </w:rPr>
          <w:t>3.2.</w:t>
        </w:r>
        <w:r w:rsidRPr="004B5C8C">
          <w:rPr>
            <w:rFonts w:eastAsiaTheme="minorEastAsia"/>
            <w:noProof/>
            <w:color w:val="auto"/>
            <w:kern w:val="2"/>
            <w:sz w:val="24"/>
            <w:szCs w:val="24"/>
            <w:lang w:eastAsia="pl-PL"/>
            <w14:ligatures w14:val="standardContextual"/>
          </w:rPr>
          <w:tab/>
        </w:r>
        <w:r w:rsidRPr="004B5C8C">
          <w:rPr>
            <w:rStyle w:val="Hipercze"/>
            <w:noProof/>
          </w:rPr>
          <w:t>Powiązanie Planu Adaptacji z dokumentami strategicznymi</w:t>
        </w:r>
        <w:r w:rsidRPr="004B5C8C">
          <w:rPr>
            <w:noProof/>
            <w:webHidden/>
          </w:rPr>
          <w:tab/>
        </w:r>
        <w:r w:rsidRPr="004B5C8C">
          <w:rPr>
            <w:noProof/>
            <w:webHidden/>
          </w:rPr>
          <w:fldChar w:fldCharType="begin"/>
        </w:r>
        <w:r w:rsidRPr="004B5C8C">
          <w:rPr>
            <w:noProof/>
            <w:webHidden/>
          </w:rPr>
          <w:instrText xml:space="preserve"> PAGEREF _Toc177732026 \h </w:instrText>
        </w:r>
        <w:r w:rsidRPr="004B5C8C">
          <w:rPr>
            <w:noProof/>
            <w:webHidden/>
          </w:rPr>
        </w:r>
        <w:r w:rsidRPr="004B5C8C">
          <w:rPr>
            <w:noProof/>
            <w:webHidden/>
          </w:rPr>
          <w:fldChar w:fldCharType="separate"/>
        </w:r>
        <w:r w:rsidR="00A654D8">
          <w:rPr>
            <w:noProof/>
            <w:webHidden/>
          </w:rPr>
          <w:t>9</w:t>
        </w:r>
        <w:r w:rsidRPr="004B5C8C">
          <w:rPr>
            <w:noProof/>
            <w:webHidden/>
          </w:rPr>
          <w:fldChar w:fldCharType="end"/>
        </w:r>
      </w:hyperlink>
    </w:p>
    <w:p w14:paraId="0A574D8E" w14:textId="0A295388"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27" w:history="1">
        <w:r w:rsidRPr="004B5C8C">
          <w:rPr>
            <w:rStyle w:val="Hipercze"/>
            <w:noProof/>
          </w:rPr>
          <w:t>3.2.1.</w:t>
        </w:r>
        <w:r w:rsidRPr="004B5C8C">
          <w:rPr>
            <w:rFonts w:eastAsiaTheme="minorEastAsia"/>
            <w:noProof/>
            <w:color w:val="auto"/>
            <w:kern w:val="2"/>
            <w:sz w:val="24"/>
            <w:szCs w:val="24"/>
            <w:lang w:eastAsia="pl-PL"/>
            <w14:ligatures w14:val="standardContextual"/>
          </w:rPr>
          <w:tab/>
        </w:r>
        <w:r w:rsidRPr="004B5C8C">
          <w:rPr>
            <w:rStyle w:val="Hipercze"/>
            <w:noProof/>
          </w:rPr>
          <w:t>Dokumenty międzynarodowe</w:t>
        </w:r>
        <w:r w:rsidRPr="004B5C8C">
          <w:rPr>
            <w:noProof/>
            <w:webHidden/>
          </w:rPr>
          <w:tab/>
        </w:r>
        <w:r w:rsidRPr="004B5C8C">
          <w:rPr>
            <w:noProof/>
            <w:webHidden/>
          </w:rPr>
          <w:fldChar w:fldCharType="begin"/>
        </w:r>
        <w:r w:rsidRPr="004B5C8C">
          <w:rPr>
            <w:noProof/>
            <w:webHidden/>
          </w:rPr>
          <w:instrText xml:space="preserve"> PAGEREF _Toc177732027 \h </w:instrText>
        </w:r>
        <w:r w:rsidRPr="004B5C8C">
          <w:rPr>
            <w:noProof/>
            <w:webHidden/>
          </w:rPr>
        </w:r>
        <w:r w:rsidRPr="004B5C8C">
          <w:rPr>
            <w:noProof/>
            <w:webHidden/>
          </w:rPr>
          <w:fldChar w:fldCharType="separate"/>
        </w:r>
        <w:r w:rsidR="00A654D8">
          <w:rPr>
            <w:noProof/>
            <w:webHidden/>
          </w:rPr>
          <w:t>9</w:t>
        </w:r>
        <w:r w:rsidRPr="004B5C8C">
          <w:rPr>
            <w:noProof/>
            <w:webHidden/>
          </w:rPr>
          <w:fldChar w:fldCharType="end"/>
        </w:r>
      </w:hyperlink>
    </w:p>
    <w:p w14:paraId="5246FF9A" w14:textId="4B56C294"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28" w:history="1">
        <w:r w:rsidRPr="004B5C8C">
          <w:rPr>
            <w:rStyle w:val="Hipercze"/>
            <w:noProof/>
          </w:rPr>
          <w:t>3.2.2.</w:t>
        </w:r>
        <w:r w:rsidRPr="004B5C8C">
          <w:rPr>
            <w:rFonts w:eastAsiaTheme="minorEastAsia"/>
            <w:noProof/>
            <w:color w:val="auto"/>
            <w:kern w:val="2"/>
            <w:sz w:val="24"/>
            <w:szCs w:val="24"/>
            <w:lang w:eastAsia="pl-PL"/>
            <w14:ligatures w14:val="standardContextual"/>
          </w:rPr>
          <w:tab/>
        </w:r>
        <w:r w:rsidRPr="004B5C8C">
          <w:rPr>
            <w:rStyle w:val="Hipercze"/>
            <w:noProof/>
          </w:rPr>
          <w:t>Dokumenty krajowe</w:t>
        </w:r>
        <w:r w:rsidRPr="004B5C8C">
          <w:rPr>
            <w:noProof/>
            <w:webHidden/>
          </w:rPr>
          <w:tab/>
        </w:r>
        <w:r w:rsidRPr="004B5C8C">
          <w:rPr>
            <w:noProof/>
            <w:webHidden/>
          </w:rPr>
          <w:fldChar w:fldCharType="begin"/>
        </w:r>
        <w:r w:rsidRPr="004B5C8C">
          <w:rPr>
            <w:noProof/>
            <w:webHidden/>
          </w:rPr>
          <w:instrText xml:space="preserve"> PAGEREF _Toc177732028 \h </w:instrText>
        </w:r>
        <w:r w:rsidRPr="004B5C8C">
          <w:rPr>
            <w:noProof/>
            <w:webHidden/>
          </w:rPr>
        </w:r>
        <w:r w:rsidRPr="004B5C8C">
          <w:rPr>
            <w:noProof/>
            <w:webHidden/>
          </w:rPr>
          <w:fldChar w:fldCharType="separate"/>
        </w:r>
        <w:r w:rsidR="00A654D8">
          <w:rPr>
            <w:noProof/>
            <w:webHidden/>
          </w:rPr>
          <w:t>10</w:t>
        </w:r>
        <w:r w:rsidRPr="004B5C8C">
          <w:rPr>
            <w:noProof/>
            <w:webHidden/>
          </w:rPr>
          <w:fldChar w:fldCharType="end"/>
        </w:r>
      </w:hyperlink>
    </w:p>
    <w:p w14:paraId="08C88792" w14:textId="1F874338"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29" w:history="1">
        <w:r w:rsidRPr="004B5C8C">
          <w:rPr>
            <w:rStyle w:val="Hipercze"/>
            <w:noProof/>
          </w:rPr>
          <w:t>3.2.3.</w:t>
        </w:r>
        <w:r w:rsidRPr="004B5C8C">
          <w:rPr>
            <w:rFonts w:eastAsiaTheme="minorEastAsia"/>
            <w:noProof/>
            <w:color w:val="auto"/>
            <w:kern w:val="2"/>
            <w:sz w:val="24"/>
            <w:szCs w:val="24"/>
            <w:lang w:eastAsia="pl-PL"/>
            <w14:ligatures w14:val="standardContextual"/>
          </w:rPr>
          <w:tab/>
        </w:r>
        <w:r w:rsidRPr="004B5C8C">
          <w:rPr>
            <w:rStyle w:val="Hipercze"/>
            <w:noProof/>
          </w:rPr>
          <w:t>Dokumenty regionalne i lokalne</w:t>
        </w:r>
        <w:r w:rsidRPr="004B5C8C">
          <w:rPr>
            <w:noProof/>
            <w:webHidden/>
          </w:rPr>
          <w:tab/>
        </w:r>
        <w:r w:rsidRPr="004B5C8C">
          <w:rPr>
            <w:noProof/>
            <w:webHidden/>
          </w:rPr>
          <w:fldChar w:fldCharType="begin"/>
        </w:r>
        <w:r w:rsidRPr="004B5C8C">
          <w:rPr>
            <w:noProof/>
            <w:webHidden/>
          </w:rPr>
          <w:instrText xml:space="preserve"> PAGEREF _Toc177732029 \h </w:instrText>
        </w:r>
        <w:r w:rsidRPr="004B5C8C">
          <w:rPr>
            <w:noProof/>
            <w:webHidden/>
          </w:rPr>
        </w:r>
        <w:r w:rsidRPr="004B5C8C">
          <w:rPr>
            <w:noProof/>
            <w:webHidden/>
          </w:rPr>
          <w:fldChar w:fldCharType="separate"/>
        </w:r>
        <w:r w:rsidR="00A654D8">
          <w:rPr>
            <w:noProof/>
            <w:webHidden/>
          </w:rPr>
          <w:t>13</w:t>
        </w:r>
        <w:r w:rsidRPr="004B5C8C">
          <w:rPr>
            <w:noProof/>
            <w:webHidden/>
          </w:rPr>
          <w:fldChar w:fldCharType="end"/>
        </w:r>
      </w:hyperlink>
    </w:p>
    <w:p w14:paraId="1005B09A" w14:textId="317C56D6"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30" w:history="1">
        <w:r w:rsidRPr="004B5C8C">
          <w:rPr>
            <w:rStyle w:val="Hipercze"/>
            <w:noProof/>
          </w:rPr>
          <w:t>3.3.</w:t>
        </w:r>
        <w:r w:rsidRPr="004B5C8C">
          <w:rPr>
            <w:rFonts w:eastAsiaTheme="minorEastAsia"/>
            <w:noProof/>
            <w:color w:val="auto"/>
            <w:kern w:val="2"/>
            <w:sz w:val="24"/>
            <w:szCs w:val="24"/>
            <w:lang w:eastAsia="pl-PL"/>
            <w14:ligatures w14:val="standardContextual"/>
          </w:rPr>
          <w:tab/>
        </w:r>
        <w:r w:rsidRPr="004B5C8C">
          <w:rPr>
            <w:rStyle w:val="Hipercze"/>
            <w:noProof/>
          </w:rPr>
          <w:t>Metoda opracowania Planu Adaptacji</w:t>
        </w:r>
        <w:r w:rsidRPr="004B5C8C">
          <w:rPr>
            <w:noProof/>
            <w:webHidden/>
          </w:rPr>
          <w:tab/>
        </w:r>
        <w:r w:rsidRPr="004B5C8C">
          <w:rPr>
            <w:noProof/>
            <w:webHidden/>
          </w:rPr>
          <w:fldChar w:fldCharType="begin"/>
        </w:r>
        <w:r w:rsidRPr="004B5C8C">
          <w:rPr>
            <w:noProof/>
            <w:webHidden/>
          </w:rPr>
          <w:instrText xml:space="preserve"> PAGEREF _Toc177732030 \h </w:instrText>
        </w:r>
        <w:r w:rsidRPr="004B5C8C">
          <w:rPr>
            <w:noProof/>
            <w:webHidden/>
          </w:rPr>
        </w:r>
        <w:r w:rsidRPr="004B5C8C">
          <w:rPr>
            <w:noProof/>
            <w:webHidden/>
          </w:rPr>
          <w:fldChar w:fldCharType="separate"/>
        </w:r>
        <w:r w:rsidR="00A654D8">
          <w:rPr>
            <w:noProof/>
            <w:webHidden/>
          </w:rPr>
          <w:t>15</w:t>
        </w:r>
        <w:r w:rsidRPr="004B5C8C">
          <w:rPr>
            <w:noProof/>
            <w:webHidden/>
          </w:rPr>
          <w:fldChar w:fldCharType="end"/>
        </w:r>
      </w:hyperlink>
    </w:p>
    <w:p w14:paraId="4554BF23" w14:textId="7477162E"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31" w:history="1">
        <w:r w:rsidRPr="004B5C8C">
          <w:rPr>
            <w:rStyle w:val="Hipercze"/>
            <w:noProof/>
          </w:rPr>
          <w:t>3.4.</w:t>
        </w:r>
        <w:r w:rsidRPr="004B5C8C">
          <w:rPr>
            <w:rFonts w:eastAsiaTheme="minorEastAsia"/>
            <w:noProof/>
            <w:color w:val="auto"/>
            <w:kern w:val="2"/>
            <w:sz w:val="24"/>
            <w:szCs w:val="24"/>
            <w:lang w:eastAsia="pl-PL"/>
            <w14:ligatures w14:val="standardContextual"/>
          </w:rPr>
          <w:tab/>
        </w:r>
        <w:r w:rsidRPr="004B5C8C">
          <w:rPr>
            <w:rStyle w:val="Hipercze"/>
            <w:noProof/>
          </w:rPr>
          <w:t>Udział społeczeństwa w opracowaniu Planu Adaptacji</w:t>
        </w:r>
        <w:r w:rsidRPr="004B5C8C">
          <w:rPr>
            <w:noProof/>
            <w:webHidden/>
          </w:rPr>
          <w:tab/>
        </w:r>
        <w:r w:rsidRPr="004B5C8C">
          <w:rPr>
            <w:noProof/>
            <w:webHidden/>
          </w:rPr>
          <w:fldChar w:fldCharType="begin"/>
        </w:r>
        <w:r w:rsidRPr="004B5C8C">
          <w:rPr>
            <w:noProof/>
            <w:webHidden/>
          </w:rPr>
          <w:instrText xml:space="preserve"> PAGEREF _Toc177732031 \h </w:instrText>
        </w:r>
        <w:r w:rsidRPr="004B5C8C">
          <w:rPr>
            <w:noProof/>
            <w:webHidden/>
          </w:rPr>
        </w:r>
        <w:r w:rsidRPr="004B5C8C">
          <w:rPr>
            <w:noProof/>
            <w:webHidden/>
          </w:rPr>
          <w:fldChar w:fldCharType="separate"/>
        </w:r>
        <w:r w:rsidR="00A654D8">
          <w:rPr>
            <w:noProof/>
            <w:webHidden/>
          </w:rPr>
          <w:t>18</w:t>
        </w:r>
        <w:r w:rsidRPr="004B5C8C">
          <w:rPr>
            <w:noProof/>
            <w:webHidden/>
          </w:rPr>
          <w:fldChar w:fldCharType="end"/>
        </w:r>
      </w:hyperlink>
    </w:p>
    <w:p w14:paraId="5F358E96" w14:textId="28C9E1BE"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32" w:history="1">
        <w:r w:rsidRPr="004B5C8C">
          <w:rPr>
            <w:rStyle w:val="Hipercze"/>
            <w:noProof/>
          </w:rPr>
          <w:t>3.5.</w:t>
        </w:r>
        <w:r w:rsidRPr="004B5C8C">
          <w:rPr>
            <w:rFonts w:eastAsiaTheme="minorEastAsia"/>
            <w:noProof/>
            <w:color w:val="auto"/>
            <w:kern w:val="2"/>
            <w:sz w:val="24"/>
            <w:szCs w:val="24"/>
            <w:lang w:eastAsia="pl-PL"/>
            <w14:ligatures w14:val="standardContextual"/>
          </w:rPr>
          <w:tab/>
        </w:r>
        <w:r w:rsidRPr="004B5C8C">
          <w:rPr>
            <w:rStyle w:val="Hipercze"/>
            <w:noProof/>
          </w:rPr>
          <w:t>Specyficzne zagrożenia obszarów zurbanizowanych wynikające ze zmian klimatu</w:t>
        </w:r>
        <w:r w:rsidRPr="004B5C8C">
          <w:rPr>
            <w:noProof/>
            <w:webHidden/>
          </w:rPr>
          <w:tab/>
        </w:r>
        <w:r w:rsidRPr="004B5C8C">
          <w:rPr>
            <w:noProof/>
            <w:webHidden/>
          </w:rPr>
          <w:fldChar w:fldCharType="begin"/>
        </w:r>
        <w:r w:rsidRPr="004B5C8C">
          <w:rPr>
            <w:noProof/>
            <w:webHidden/>
          </w:rPr>
          <w:instrText xml:space="preserve"> PAGEREF _Toc177732032 \h </w:instrText>
        </w:r>
        <w:r w:rsidRPr="004B5C8C">
          <w:rPr>
            <w:noProof/>
            <w:webHidden/>
          </w:rPr>
        </w:r>
        <w:r w:rsidRPr="004B5C8C">
          <w:rPr>
            <w:noProof/>
            <w:webHidden/>
          </w:rPr>
          <w:fldChar w:fldCharType="separate"/>
        </w:r>
        <w:r w:rsidR="00A654D8">
          <w:rPr>
            <w:noProof/>
            <w:webHidden/>
          </w:rPr>
          <w:t>19</w:t>
        </w:r>
        <w:r w:rsidRPr="004B5C8C">
          <w:rPr>
            <w:noProof/>
            <w:webHidden/>
          </w:rPr>
          <w:fldChar w:fldCharType="end"/>
        </w:r>
      </w:hyperlink>
    </w:p>
    <w:p w14:paraId="24ABE769" w14:textId="0B5D4A13"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33" w:history="1">
        <w:r w:rsidRPr="004B5C8C">
          <w:rPr>
            <w:rStyle w:val="Hipercze"/>
            <w:noProof/>
          </w:rPr>
          <w:t>3.5.1.</w:t>
        </w:r>
        <w:r w:rsidRPr="004B5C8C">
          <w:rPr>
            <w:rFonts w:eastAsiaTheme="minorEastAsia"/>
            <w:noProof/>
            <w:color w:val="auto"/>
            <w:kern w:val="2"/>
            <w:sz w:val="24"/>
            <w:szCs w:val="24"/>
            <w:lang w:eastAsia="pl-PL"/>
            <w14:ligatures w14:val="standardContextual"/>
          </w:rPr>
          <w:tab/>
        </w:r>
        <w:r w:rsidRPr="004B5C8C">
          <w:rPr>
            <w:rStyle w:val="Hipercze"/>
            <w:noProof/>
          </w:rPr>
          <w:t>Opady - deszcze nawalne i susze</w:t>
        </w:r>
        <w:r w:rsidRPr="004B5C8C">
          <w:rPr>
            <w:noProof/>
            <w:webHidden/>
          </w:rPr>
          <w:tab/>
        </w:r>
        <w:r w:rsidRPr="004B5C8C">
          <w:rPr>
            <w:noProof/>
            <w:webHidden/>
          </w:rPr>
          <w:fldChar w:fldCharType="begin"/>
        </w:r>
        <w:r w:rsidRPr="004B5C8C">
          <w:rPr>
            <w:noProof/>
            <w:webHidden/>
          </w:rPr>
          <w:instrText xml:space="preserve"> PAGEREF _Toc177732033 \h </w:instrText>
        </w:r>
        <w:r w:rsidRPr="004B5C8C">
          <w:rPr>
            <w:noProof/>
            <w:webHidden/>
          </w:rPr>
        </w:r>
        <w:r w:rsidRPr="004B5C8C">
          <w:rPr>
            <w:noProof/>
            <w:webHidden/>
          </w:rPr>
          <w:fldChar w:fldCharType="separate"/>
        </w:r>
        <w:r w:rsidR="00A654D8">
          <w:rPr>
            <w:noProof/>
            <w:webHidden/>
          </w:rPr>
          <w:t>20</w:t>
        </w:r>
        <w:r w:rsidRPr="004B5C8C">
          <w:rPr>
            <w:noProof/>
            <w:webHidden/>
          </w:rPr>
          <w:fldChar w:fldCharType="end"/>
        </w:r>
      </w:hyperlink>
    </w:p>
    <w:p w14:paraId="71D97597" w14:textId="3FD1F7C4"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34" w:history="1">
        <w:r w:rsidRPr="004B5C8C">
          <w:rPr>
            <w:rStyle w:val="Hipercze"/>
            <w:noProof/>
          </w:rPr>
          <w:t>3.5.2.</w:t>
        </w:r>
        <w:r w:rsidRPr="004B5C8C">
          <w:rPr>
            <w:rFonts w:eastAsiaTheme="minorEastAsia"/>
            <w:noProof/>
            <w:color w:val="auto"/>
            <w:kern w:val="2"/>
            <w:sz w:val="24"/>
            <w:szCs w:val="24"/>
            <w:lang w:eastAsia="pl-PL"/>
            <w14:ligatures w14:val="standardContextual"/>
          </w:rPr>
          <w:tab/>
        </w:r>
        <w:r w:rsidRPr="004B5C8C">
          <w:rPr>
            <w:rStyle w:val="Hipercze"/>
            <w:noProof/>
          </w:rPr>
          <w:t>Występowanie ekstremów temperaturowych</w:t>
        </w:r>
        <w:r w:rsidRPr="004B5C8C">
          <w:rPr>
            <w:noProof/>
            <w:webHidden/>
          </w:rPr>
          <w:tab/>
        </w:r>
        <w:r w:rsidRPr="004B5C8C">
          <w:rPr>
            <w:noProof/>
            <w:webHidden/>
          </w:rPr>
          <w:fldChar w:fldCharType="begin"/>
        </w:r>
        <w:r w:rsidRPr="004B5C8C">
          <w:rPr>
            <w:noProof/>
            <w:webHidden/>
          </w:rPr>
          <w:instrText xml:space="preserve"> PAGEREF _Toc177732034 \h </w:instrText>
        </w:r>
        <w:r w:rsidRPr="004B5C8C">
          <w:rPr>
            <w:noProof/>
            <w:webHidden/>
          </w:rPr>
        </w:r>
        <w:r w:rsidRPr="004B5C8C">
          <w:rPr>
            <w:noProof/>
            <w:webHidden/>
          </w:rPr>
          <w:fldChar w:fldCharType="separate"/>
        </w:r>
        <w:r w:rsidR="00A654D8">
          <w:rPr>
            <w:noProof/>
            <w:webHidden/>
          </w:rPr>
          <w:t>22</w:t>
        </w:r>
        <w:r w:rsidRPr="004B5C8C">
          <w:rPr>
            <w:noProof/>
            <w:webHidden/>
          </w:rPr>
          <w:fldChar w:fldCharType="end"/>
        </w:r>
      </w:hyperlink>
    </w:p>
    <w:p w14:paraId="3E8128E0" w14:textId="243C90C0"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35" w:history="1">
        <w:r w:rsidRPr="004B5C8C">
          <w:rPr>
            <w:rStyle w:val="Hipercze"/>
            <w:noProof/>
          </w:rPr>
          <w:t>3.5.3.</w:t>
        </w:r>
        <w:r w:rsidRPr="004B5C8C">
          <w:rPr>
            <w:rFonts w:eastAsiaTheme="minorEastAsia"/>
            <w:noProof/>
            <w:color w:val="auto"/>
            <w:kern w:val="2"/>
            <w:sz w:val="24"/>
            <w:szCs w:val="24"/>
            <w:lang w:eastAsia="pl-PL"/>
            <w14:ligatures w14:val="standardContextual"/>
          </w:rPr>
          <w:tab/>
        </w:r>
        <w:r w:rsidRPr="004B5C8C">
          <w:rPr>
            <w:rStyle w:val="Hipercze"/>
            <w:noProof/>
          </w:rPr>
          <w:t>Zaburzenia cyrkulacji powietrza w mieście</w:t>
        </w:r>
        <w:r w:rsidRPr="004B5C8C">
          <w:rPr>
            <w:noProof/>
            <w:webHidden/>
          </w:rPr>
          <w:tab/>
        </w:r>
        <w:r w:rsidRPr="004B5C8C">
          <w:rPr>
            <w:noProof/>
            <w:webHidden/>
          </w:rPr>
          <w:fldChar w:fldCharType="begin"/>
        </w:r>
        <w:r w:rsidRPr="004B5C8C">
          <w:rPr>
            <w:noProof/>
            <w:webHidden/>
          </w:rPr>
          <w:instrText xml:space="preserve"> PAGEREF _Toc177732035 \h </w:instrText>
        </w:r>
        <w:r w:rsidRPr="004B5C8C">
          <w:rPr>
            <w:noProof/>
            <w:webHidden/>
          </w:rPr>
        </w:r>
        <w:r w:rsidRPr="004B5C8C">
          <w:rPr>
            <w:noProof/>
            <w:webHidden/>
          </w:rPr>
          <w:fldChar w:fldCharType="separate"/>
        </w:r>
        <w:r w:rsidR="00A654D8">
          <w:rPr>
            <w:noProof/>
            <w:webHidden/>
          </w:rPr>
          <w:t>24</w:t>
        </w:r>
        <w:r w:rsidRPr="004B5C8C">
          <w:rPr>
            <w:noProof/>
            <w:webHidden/>
          </w:rPr>
          <w:fldChar w:fldCharType="end"/>
        </w:r>
      </w:hyperlink>
    </w:p>
    <w:p w14:paraId="7C09FF80" w14:textId="3DD966A3" w:rsidR="004B5C8C" w:rsidRPr="004B5C8C" w:rsidRDefault="004B5C8C" w:rsidP="004B5C8C">
      <w:pPr>
        <w:pStyle w:val="Spistreci1"/>
        <w:tabs>
          <w:tab w:val="left" w:pos="880"/>
        </w:tabs>
        <w:spacing w:after="0"/>
        <w:rPr>
          <w:rFonts w:eastAsiaTheme="minorEastAsia"/>
          <w:b w:val="0"/>
          <w:i w:val="0"/>
          <w:color w:val="auto"/>
          <w:kern w:val="2"/>
          <w:sz w:val="24"/>
          <w:szCs w:val="24"/>
          <w:lang w:eastAsia="pl-PL"/>
          <w14:ligatures w14:val="standardContextual"/>
        </w:rPr>
      </w:pPr>
      <w:hyperlink w:anchor="_Toc177732036" w:history="1">
        <w:r w:rsidRPr="004B5C8C">
          <w:rPr>
            <w:rStyle w:val="Hipercze"/>
            <w:i w:val="0"/>
          </w:rPr>
          <w:t>4.</w:t>
        </w:r>
        <w:r w:rsidRPr="004B5C8C">
          <w:rPr>
            <w:rFonts w:eastAsiaTheme="minorEastAsia"/>
            <w:b w:val="0"/>
            <w:i w:val="0"/>
            <w:color w:val="auto"/>
            <w:kern w:val="2"/>
            <w:sz w:val="24"/>
            <w:szCs w:val="24"/>
            <w:lang w:eastAsia="pl-PL"/>
            <w14:ligatures w14:val="standardContextual"/>
          </w:rPr>
          <w:tab/>
        </w:r>
        <w:r w:rsidRPr="004B5C8C">
          <w:rPr>
            <w:rStyle w:val="Hipercze"/>
            <w:i w:val="0"/>
          </w:rPr>
          <w:t>Diagnoza</w:t>
        </w:r>
        <w:r w:rsidRPr="004B5C8C">
          <w:rPr>
            <w:i w:val="0"/>
            <w:webHidden/>
          </w:rPr>
          <w:tab/>
        </w:r>
        <w:r w:rsidRPr="004B5C8C">
          <w:rPr>
            <w:i w:val="0"/>
            <w:webHidden/>
          </w:rPr>
          <w:fldChar w:fldCharType="begin"/>
        </w:r>
        <w:r w:rsidRPr="004B5C8C">
          <w:rPr>
            <w:i w:val="0"/>
            <w:webHidden/>
          </w:rPr>
          <w:instrText xml:space="preserve"> PAGEREF _Toc177732036 \h </w:instrText>
        </w:r>
        <w:r w:rsidRPr="004B5C8C">
          <w:rPr>
            <w:i w:val="0"/>
            <w:webHidden/>
          </w:rPr>
        </w:r>
        <w:r w:rsidRPr="004B5C8C">
          <w:rPr>
            <w:i w:val="0"/>
            <w:webHidden/>
          </w:rPr>
          <w:fldChar w:fldCharType="separate"/>
        </w:r>
        <w:r w:rsidR="00A654D8">
          <w:rPr>
            <w:i w:val="0"/>
            <w:webHidden/>
          </w:rPr>
          <w:t>25</w:t>
        </w:r>
        <w:r w:rsidRPr="004B5C8C">
          <w:rPr>
            <w:i w:val="0"/>
            <w:webHidden/>
          </w:rPr>
          <w:fldChar w:fldCharType="end"/>
        </w:r>
      </w:hyperlink>
    </w:p>
    <w:p w14:paraId="269BC172" w14:textId="2731ADA5"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37" w:history="1">
        <w:r w:rsidRPr="004B5C8C">
          <w:rPr>
            <w:rStyle w:val="Hipercze"/>
            <w:rFonts w:eastAsia="Times New Roman"/>
            <w:noProof/>
          </w:rPr>
          <w:t>4.1.</w:t>
        </w:r>
        <w:r w:rsidRPr="004B5C8C">
          <w:rPr>
            <w:rFonts w:eastAsiaTheme="minorEastAsia"/>
            <w:noProof/>
            <w:color w:val="auto"/>
            <w:kern w:val="2"/>
            <w:sz w:val="24"/>
            <w:szCs w:val="24"/>
            <w:lang w:eastAsia="pl-PL"/>
            <w14:ligatures w14:val="standardContextual"/>
          </w:rPr>
          <w:tab/>
        </w:r>
        <w:r w:rsidRPr="004B5C8C">
          <w:rPr>
            <w:rStyle w:val="Hipercze"/>
            <w:noProof/>
          </w:rPr>
          <w:t>Charakterystyka</w:t>
        </w:r>
        <w:r w:rsidRPr="004B5C8C">
          <w:rPr>
            <w:rStyle w:val="Hipercze"/>
            <w:rFonts w:eastAsia="Times New Roman"/>
            <w:noProof/>
          </w:rPr>
          <w:t xml:space="preserve"> miasta</w:t>
        </w:r>
        <w:r w:rsidRPr="004B5C8C">
          <w:rPr>
            <w:noProof/>
            <w:webHidden/>
          </w:rPr>
          <w:tab/>
        </w:r>
        <w:r w:rsidRPr="004B5C8C">
          <w:rPr>
            <w:noProof/>
            <w:webHidden/>
          </w:rPr>
          <w:fldChar w:fldCharType="begin"/>
        </w:r>
        <w:r w:rsidRPr="004B5C8C">
          <w:rPr>
            <w:noProof/>
            <w:webHidden/>
          </w:rPr>
          <w:instrText xml:space="preserve"> PAGEREF _Toc177732037 \h </w:instrText>
        </w:r>
        <w:r w:rsidRPr="004B5C8C">
          <w:rPr>
            <w:noProof/>
            <w:webHidden/>
          </w:rPr>
        </w:r>
        <w:r w:rsidRPr="004B5C8C">
          <w:rPr>
            <w:noProof/>
            <w:webHidden/>
          </w:rPr>
          <w:fldChar w:fldCharType="separate"/>
        </w:r>
        <w:r w:rsidR="00A654D8">
          <w:rPr>
            <w:noProof/>
            <w:webHidden/>
          </w:rPr>
          <w:t>25</w:t>
        </w:r>
        <w:r w:rsidRPr="004B5C8C">
          <w:rPr>
            <w:noProof/>
            <w:webHidden/>
          </w:rPr>
          <w:fldChar w:fldCharType="end"/>
        </w:r>
      </w:hyperlink>
    </w:p>
    <w:p w14:paraId="4058F447" w14:textId="0C60BFC1"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38" w:history="1">
        <w:r w:rsidRPr="004B5C8C">
          <w:rPr>
            <w:rStyle w:val="Hipercze"/>
            <w:noProof/>
          </w:rPr>
          <w:t>4.1.1.</w:t>
        </w:r>
        <w:r w:rsidRPr="004B5C8C">
          <w:rPr>
            <w:rFonts w:eastAsiaTheme="minorEastAsia"/>
            <w:noProof/>
            <w:color w:val="auto"/>
            <w:kern w:val="2"/>
            <w:sz w:val="24"/>
            <w:szCs w:val="24"/>
            <w:lang w:eastAsia="pl-PL"/>
            <w14:ligatures w14:val="standardContextual"/>
          </w:rPr>
          <w:tab/>
        </w:r>
        <w:r w:rsidRPr="004B5C8C">
          <w:rPr>
            <w:rStyle w:val="Hipercze"/>
            <w:noProof/>
          </w:rPr>
          <w:t>Położenie</w:t>
        </w:r>
        <w:r w:rsidRPr="004B5C8C">
          <w:rPr>
            <w:noProof/>
            <w:webHidden/>
          </w:rPr>
          <w:tab/>
        </w:r>
        <w:r w:rsidRPr="004B5C8C">
          <w:rPr>
            <w:noProof/>
            <w:webHidden/>
          </w:rPr>
          <w:fldChar w:fldCharType="begin"/>
        </w:r>
        <w:r w:rsidRPr="004B5C8C">
          <w:rPr>
            <w:noProof/>
            <w:webHidden/>
          </w:rPr>
          <w:instrText xml:space="preserve"> PAGEREF _Toc177732038 \h </w:instrText>
        </w:r>
        <w:r w:rsidRPr="004B5C8C">
          <w:rPr>
            <w:noProof/>
            <w:webHidden/>
          </w:rPr>
        </w:r>
        <w:r w:rsidRPr="004B5C8C">
          <w:rPr>
            <w:noProof/>
            <w:webHidden/>
          </w:rPr>
          <w:fldChar w:fldCharType="separate"/>
        </w:r>
        <w:r w:rsidR="00A654D8">
          <w:rPr>
            <w:noProof/>
            <w:webHidden/>
          </w:rPr>
          <w:t>25</w:t>
        </w:r>
        <w:r w:rsidRPr="004B5C8C">
          <w:rPr>
            <w:noProof/>
            <w:webHidden/>
          </w:rPr>
          <w:fldChar w:fldCharType="end"/>
        </w:r>
      </w:hyperlink>
    </w:p>
    <w:p w14:paraId="2FA014AC" w14:textId="4B03817A"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39" w:history="1">
        <w:r w:rsidRPr="004B5C8C">
          <w:rPr>
            <w:rStyle w:val="Hipercze"/>
            <w:noProof/>
          </w:rPr>
          <w:t>4.2.</w:t>
        </w:r>
        <w:r w:rsidRPr="004B5C8C">
          <w:rPr>
            <w:rFonts w:eastAsiaTheme="minorEastAsia"/>
            <w:noProof/>
            <w:color w:val="auto"/>
            <w:kern w:val="2"/>
            <w:sz w:val="24"/>
            <w:szCs w:val="24"/>
            <w:lang w:eastAsia="pl-PL"/>
            <w14:ligatures w14:val="standardContextual"/>
          </w:rPr>
          <w:tab/>
        </w:r>
        <w:r w:rsidRPr="004B5C8C">
          <w:rPr>
            <w:rStyle w:val="Hipercze"/>
            <w:noProof/>
          </w:rPr>
          <w:t>Struktura demograficzna, społeczna i gospodarcza</w:t>
        </w:r>
        <w:r w:rsidRPr="004B5C8C">
          <w:rPr>
            <w:noProof/>
            <w:webHidden/>
          </w:rPr>
          <w:tab/>
        </w:r>
        <w:r w:rsidRPr="004B5C8C">
          <w:rPr>
            <w:noProof/>
            <w:webHidden/>
          </w:rPr>
          <w:fldChar w:fldCharType="begin"/>
        </w:r>
        <w:r w:rsidRPr="004B5C8C">
          <w:rPr>
            <w:noProof/>
            <w:webHidden/>
          </w:rPr>
          <w:instrText xml:space="preserve"> PAGEREF _Toc177732039 \h </w:instrText>
        </w:r>
        <w:r w:rsidRPr="004B5C8C">
          <w:rPr>
            <w:noProof/>
            <w:webHidden/>
          </w:rPr>
        </w:r>
        <w:r w:rsidRPr="004B5C8C">
          <w:rPr>
            <w:noProof/>
            <w:webHidden/>
          </w:rPr>
          <w:fldChar w:fldCharType="separate"/>
        </w:r>
        <w:r w:rsidR="00A654D8">
          <w:rPr>
            <w:noProof/>
            <w:webHidden/>
          </w:rPr>
          <w:t>27</w:t>
        </w:r>
        <w:r w:rsidRPr="004B5C8C">
          <w:rPr>
            <w:noProof/>
            <w:webHidden/>
          </w:rPr>
          <w:fldChar w:fldCharType="end"/>
        </w:r>
      </w:hyperlink>
    </w:p>
    <w:p w14:paraId="2B45CBE6" w14:textId="51AA7FB3"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40" w:history="1">
        <w:r w:rsidRPr="004B5C8C">
          <w:rPr>
            <w:rStyle w:val="Hipercze"/>
            <w:noProof/>
          </w:rPr>
          <w:t>4.2.1.</w:t>
        </w:r>
        <w:r w:rsidRPr="004B5C8C">
          <w:rPr>
            <w:rFonts w:eastAsiaTheme="minorEastAsia"/>
            <w:noProof/>
            <w:color w:val="auto"/>
            <w:kern w:val="2"/>
            <w:sz w:val="24"/>
            <w:szCs w:val="24"/>
            <w:lang w:eastAsia="pl-PL"/>
            <w14:ligatures w14:val="standardContextual"/>
          </w:rPr>
          <w:tab/>
        </w:r>
        <w:r w:rsidRPr="004B5C8C">
          <w:rPr>
            <w:rStyle w:val="Hipercze"/>
            <w:noProof/>
          </w:rPr>
          <w:t>Demografia</w:t>
        </w:r>
        <w:r w:rsidRPr="004B5C8C">
          <w:rPr>
            <w:noProof/>
            <w:webHidden/>
          </w:rPr>
          <w:tab/>
        </w:r>
        <w:r w:rsidRPr="004B5C8C">
          <w:rPr>
            <w:noProof/>
            <w:webHidden/>
          </w:rPr>
          <w:fldChar w:fldCharType="begin"/>
        </w:r>
        <w:r w:rsidRPr="004B5C8C">
          <w:rPr>
            <w:noProof/>
            <w:webHidden/>
          </w:rPr>
          <w:instrText xml:space="preserve"> PAGEREF _Toc177732040 \h </w:instrText>
        </w:r>
        <w:r w:rsidRPr="004B5C8C">
          <w:rPr>
            <w:noProof/>
            <w:webHidden/>
          </w:rPr>
        </w:r>
        <w:r w:rsidRPr="004B5C8C">
          <w:rPr>
            <w:noProof/>
            <w:webHidden/>
          </w:rPr>
          <w:fldChar w:fldCharType="separate"/>
        </w:r>
        <w:r w:rsidR="00A654D8">
          <w:rPr>
            <w:noProof/>
            <w:webHidden/>
          </w:rPr>
          <w:t>27</w:t>
        </w:r>
        <w:r w:rsidRPr="004B5C8C">
          <w:rPr>
            <w:noProof/>
            <w:webHidden/>
          </w:rPr>
          <w:fldChar w:fldCharType="end"/>
        </w:r>
      </w:hyperlink>
    </w:p>
    <w:p w14:paraId="2FABFFFC" w14:textId="1EA5E7F5"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41" w:history="1">
        <w:r w:rsidRPr="004B5C8C">
          <w:rPr>
            <w:rStyle w:val="Hipercze"/>
            <w:noProof/>
          </w:rPr>
          <w:t>4.2.2.</w:t>
        </w:r>
        <w:r w:rsidRPr="004B5C8C">
          <w:rPr>
            <w:rFonts w:eastAsiaTheme="minorEastAsia"/>
            <w:noProof/>
            <w:color w:val="auto"/>
            <w:kern w:val="2"/>
            <w:sz w:val="24"/>
            <w:szCs w:val="24"/>
            <w:lang w:eastAsia="pl-PL"/>
            <w14:ligatures w14:val="standardContextual"/>
          </w:rPr>
          <w:tab/>
        </w:r>
        <w:r w:rsidRPr="004B5C8C">
          <w:rPr>
            <w:rStyle w:val="Hipercze"/>
            <w:noProof/>
          </w:rPr>
          <w:t>Charakterystyka gospodarcza</w:t>
        </w:r>
        <w:r w:rsidRPr="004B5C8C">
          <w:rPr>
            <w:noProof/>
            <w:webHidden/>
          </w:rPr>
          <w:tab/>
        </w:r>
        <w:r w:rsidRPr="004B5C8C">
          <w:rPr>
            <w:noProof/>
            <w:webHidden/>
          </w:rPr>
          <w:fldChar w:fldCharType="begin"/>
        </w:r>
        <w:r w:rsidRPr="004B5C8C">
          <w:rPr>
            <w:noProof/>
            <w:webHidden/>
          </w:rPr>
          <w:instrText xml:space="preserve"> PAGEREF _Toc177732041 \h </w:instrText>
        </w:r>
        <w:r w:rsidRPr="004B5C8C">
          <w:rPr>
            <w:noProof/>
            <w:webHidden/>
          </w:rPr>
        </w:r>
        <w:r w:rsidRPr="004B5C8C">
          <w:rPr>
            <w:noProof/>
            <w:webHidden/>
          </w:rPr>
          <w:fldChar w:fldCharType="separate"/>
        </w:r>
        <w:r w:rsidR="00A654D8">
          <w:rPr>
            <w:noProof/>
            <w:webHidden/>
          </w:rPr>
          <w:t>30</w:t>
        </w:r>
        <w:r w:rsidRPr="004B5C8C">
          <w:rPr>
            <w:noProof/>
            <w:webHidden/>
          </w:rPr>
          <w:fldChar w:fldCharType="end"/>
        </w:r>
      </w:hyperlink>
    </w:p>
    <w:p w14:paraId="748840AF" w14:textId="382E8F40"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42" w:history="1">
        <w:r w:rsidRPr="004B5C8C">
          <w:rPr>
            <w:rStyle w:val="Hipercze"/>
            <w:noProof/>
            <w:lang w:eastAsia="pl-PL"/>
          </w:rPr>
          <w:t>4.3.</w:t>
        </w:r>
        <w:r w:rsidRPr="004B5C8C">
          <w:rPr>
            <w:rFonts w:eastAsiaTheme="minorEastAsia"/>
            <w:noProof/>
            <w:color w:val="auto"/>
            <w:kern w:val="2"/>
            <w:sz w:val="24"/>
            <w:szCs w:val="24"/>
            <w:lang w:eastAsia="pl-PL"/>
            <w14:ligatures w14:val="standardContextual"/>
          </w:rPr>
          <w:tab/>
        </w:r>
        <w:r w:rsidRPr="004B5C8C">
          <w:rPr>
            <w:rStyle w:val="Hipercze"/>
            <w:noProof/>
            <w:lang w:eastAsia="pl-PL"/>
          </w:rPr>
          <w:t>System ochrony</w:t>
        </w:r>
        <w:r w:rsidRPr="004B5C8C">
          <w:rPr>
            <w:noProof/>
            <w:webHidden/>
          </w:rPr>
          <w:tab/>
        </w:r>
        <w:r w:rsidRPr="004B5C8C">
          <w:rPr>
            <w:noProof/>
            <w:webHidden/>
          </w:rPr>
          <w:fldChar w:fldCharType="begin"/>
        </w:r>
        <w:r w:rsidRPr="004B5C8C">
          <w:rPr>
            <w:noProof/>
            <w:webHidden/>
          </w:rPr>
          <w:instrText xml:space="preserve"> PAGEREF _Toc177732042 \h </w:instrText>
        </w:r>
        <w:r w:rsidRPr="004B5C8C">
          <w:rPr>
            <w:noProof/>
            <w:webHidden/>
          </w:rPr>
        </w:r>
        <w:r w:rsidRPr="004B5C8C">
          <w:rPr>
            <w:noProof/>
            <w:webHidden/>
          </w:rPr>
          <w:fldChar w:fldCharType="separate"/>
        </w:r>
        <w:r w:rsidR="00A654D8">
          <w:rPr>
            <w:noProof/>
            <w:webHidden/>
          </w:rPr>
          <w:t>36</w:t>
        </w:r>
        <w:r w:rsidRPr="004B5C8C">
          <w:rPr>
            <w:noProof/>
            <w:webHidden/>
          </w:rPr>
          <w:fldChar w:fldCharType="end"/>
        </w:r>
      </w:hyperlink>
    </w:p>
    <w:p w14:paraId="2A26671F" w14:textId="73D3DB63"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43" w:history="1">
        <w:r w:rsidRPr="004B5C8C">
          <w:rPr>
            <w:rStyle w:val="Hipercze"/>
            <w:noProof/>
          </w:rPr>
          <w:t>4.3.1.</w:t>
        </w:r>
        <w:r w:rsidRPr="004B5C8C">
          <w:rPr>
            <w:rFonts w:eastAsiaTheme="minorEastAsia"/>
            <w:noProof/>
            <w:color w:val="auto"/>
            <w:kern w:val="2"/>
            <w:sz w:val="24"/>
            <w:szCs w:val="24"/>
            <w:lang w:eastAsia="pl-PL"/>
            <w14:ligatures w14:val="standardContextual"/>
          </w:rPr>
          <w:tab/>
        </w:r>
        <w:r w:rsidRPr="004B5C8C">
          <w:rPr>
            <w:rStyle w:val="Hipercze"/>
            <w:noProof/>
          </w:rPr>
          <w:t>Ochrona zdrowia</w:t>
        </w:r>
        <w:r w:rsidRPr="004B5C8C">
          <w:rPr>
            <w:noProof/>
            <w:webHidden/>
          </w:rPr>
          <w:tab/>
        </w:r>
        <w:r w:rsidRPr="004B5C8C">
          <w:rPr>
            <w:noProof/>
            <w:webHidden/>
          </w:rPr>
          <w:fldChar w:fldCharType="begin"/>
        </w:r>
        <w:r w:rsidRPr="004B5C8C">
          <w:rPr>
            <w:noProof/>
            <w:webHidden/>
          </w:rPr>
          <w:instrText xml:space="preserve"> PAGEREF _Toc177732043 \h </w:instrText>
        </w:r>
        <w:r w:rsidRPr="004B5C8C">
          <w:rPr>
            <w:noProof/>
            <w:webHidden/>
          </w:rPr>
        </w:r>
        <w:r w:rsidRPr="004B5C8C">
          <w:rPr>
            <w:noProof/>
            <w:webHidden/>
          </w:rPr>
          <w:fldChar w:fldCharType="separate"/>
        </w:r>
        <w:r w:rsidR="00A654D8">
          <w:rPr>
            <w:noProof/>
            <w:webHidden/>
          </w:rPr>
          <w:t>36</w:t>
        </w:r>
        <w:r w:rsidRPr="004B5C8C">
          <w:rPr>
            <w:noProof/>
            <w:webHidden/>
          </w:rPr>
          <w:fldChar w:fldCharType="end"/>
        </w:r>
      </w:hyperlink>
    </w:p>
    <w:p w14:paraId="1E4ED952" w14:textId="53B802DA"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44" w:history="1">
        <w:r w:rsidRPr="004B5C8C">
          <w:rPr>
            <w:rStyle w:val="Hipercze"/>
            <w:noProof/>
          </w:rPr>
          <w:t>4.3.2.</w:t>
        </w:r>
        <w:r w:rsidRPr="004B5C8C">
          <w:rPr>
            <w:rFonts w:eastAsiaTheme="minorEastAsia"/>
            <w:noProof/>
            <w:color w:val="auto"/>
            <w:kern w:val="2"/>
            <w:sz w:val="24"/>
            <w:szCs w:val="24"/>
            <w:lang w:eastAsia="pl-PL"/>
            <w14:ligatures w14:val="standardContextual"/>
          </w:rPr>
          <w:tab/>
        </w:r>
        <w:r w:rsidRPr="004B5C8C">
          <w:rPr>
            <w:rStyle w:val="Hipercze"/>
            <w:noProof/>
          </w:rPr>
          <w:t>Ochrona przed gwałtownymi zjawiskami pogodowymi</w:t>
        </w:r>
        <w:r w:rsidRPr="004B5C8C">
          <w:rPr>
            <w:noProof/>
            <w:webHidden/>
          </w:rPr>
          <w:tab/>
        </w:r>
        <w:r w:rsidRPr="004B5C8C">
          <w:rPr>
            <w:noProof/>
            <w:webHidden/>
          </w:rPr>
          <w:fldChar w:fldCharType="begin"/>
        </w:r>
        <w:r w:rsidRPr="004B5C8C">
          <w:rPr>
            <w:noProof/>
            <w:webHidden/>
          </w:rPr>
          <w:instrText xml:space="preserve"> PAGEREF _Toc177732044 \h </w:instrText>
        </w:r>
        <w:r w:rsidRPr="004B5C8C">
          <w:rPr>
            <w:noProof/>
            <w:webHidden/>
          </w:rPr>
        </w:r>
        <w:r w:rsidRPr="004B5C8C">
          <w:rPr>
            <w:noProof/>
            <w:webHidden/>
          </w:rPr>
          <w:fldChar w:fldCharType="separate"/>
        </w:r>
        <w:r w:rsidR="00A654D8">
          <w:rPr>
            <w:noProof/>
            <w:webHidden/>
          </w:rPr>
          <w:t>38</w:t>
        </w:r>
        <w:r w:rsidRPr="004B5C8C">
          <w:rPr>
            <w:noProof/>
            <w:webHidden/>
          </w:rPr>
          <w:fldChar w:fldCharType="end"/>
        </w:r>
      </w:hyperlink>
    </w:p>
    <w:p w14:paraId="51F3D616" w14:textId="5071209F"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45" w:history="1">
        <w:r w:rsidRPr="004B5C8C">
          <w:rPr>
            <w:rStyle w:val="Hipercze"/>
            <w:noProof/>
            <w:lang w:eastAsia="pl-PL"/>
          </w:rPr>
          <w:t>4.4.</w:t>
        </w:r>
        <w:r w:rsidRPr="004B5C8C">
          <w:rPr>
            <w:rFonts w:eastAsiaTheme="minorEastAsia"/>
            <w:noProof/>
            <w:color w:val="auto"/>
            <w:kern w:val="2"/>
            <w:sz w:val="24"/>
            <w:szCs w:val="24"/>
            <w:lang w:eastAsia="pl-PL"/>
            <w14:ligatures w14:val="standardContextual"/>
          </w:rPr>
          <w:tab/>
        </w:r>
        <w:r w:rsidRPr="004B5C8C">
          <w:rPr>
            <w:rStyle w:val="Hipercze"/>
            <w:noProof/>
            <w:lang w:eastAsia="pl-PL"/>
          </w:rPr>
          <w:t>Infrastruktura techniczna, energetyka i usługi komunalne</w:t>
        </w:r>
        <w:r w:rsidRPr="004B5C8C">
          <w:rPr>
            <w:noProof/>
            <w:webHidden/>
          </w:rPr>
          <w:tab/>
        </w:r>
        <w:r w:rsidRPr="004B5C8C">
          <w:rPr>
            <w:noProof/>
            <w:webHidden/>
          </w:rPr>
          <w:fldChar w:fldCharType="begin"/>
        </w:r>
        <w:r w:rsidRPr="004B5C8C">
          <w:rPr>
            <w:noProof/>
            <w:webHidden/>
          </w:rPr>
          <w:instrText xml:space="preserve"> PAGEREF _Toc177732045 \h </w:instrText>
        </w:r>
        <w:r w:rsidRPr="004B5C8C">
          <w:rPr>
            <w:noProof/>
            <w:webHidden/>
          </w:rPr>
        </w:r>
        <w:r w:rsidRPr="004B5C8C">
          <w:rPr>
            <w:noProof/>
            <w:webHidden/>
          </w:rPr>
          <w:fldChar w:fldCharType="separate"/>
        </w:r>
        <w:r w:rsidR="00A654D8">
          <w:rPr>
            <w:noProof/>
            <w:webHidden/>
          </w:rPr>
          <w:t>39</w:t>
        </w:r>
        <w:r w:rsidRPr="004B5C8C">
          <w:rPr>
            <w:noProof/>
            <w:webHidden/>
          </w:rPr>
          <w:fldChar w:fldCharType="end"/>
        </w:r>
      </w:hyperlink>
    </w:p>
    <w:p w14:paraId="1268E5C8" w14:textId="7626C3A8"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46" w:history="1">
        <w:r w:rsidRPr="004B5C8C">
          <w:rPr>
            <w:rStyle w:val="Hipercze"/>
            <w:noProof/>
          </w:rPr>
          <w:t>4.4.1.</w:t>
        </w:r>
        <w:r w:rsidRPr="004B5C8C">
          <w:rPr>
            <w:rFonts w:eastAsiaTheme="minorEastAsia"/>
            <w:noProof/>
            <w:color w:val="auto"/>
            <w:kern w:val="2"/>
            <w:sz w:val="24"/>
            <w:szCs w:val="24"/>
            <w:lang w:eastAsia="pl-PL"/>
            <w14:ligatures w14:val="standardContextual"/>
          </w:rPr>
          <w:tab/>
        </w:r>
        <w:r w:rsidRPr="004B5C8C">
          <w:rPr>
            <w:rStyle w:val="Hipercze"/>
            <w:noProof/>
          </w:rPr>
          <w:t>Sieć wodociągowa</w:t>
        </w:r>
        <w:r w:rsidRPr="004B5C8C">
          <w:rPr>
            <w:noProof/>
            <w:webHidden/>
          </w:rPr>
          <w:tab/>
        </w:r>
        <w:r w:rsidRPr="004B5C8C">
          <w:rPr>
            <w:noProof/>
            <w:webHidden/>
          </w:rPr>
          <w:fldChar w:fldCharType="begin"/>
        </w:r>
        <w:r w:rsidRPr="004B5C8C">
          <w:rPr>
            <w:noProof/>
            <w:webHidden/>
          </w:rPr>
          <w:instrText xml:space="preserve"> PAGEREF _Toc177732046 \h </w:instrText>
        </w:r>
        <w:r w:rsidRPr="004B5C8C">
          <w:rPr>
            <w:noProof/>
            <w:webHidden/>
          </w:rPr>
        </w:r>
        <w:r w:rsidRPr="004B5C8C">
          <w:rPr>
            <w:noProof/>
            <w:webHidden/>
          </w:rPr>
          <w:fldChar w:fldCharType="separate"/>
        </w:r>
        <w:r w:rsidR="00A654D8">
          <w:rPr>
            <w:noProof/>
            <w:webHidden/>
          </w:rPr>
          <w:t>39</w:t>
        </w:r>
        <w:r w:rsidRPr="004B5C8C">
          <w:rPr>
            <w:noProof/>
            <w:webHidden/>
          </w:rPr>
          <w:fldChar w:fldCharType="end"/>
        </w:r>
      </w:hyperlink>
    </w:p>
    <w:p w14:paraId="5D43F0B0" w14:textId="030DD7DB"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47" w:history="1">
        <w:r w:rsidRPr="004B5C8C">
          <w:rPr>
            <w:rStyle w:val="Hipercze"/>
            <w:noProof/>
          </w:rPr>
          <w:t>4.4.2.</w:t>
        </w:r>
        <w:r w:rsidRPr="004B5C8C">
          <w:rPr>
            <w:rFonts w:eastAsiaTheme="minorEastAsia"/>
            <w:noProof/>
            <w:color w:val="auto"/>
            <w:kern w:val="2"/>
            <w:sz w:val="24"/>
            <w:szCs w:val="24"/>
            <w:lang w:eastAsia="pl-PL"/>
            <w14:ligatures w14:val="standardContextual"/>
          </w:rPr>
          <w:tab/>
        </w:r>
        <w:r w:rsidRPr="004B5C8C">
          <w:rPr>
            <w:rStyle w:val="Hipercze"/>
            <w:noProof/>
          </w:rPr>
          <w:t>Sieć kanalizacyjna</w:t>
        </w:r>
        <w:r w:rsidRPr="004B5C8C">
          <w:rPr>
            <w:noProof/>
            <w:webHidden/>
          </w:rPr>
          <w:tab/>
        </w:r>
        <w:r w:rsidRPr="004B5C8C">
          <w:rPr>
            <w:noProof/>
            <w:webHidden/>
          </w:rPr>
          <w:fldChar w:fldCharType="begin"/>
        </w:r>
        <w:r w:rsidRPr="004B5C8C">
          <w:rPr>
            <w:noProof/>
            <w:webHidden/>
          </w:rPr>
          <w:instrText xml:space="preserve"> PAGEREF _Toc177732047 \h </w:instrText>
        </w:r>
        <w:r w:rsidRPr="004B5C8C">
          <w:rPr>
            <w:noProof/>
            <w:webHidden/>
          </w:rPr>
        </w:r>
        <w:r w:rsidRPr="004B5C8C">
          <w:rPr>
            <w:noProof/>
            <w:webHidden/>
          </w:rPr>
          <w:fldChar w:fldCharType="separate"/>
        </w:r>
        <w:r w:rsidR="00A654D8">
          <w:rPr>
            <w:noProof/>
            <w:webHidden/>
          </w:rPr>
          <w:t>41</w:t>
        </w:r>
        <w:r w:rsidRPr="004B5C8C">
          <w:rPr>
            <w:noProof/>
            <w:webHidden/>
          </w:rPr>
          <w:fldChar w:fldCharType="end"/>
        </w:r>
      </w:hyperlink>
    </w:p>
    <w:p w14:paraId="12757146" w14:textId="407E8702"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48" w:history="1">
        <w:r w:rsidRPr="004B5C8C">
          <w:rPr>
            <w:rStyle w:val="Hipercze"/>
            <w:noProof/>
          </w:rPr>
          <w:t>4.4.3.</w:t>
        </w:r>
        <w:r w:rsidRPr="004B5C8C">
          <w:rPr>
            <w:rFonts w:eastAsiaTheme="minorEastAsia"/>
            <w:noProof/>
            <w:color w:val="auto"/>
            <w:kern w:val="2"/>
            <w:sz w:val="24"/>
            <w:szCs w:val="24"/>
            <w:lang w:eastAsia="pl-PL"/>
            <w14:ligatures w14:val="standardContextual"/>
          </w:rPr>
          <w:tab/>
        </w:r>
        <w:r w:rsidRPr="004B5C8C">
          <w:rPr>
            <w:rStyle w:val="Hipercze"/>
            <w:noProof/>
          </w:rPr>
          <w:t>Sieć deszczowa</w:t>
        </w:r>
        <w:r w:rsidRPr="004B5C8C">
          <w:rPr>
            <w:noProof/>
            <w:webHidden/>
          </w:rPr>
          <w:tab/>
        </w:r>
        <w:r w:rsidRPr="004B5C8C">
          <w:rPr>
            <w:noProof/>
            <w:webHidden/>
          </w:rPr>
          <w:fldChar w:fldCharType="begin"/>
        </w:r>
        <w:r w:rsidRPr="004B5C8C">
          <w:rPr>
            <w:noProof/>
            <w:webHidden/>
          </w:rPr>
          <w:instrText xml:space="preserve"> PAGEREF _Toc177732048 \h </w:instrText>
        </w:r>
        <w:r w:rsidRPr="004B5C8C">
          <w:rPr>
            <w:noProof/>
            <w:webHidden/>
          </w:rPr>
        </w:r>
        <w:r w:rsidRPr="004B5C8C">
          <w:rPr>
            <w:noProof/>
            <w:webHidden/>
          </w:rPr>
          <w:fldChar w:fldCharType="separate"/>
        </w:r>
        <w:r w:rsidR="00A654D8">
          <w:rPr>
            <w:noProof/>
            <w:webHidden/>
          </w:rPr>
          <w:t>42</w:t>
        </w:r>
        <w:r w:rsidRPr="004B5C8C">
          <w:rPr>
            <w:noProof/>
            <w:webHidden/>
          </w:rPr>
          <w:fldChar w:fldCharType="end"/>
        </w:r>
      </w:hyperlink>
    </w:p>
    <w:p w14:paraId="3E873C08" w14:textId="27FAE013"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49" w:history="1">
        <w:r w:rsidRPr="004B5C8C">
          <w:rPr>
            <w:rStyle w:val="Hipercze"/>
            <w:noProof/>
          </w:rPr>
          <w:t>4.4.4.</w:t>
        </w:r>
        <w:r w:rsidRPr="004B5C8C">
          <w:rPr>
            <w:rFonts w:eastAsiaTheme="minorEastAsia"/>
            <w:noProof/>
            <w:color w:val="auto"/>
            <w:kern w:val="2"/>
            <w:sz w:val="24"/>
            <w:szCs w:val="24"/>
            <w:lang w:eastAsia="pl-PL"/>
            <w14:ligatures w14:val="standardContextual"/>
          </w:rPr>
          <w:tab/>
        </w:r>
        <w:r w:rsidRPr="004B5C8C">
          <w:rPr>
            <w:rStyle w:val="Hipercze"/>
            <w:noProof/>
          </w:rPr>
          <w:t>Sieć gazownicza</w:t>
        </w:r>
        <w:r w:rsidRPr="004B5C8C">
          <w:rPr>
            <w:noProof/>
            <w:webHidden/>
          </w:rPr>
          <w:tab/>
        </w:r>
        <w:r w:rsidRPr="004B5C8C">
          <w:rPr>
            <w:noProof/>
            <w:webHidden/>
          </w:rPr>
          <w:fldChar w:fldCharType="begin"/>
        </w:r>
        <w:r w:rsidRPr="004B5C8C">
          <w:rPr>
            <w:noProof/>
            <w:webHidden/>
          </w:rPr>
          <w:instrText xml:space="preserve"> PAGEREF _Toc177732049 \h </w:instrText>
        </w:r>
        <w:r w:rsidRPr="004B5C8C">
          <w:rPr>
            <w:noProof/>
            <w:webHidden/>
          </w:rPr>
        </w:r>
        <w:r w:rsidRPr="004B5C8C">
          <w:rPr>
            <w:noProof/>
            <w:webHidden/>
          </w:rPr>
          <w:fldChar w:fldCharType="separate"/>
        </w:r>
        <w:r w:rsidR="00A654D8">
          <w:rPr>
            <w:noProof/>
            <w:webHidden/>
          </w:rPr>
          <w:t>42</w:t>
        </w:r>
        <w:r w:rsidRPr="004B5C8C">
          <w:rPr>
            <w:noProof/>
            <w:webHidden/>
          </w:rPr>
          <w:fldChar w:fldCharType="end"/>
        </w:r>
      </w:hyperlink>
    </w:p>
    <w:p w14:paraId="6516E22F" w14:textId="7D3030E3"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50" w:history="1">
        <w:r w:rsidRPr="004B5C8C">
          <w:rPr>
            <w:rStyle w:val="Hipercze"/>
            <w:noProof/>
          </w:rPr>
          <w:t>4.4.1.</w:t>
        </w:r>
        <w:r w:rsidRPr="004B5C8C">
          <w:rPr>
            <w:rFonts w:eastAsiaTheme="minorEastAsia"/>
            <w:noProof/>
            <w:color w:val="auto"/>
            <w:kern w:val="2"/>
            <w:sz w:val="24"/>
            <w:szCs w:val="24"/>
            <w:lang w:eastAsia="pl-PL"/>
            <w14:ligatures w14:val="standardContextual"/>
          </w:rPr>
          <w:tab/>
        </w:r>
        <w:r w:rsidRPr="004B5C8C">
          <w:rPr>
            <w:rStyle w:val="Hipercze"/>
            <w:noProof/>
          </w:rPr>
          <w:t>Ciepło</w:t>
        </w:r>
        <w:r w:rsidRPr="004B5C8C">
          <w:rPr>
            <w:noProof/>
            <w:webHidden/>
          </w:rPr>
          <w:tab/>
        </w:r>
        <w:r w:rsidRPr="004B5C8C">
          <w:rPr>
            <w:noProof/>
            <w:webHidden/>
          </w:rPr>
          <w:fldChar w:fldCharType="begin"/>
        </w:r>
        <w:r w:rsidRPr="004B5C8C">
          <w:rPr>
            <w:noProof/>
            <w:webHidden/>
          </w:rPr>
          <w:instrText xml:space="preserve"> PAGEREF _Toc177732050 \h </w:instrText>
        </w:r>
        <w:r w:rsidRPr="004B5C8C">
          <w:rPr>
            <w:noProof/>
            <w:webHidden/>
          </w:rPr>
        </w:r>
        <w:r w:rsidRPr="004B5C8C">
          <w:rPr>
            <w:noProof/>
            <w:webHidden/>
          </w:rPr>
          <w:fldChar w:fldCharType="separate"/>
        </w:r>
        <w:r w:rsidR="00A654D8">
          <w:rPr>
            <w:noProof/>
            <w:webHidden/>
          </w:rPr>
          <w:t>44</w:t>
        </w:r>
        <w:r w:rsidRPr="004B5C8C">
          <w:rPr>
            <w:noProof/>
            <w:webHidden/>
          </w:rPr>
          <w:fldChar w:fldCharType="end"/>
        </w:r>
      </w:hyperlink>
    </w:p>
    <w:p w14:paraId="39F018C4" w14:textId="20AEBD2F"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51" w:history="1">
        <w:r w:rsidRPr="004B5C8C">
          <w:rPr>
            <w:rStyle w:val="Hipercze"/>
            <w:noProof/>
          </w:rPr>
          <w:t>4.4.2.</w:t>
        </w:r>
        <w:r w:rsidRPr="004B5C8C">
          <w:rPr>
            <w:rFonts w:eastAsiaTheme="minorEastAsia"/>
            <w:noProof/>
            <w:color w:val="auto"/>
            <w:kern w:val="2"/>
            <w:sz w:val="24"/>
            <w:szCs w:val="24"/>
            <w:lang w:eastAsia="pl-PL"/>
            <w14:ligatures w14:val="standardContextual"/>
          </w:rPr>
          <w:tab/>
        </w:r>
        <w:r w:rsidRPr="004B5C8C">
          <w:rPr>
            <w:rStyle w:val="Hipercze"/>
            <w:noProof/>
          </w:rPr>
          <w:t>Energia elektryczna</w:t>
        </w:r>
        <w:r w:rsidRPr="004B5C8C">
          <w:rPr>
            <w:noProof/>
            <w:webHidden/>
          </w:rPr>
          <w:tab/>
        </w:r>
        <w:r w:rsidRPr="004B5C8C">
          <w:rPr>
            <w:noProof/>
            <w:webHidden/>
          </w:rPr>
          <w:fldChar w:fldCharType="begin"/>
        </w:r>
        <w:r w:rsidRPr="004B5C8C">
          <w:rPr>
            <w:noProof/>
            <w:webHidden/>
          </w:rPr>
          <w:instrText xml:space="preserve"> PAGEREF _Toc177732051 \h </w:instrText>
        </w:r>
        <w:r w:rsidRPr="004B5C8C">
          <w:rPr>
            <w:noProof/>
            <w:webHidden/>
          </w:rPr>
        </w:r>
        <w:r w:rsidRPr="004B5C8C">
          <w:rPr>
            <w:noProof/>
            <w:webHidden/>
          </w:rPr>
          <w:fldChar w:fldCharType="separate"/>
        </w:r>
        <w:r w:rsidR="00A654D8">
          <w:rPr>
            <w:noProof/>
            <w:webHidden/>
          </w:rPr>
          <w:t>46</w:t>
        </w:r>
        <w:r w:rsidRPr="004B5C8C">
          <w:rPr>
            <w:noProof/>
            <w:webHidden/>
          </w:rPr>
          <w:fldChar w:fldCharType="end"/>
        </w:r>
      </w:hyperlink>
    </w:p>
    <w:p w14:paraId="4AF2DC10" w14:textId="11FD4731"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52" w:history="1">
        <w:r w:rsidRPr="004B5C8C">
          <w:rPr>
            <w:rStyle w:val="Hipercze"/>
            <w:noProof/>
          </w:rPr>
          <w:t>4.4.3.</w:t>
        </w:r>
        <w:r w:rsidRPr="004B5C8C">
          <w:rPr>
            <w:rFonts w:eastAsiaTheme="minorEastAsia"/>
            <w:noProof/>
            <w:color w:val="auto"/>
            <w:kern w:val="2"/>
            <w:sz w:val="24"/>
            <w:szCs w:val="24"/>
            <w:lang w:eastAsia="pl-PL"/>
            <w14:ligatures w14:val="standardContextual"/>
          </w:rPr>
          <w:tab/>
        </w:r>
        <w:r w:rsidRPr="004B5C8C">
          <w:rPr>
            <w:rStyle w:val="Hipercze"/>
            <w:noProof/>
          </w:rPr>
          <w:t>Oświetlenie uliczne</w:t>
        </w:r>
        <w:r w:rsidRPr="004B5C8C">
          <w:rPr>
            <w:noProof/>
            <w:webHidden/>
          </w:rPr>
          <w:tab/>
        </w:r>
        <w:r w:rsidRPr="004B5C8C">
          <w:rPr>
            <w:noProof/>
            <w:webHidden/>
          </w:rPr>
          <w:fldChar w:fldCharType="begin"/>
        </w:r>
        <w:r w:rsidRPr="004B5C8C">
          <w:rPr>
            <w:noProof/>
            <w:webHidden/>
          </w:rPr>
          <w:instrText xml:space="preserve"> PAGEREF _Toc177732052 \h </w:instrText>
        </w:r>
        <w:r w:rsidRPr="004B5C8C">
          <w:rPr>
            <w:noProof/>
            <w:webHidden/>
          </w:rPr>
        </w:r>
        <w:r w:rsidRPr="004B5C8C">
          <w:rPr>
            <w:noProof/>
            <w:webHidden/>
          </w:rPr>
          <w:fldChar w:fldCharType="separate"/>
        </w:r>
        <w:r w:rsidR="00A654D8">
          <w:rPr>
            <w:noProof/>
            <w:webHidden/>
          </w:rPr>
          <w:t>49</w:t>
        </w:r>
        <w:r w:rsidRPr="004B5C8C">
          <w:rPr>
            <w:noProof/>
            <w:webHidden/>
          </w:rPr>
          <w:fldChar w:fldCharType="end"/>
        </w:r>
      </w:hyperlink>
    </w:p>
    <w:p w14:paraId="61F128E1" w14:textId="0470EF21"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53" w:history="1">
        <w:r w:rsidRPr="004B5C8C">
          <w:rPr>
            <w:rStyle w:val="Hipercze"/>
            <w:noProof/>
          </w:rPr>
          <w:t>4.4.4.</w:t>
        </w:r>
        <w:r w:rsidRPr="004B5C8C">
          <w:rPr>
            <w:rFonts w:eastAsiaTheme="minorEastAsia"/>
            <w:noProof/>
            <w:color w:val="auto"/>
            <w:kern w:val="2"/>
            <w:sz w:val="24"/>
            <w:szCs w:val="24"/>
            <w:lang w:eastAsia="pl-PL"/>
            <w14:ligatures w14:val="standardContextual"/>
          </w:rPr>
          <w:tab/>
        </w:r>
        <w:r w:rsidRPr="004B5C8C">
          <w:rPr>
            <w:rStyle w:val="Hipercze"/>
            <w:noProof/>
          </w:rPr>
          <w:t>Transport</w:t>
        </w:r>
        <w:r w:rsidRPr="004B5C8C">
          <w:rPr>
            <w:noProof/>
            <w:webHidden/>
          </w:rPr>
          <w:tab/>
        </w:r>
        <w:r w:rsidRPr="004B5C8C">
          <w:rPr>
            <w:noProof/>
            <w:webHidden/>
          </w:rPr>
          <w:fldChar w:fldCharType="begin"/>
        </w:r>
        <w:r w:rsidRPr="004B5C8C">
          <w:rPr>
            <w:noProof/>
            <w:webHidden/>
          </w:rPr>
          <w:instrText xml:space="preserve"> PAGEREF _Toc177732053 \h </w:instrText>
        </w:r>
        <w:r w:rsidRPr="004B5C8C">
          <w:rPr>
            <w:noProof/>
            <w:webHidden/>
          </w:rPr>
        </w:r>
        <w:r w:rsidRPr="004B5C8C">
          <w:rPr>
            <w:noProof/>
            <w:webHidden/>
          </w:rPr>
          <w:fldChar w:fldCharType="separate"/>
        </w:r>
        <w:r w:rsidR="00A654D8">
          <w:rPr>
            <w:noProof/>
            <w:webHidden/>
          </w:rPr>
          <w:t>50</w:t>
        </w:r>
        <w:r w:rsidRPr="004B5C8C">
          <w:rPr>
            <w:noProof/>
            <w:webHidden/>
          </w:rPr>
          <w:fldChar w:fldCharType="end"/>
        </w:r>
      </w:hyperlink>
    </w:p>
    <w:p w14:paraId="7BBA1C1F" w14:textId="3C01EBF7"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54" w:history="1">
        <w:r w:rsidRPr="004B5C8C">
          <w:rPr>
            <w:rStyle w:val="Hipercze"/>
            <w:noProof/>
          </w:rPr>
          <w:t>4.5.</w:t>
        </w:r>
        <w:r w:rsidRPr="004B5C8C">
          <w:rPr>
            <w:rFonts w:eastAsiaTheme="minorEastAsia"/>
            <w:noProof/>
            <w:color w:val="auto"/>
            <w:kern w:val="2"/>
            <w:sz w:val="24"/>
            <w:szCs w:val="24"/>
            <w:lang w:eastAsia="pl-PL"/>
            <w14:ligatures w14:val="standardContextual"/>
          </w:rPr>
          <w:tab/>
        </w:r>
        <w:r w:rsidRPr="004B5C8C">
          <w:rPr>
            <w:rStyle w:val="Hipercze"/>
            <w:noProof/>
          </w:rPr>
          <w:t>Uwarunkowania przyrodnicze</w:t>
        </w:r>
        <w:r w:rsidRPr="004B5C8C">
          <w:rPr>
            <w:noProof/>
            <w:webHidden/>
          </w:rPr>
          <w:tab/>
        </w:r>
        <w:r w:rsidRPr="004B5C8C">
          <w:rPr>
            <w:noProof/>
            <w:webHidden/>
          </w:rPr>
          <w:fldChar w:fldCharType="begin"/>
        </w:r>
        <w:r w:rsidRPr="004B5C8C">
          <w:rPr>
            <w:noProof/>
            <w:webHidden/>
          </w:rPr>
          <w:instrText xml:space="preserve"> PAGEREF _Toc177732054 \h </w:instrText>
        </w:r>
        <w:r w:rsidRPr="004B5C8C">
          <w:rPr>
            <w:noProof/>
            <w:webHidden/>
          </w:rPr>
        </w:r>
        <w:r w:rsidRPr="004B5C8C">
          <w:rPr>
            <w:noProof/>
            <w:webHidden/>
          </w:rPr>
          <w:fldChar w:fldCharType="separate"/>
        </w:r>
        <w:r w:rsidR="00A654D8">
          <w:rPr>
            <w:noProof/>
            <w:webHidden/>
          </w:rPr>
          <w:t>52</w:t>
        </w:r>
        <w:r w:rsidRPr="004B5C8C">
          <w:rPr>
            <w:noProof/>
            <w:webHidden/>
          </w:rPr>
          <w:fldChar w:fldCharType="end"/>
        </w:r>
      </w:hyperlink>
    </w:p>
    <w:p w14:paraId="2DD5D00B" w14:textId="3F22C951"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55" w:history="1">
        <w:r w:rsidRPr="004B5C8C">
          <w:rPr>
            <w:rStyle w:val="Hipercze"/>
            <w:noProof/>
          </w:rPr>
          <w:t>4.5.1.</w:t>
        </w:r>
        <w:r w:rsidRPr="004B5C8C">
          <w:rPr>
            <w:rFonts w:eastAsiaTheme="minorEastAsia"/>
            <w:noProof/>
            <w:color w:val="auto"/>
            <w:kern w:val="2"/>
            <w:sz w:val="24"/>
            <w:szCs w:val="24"/>
            <w:lang w:eastAsia="pl-PL"/>
            <w14:ligatures w14:val="standardContextual"/>
          </w:rPr>
          <w:tab/>
        </w:r>
        <w:r w:rsidRPr="004B5C8C">
          <w:rPr>
            <w:rStyle w:val="Hipercze"/>
            <w:noProof/>
          </w:rPr>
          <w:t>Ochrona przyrody</w:t>
        </w:r>
        <w:r w:rsidRPr="004B5C8C">
          <w:rPr>
            <w:noProof/>
            <w:webHidden/>
          </w:rPr>
          <w:tab/>
        </w:r>
        <w:r w:rsidRPr="004B5C8C">
          <w:rPr>
            <w:noProof/>
            <w:webHidden/>
          </w:rPr>
          <w:fldChar w:fldCharType="begin"/>
        </w:r>
        <w:r w:rsidRPr="004B5C8C">
          <w:rPr>
            <w:noProof/>
            <w:webHidden/>
          </w:rPr>
          <w:instrText xml:space="preserve"> PAGEREF _Toc177732055 \h </w:instrText>
        </w:r>
        <w:r w:rsidRPr="004B5C8C">
          <w:rPr>
            <w:noProof/>
            <w:webHidden/>
          </w:rPr>
        </w:r>
        <w:r w:rsidRPr="004B5C8C">
          <w:rPr>
            <w:noProof/>
            <w:webHidden/>
          </w:rPr>
          <w:fldChar w:fldCharType="separate"/>
        </w:r>
        <w:r w:rsidR="00A654D8">
          <w:rPr>
            <w:noProof/>
            <w:webHidden/>
          </w:rPr>
          <w:t>52</w:t>
        </w:r>
        <w:r w:rsidRPr="004B5C8C">
          <w:rPr>
            <w:noProof/>
            <w:webHidden/>
          </w:rPr>
          <w:fldChar w:fldCharType="end"/>
        </w:r>
      </w:hyperlink>
    </w:p>
    <w:p w14:paraId="7E9AF65B" w14:textId="5F42C9D3"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56" w:history="1">
        <w:r w:rsidRPr="004B5C8C">
          <w:rPr>
            <w:rStyle w:val="Hipercze"/>
            <w:noProof/>
          </w:rPr>
          <w:t>4.5.2.</w:t>
        </w:r>
        <w:r w:rsidRPr="004B5C8C">
          <w:rPr>
            <w:rFonts w:eastAsiaTheme="minorEastAsia"/>
            <w:noProof/>
            <w:color w:val="auto"/>
            <w:kern w:val="2"/>
            <w:sz w:val="24"/>
            <w:szCs w:val="24"/>
            <w:lang w:eastAsia="pl-PL"/>
            <w14:ligatures w14:val="standardContextual"/>
          </w:rPr>
          <w:tab/>
        </w:r>
        <w:r w:rsidRPr="004B5C8C">
          <w:rPr>
            <w:rStyle w:val="Hipercze"/>
            <w:noProof/>
          </w:rPr>
          <w:t>Lasy</w:t>
        </w:r>
        <w:r w:rsidRPr="004B5C8C">
          <w:rPr>
            <w:noProof/>
            <w:webHidden/>
          </w:rPr>
          <w:tab/>
        </w:r>
        <w:r w:rsidRPr="004B5C8C">
          <w:rPr>
            <w:noProof/>
            <w:webHidden/>
          </w:rPr>
          <w:fldChar w:fldCharType="begin"/>
        </w:r>
        <w:r w:rsidRPr="004B5C8C">
          <w:rPr>
            <w:noProof/>
            <w:webHidden/>
          </w:rPr>
          <w:instrText xml:space="preserve"> PAGEREF _Toc177732056 \h </w:instrText>
        </w:r>
        <w:r w:rsidRPr="004B5C8C">
          <w:rPr>
            <w:noProof/>
            <w:webHidden/>
          </w:rPr>
        </w:r>
        <w:r w:rsidRPr="004B5C8C">
          <w:rPr>
            <w:noProof/>
            <w:webHidden/>
          </w:rPr>
          <w:fldChar w:fldCharType="separate"/>
        </w:r>
        <w:r w:rsidR="00A654D8">
          <w:rPr>
            <w:noProof/>
            <w:webHidden/>
          </w:rPr>
          <w:t>52</w:t>
        </w:r>
        <w:r w:rsidRPr="004B5C8C">
          <w:rPr>
            <w:noProof/>
            <w:webHidden/>
          </w:rPr>
          <w:fldChar w:fldCharType="end"/>
        </w:r>
      </w:hyperlink>
    </w:p>
    <w:p w14:paraId="19EA0263" w14:textId="25D7D1D8"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57" w:history="1">
        <w:r w:rsidRPr="004B5C8C">
          <w:rPr>
            <w:rStyle w:val="Hipercze"/>
            <w:noProof/>
          </w:rPr>
          <w:t>4.5.3.</w:t>
        </w:r>
        <w:r w:rsidRPr="004B5C8C">
          <w:rPr>
            <w:rFonts w:eastAsiaTheme="minorEastAsia"/>
            <w:noProof/>
            <w:color w:val="auto"/>
            <w:kern w:val="2"/>
            <w:sz w:val="24"/>
            <w:szCs w:val="24"/>
            <w:lang w:eastAsia="pl-PL"/>
            <w14:ligatures w14:val="standardContextual"/>
          </w:rPr>
          <w:tab/>
        </w:r>
        <w:r w:rsidRPr="004B5C8C">
          <w:rPr>
            <w:rStyle w:val="Hipercze"/>
            <w:noProof/>
          </w:rPr>
          <w:t>Zieleń publiczna</w:t>
        </w:r>
        <w:r w:rsidRPr="004B5C8C">
          <w:rPr>
            <w:noProof/>
            <w:webHidden/>
          </w:rPr>
          <w:tab/>
        </w:r>
        <w:r w:rsidRPr="004B5C8C">
          <w:rPr>
            <w:noProof/>
            <w:webHidden/>
          </w:rPr>
          <w:fldChar w:fldCharType="begin"/>
        </w:r>
        <w:r w:rsidRPr="004B5C8C">
          <w:rPr>
            <w:noProof/>
            <w:webHidden/>
          </w:rPr>
          <w:instrText xml:space="preserve"> PAGEREF _Toc177732057 \h </w:instrText>
        </w:r>
        <w:r w:rsidRPr="004B5C8C">
          <w:rPr>
            <w:noProof/>
            <w:webHidden/>
          </w:rPr>
        </w:r>
        <w:r w:rsidRPr="004B5C8C">
          <w:rPr>
            <w:noProof/>
            <w:webHidden/>
          </w:rPr>
          <w:fldChar w:fldCharType="separate"/>
        </w:r>
        <w:r w:rsidR="00A654D8">
          <w:rPr>
            <w:noProof/>
            <w:webHidden/>
          </w:rPr>
          <w:t>52</w:t>
        </w:r>
        <w:r w:rsidRPr="004B5C8C">
          <w:rPr>
            <w:noProof/>
            <w:webHidden/>
          </w:rPr>
          <w:fldChar w:fldCharType="end"/>
        </w:r>
      </w:hyperlink>
    </w:p>
    <w:p w14:paraId="416A5739" w14:textId="26DECFB1"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58" w:history="1">
        <w:r w:rsidRPr="004B5C8C">
          <w:rPr>
            <w:rStyle w:val="Hipercze"/>
            <w:noProof/>
          </w:rPr>
          <w:t>4.5.4.</w:t>
        </w:r>
        <w:r w:rsidRPr="004B5C8C">
          <w:rPr>
            <w:rFonts w:eastAsiaTheme="minorEastAsia"/>
            <w:noProof/>
            <w:color w:val="auto"/>
            <w:kern w:val="2"/>
            <w:sz w:val="24"/>
            <w:szCs w:val="24"/>
            <w:lang w:eastAsia="pl-PL"/>
            <w14:ligatures w14:val="standardContextual"/>
          </w:rPr>
          <w:tab/>
        </w:r>
        <w:r w:rsidRPr="004B5C8C">
          <w:rPr>
            <w:rStyle w:val="Hipercze"/>
            <w:noProof/>
          </w:rPr>
          <w:t>Gatunki inwazyjne</w:t>
        </w:r>
        <w:r w:rsidRPr="004B5C8C">
          <w:rPr>
            <w:noProof/>
            <w:webHidden/>
          </w:rPr>
          <w:tab/>
        </w:r>
        <w:r w:rsidRPr="004B5C8C">
          <w:rPr>
            <w:noProof/>
            <w:webHidden/>
          </w:rPr>
          <w:fldChar w:fldCharType="begin"/>
        </w:r>
        <w:r w:rsidRPr="004B5C8C">
          <w:rPr>
            <w:noProof/>
            <w:webHidden/>
          </w:rPr>
          <w:instrText xml:space="preserve"> PAGEREF _Toc177732058 \h </w:instrText>
        </w:r>
        <w:r w:rsidRPr="004B5C8C">
          <w:rPr>
            <w:noProof/>
            <w:webHidden/>
          </w:rPr>
        </w:r>
        <w:r w:rsidRPr="004B5C8C">
          <w:rPr>
            <w:noProof/>
            <w:webHidden/>
          </w:rPr>
          <w:fldChar w:fldCharType="separate"/>
        </w:r>
        <w:r w:rsidR="00A654D8">
          <w:rPr>
            <w:noProof/>
            <w:webHidden/>
          </w:rPr>
          <w:t>54</w:t>
        </w:r>
        <w:r w:rsidRPr="004B5C8C">
          <w:rPr>
            <w:noProof/>
            <w:webHidden/>
          </w:rPr>
          <w:fldChar w:fldCharType="end"/>
        </w:r>
      </w:hyperlink>
    </w:p>
    <w:p w14:paraId="27A0F595" w14:textId="403F18FB"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59" w:history="1">
        <w:r w:rsidRPr="004B5C8C">
          <w:rPr>
            <w:rStyle w:val="Hipercze"/>
            <w:noProof/>
          </w:rPr>
          <w:t>4.5.5.</w:t>
        </w:r>
        <w:r w:rsidRPr="004B5C8C">
          <w:rPr>
            <w:rFonts w:eastAsiaTheme="minorEastAsia"/>
            <w:noProof/>
            <w:color w:val="auto"/>
            <w:kern w:val="2"/>
            <w:sz w:val="24"/>
            <w:szCs w:val="24"/>
            <w:lang w:eastAsia="pl-PL"/>
            <w14:ligatures w14:val="standardContextual"/>
          </w:rPr>
          <w:tab/>
        </w:r>
        <w:r w:rsidRPr="004B5C8C">
          <w:rPr>
            <w:rStyle w:val="Hipercze"/>
            <w:noProof/>
          </w:rPr>
          <w:t>Rolnictwo i uprawy</w:t>
        </w:r>
        <w:r w:rsidRPr="004B5C8C">
          <w:rPr>
            <w:noProof/>
            <w:webHidden/>
          </w:rPr>
          <w:tab/>
        </w:r>
        <w:r w:rsidRPr="004B5C8C">
          <w:rPr>
            <w:noProof/>
            <w:webHidden/>
          </w:rPr>
          <w:fldChar w:fldCharType="begin"/>
        </w:r>
        <w:r w:rsidRPr="004B5C8C">
          <w:rPr>
            <w:noProof/>
            <w:webHidden/>
          </w:rPr>
          <w:instrText xml:space="preserve"> PAGEREF _Toc177732059 \h </w:instrText>
        </w:r>
        <w:r w:rsidRPr="004B5C8C">
          <w:rPr>
            <w:noProof/>
            <w:webHidden/>
          </w:rPr>
        </w:r>
        <w:r w:rsidRPr="004B5C8C">
          <w:rPr>
            <w:noProof/>
            <w:webHidden/>
          </w:rPr>
          <w:fldChar w:fldCharType="separate"/>
        </w:r>
        <w:r w:rsidR="00A654D8">
          <w:rPr>
            <w:noProof/>
            <w:webHidden/>
          </w:rPr>
          <w:t>54</w:t>
        </w:r>
        <w:r w:rsidRPr="004B5C8C">
          <w:rPr>
            <w:noProof/>
            <w:webHidden/>
          </w:rPr>
          <w:fldChar w:fldCharType="end"/>
        </w:r>
      </w:hyperlink>
    </w:p>
    <w:p w14:paraId="64FA20BB" w14:textId="6962BE6F"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60" w:history="1">
        <w:r w:rsidRPr="004B5C8C">
          <w:rPr>
            <w:rStyle w:val="Hipercze"/>
            <w:noProof/>
          </w:rPr>
          <w:t>4.5.6.</w:t>
        </w:r>
        <w:r w:rsidRPr="004B5C8C">
          <w:rPr>
            <w:rFonts w:eastAsiaTheme="minorEastAsia"/>
            <w:noProof/>
            <w:color w:val="auto"/>
            <w:kern w:val="2"/>
            <w:sz w:val="24"/>
            <w:szCs w:val="24"/>
            <w:lang w:eastAsia="pl-PL"/>
            <w14:ligatures w14:val="standardContextual"/>
          </w:rPr>
          <w:tab/>
        </w:r>
        <w:r w:rsidRPr="004B5C8C">
          <w:rPr>
            <w:rStyle w:val="Hipercze"/>
            <w:noProof/>
          </w:rPr>
          <w:t>Wody powierzchniowe</w:t>
        </w:r>
        <w:r w:rsidRPr="004B5C8C">
          <w:rPr>
            <w:noProof/>
            <w:webHidden/>
          </w:rPr>
          <w:tab/>
        </w:r>
        <w:r w:rsidRPr="004B5C8C">
          <w:rPr>
            <w:noProof/>
            <w:webHidden/>
          </w:rPr>
          <w:fldChar w:fldCharType="begin"/>
        </w:r>
        <w:r w:rsidRPr="004B5C8C">
          <w:rPr>
            <w:noProof/>
            <w:webHidden/>
          </w:rPr>
          <w:instrText xml:space="preserve"> PAGEREF _Toc177732060 \h </w:instrText>
        </w:r>
        <w:r w:rsidRPr="004B5C8C">
          <w:rPr>
            <w:noProof/>
            <w:webHidden/>
          </w:rPr>
        </w:r>
        <w:r w:rsidRPr="004B5C8C">
          <w:rPr>
            <w:noProof/>
            <w:webHidden/>
          </w:rPr>
          <w:fldChar w:fldCharType="separate"/>
        </w:r>
        <w:r w:rsidR="00A654D8">
          <w:rPr>
            <w:noProof/>
            <w:webHidden/>
          </w:rPr>
          <w:t>55</w:t>
        </w:r>
        <w:r w:rsidRPr="004B5C8C">
          <w:rPr>
            <w:noProof/>
            <w:webHidden/>
          </w:rPr>
          <w:fldChar w:fldCharType="end"/>
        </w:r>
      </w:hyperlink>
    </w:p>
    <w:p w14:paraId="6AC68A56" w14:textId="3FE0EA2F"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61" w:history="1">
        <w:r w:rsidRPr="004B5C8C">
          <w:rPr>
            <w:rStyle w:val="Hipercze"/>
            <w:noProof/>
          </w:rPr>
          <w:t>4.5.7.</w:t>
        </w:r>
        <w:r w:rsidRPr="004B5C8C">
          <w:rPr>
            <w:rFonts w:eastAsiaTheme="minorEastAsia"/>
            <w:noProof/>
            <w:color w:val="auto"/>
            <w:kern w:val="2"/>
            <w:sz w:val="24"/>
            <w:szCs w:val="24"/>
            <w:lang w:eastAsia="pl-PL"/>
            <w14:ligatures w14:val="standardContextual"/>
          </w:rPr>
          <w:tab/>
        </w:r>
        <w:r w:rsidRPr="004B5C8C">
          <w:rPr>
            <w:rStyle w:val="Hipercze"/>
            <w:noProof/>
          </w:rPr>
          <w:t>Wody podziemne</w:t>
        </w:r>
        <w:r w:rsidRPr="004B5C8C">
          <w:rPr>
            <w:noProof/>
            <w:webHidden/>
          </w:rPr>
          <w:tab/>
        </w:r>
        <w:r w:rsidRPr="004B5C8C">
          <w:rPr>
            <w:noProof/>
            <w:webHidden/>
          </w:rPr>
          <w:fldChar w:fldCharType="begin"/>
        </w:r>
        <w:r w:rsidRPr="004B5C8C">
          <w:rPr>
            <w:noProof/>
            <w:webHidden/>
          </w:rPr>
          <w:instrText xml:space="preserve"> PAGEREF _Toc177732061 \h </w:instrText>
        </w:r>
        <w:r w:rsidRPr="004B5C8C">
          <w:rPr>
            <w:noProof/>
            <w:webHidden/>
          </w:rPr>
        </w:r>
        <w:r w:rsidRPr="004B5C8C">
          <w:rPr>
            <w:noProof/>
            <w:webHidden/>
          </w:rPr>
          <w:fldChar w:fldCharType="separate"/>
        </w:r>
        <w:r w:rsidR="00A654D8">
          <w:rPr>
            <w:noProof/>
            <w:webHidden/>
          </w:rPr>
          <w:t>58</w:t>
        </w:r>
        <w:r w:rsidRPr="004B5C8C">
          <w:rPr>
            <w:noProof/>
            <w:webHidden/>
          </w:rPr>
          <w:fldChar w:fldCharType="end"/>
        </w:r>
      </w:hyperlink>
    </w:p>
    <w:p w14:paraId="5DB5EE5D" w14:textId="2E92FC94"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62" w:history="1">
        <w:r w:rsidRPr="004B5C8C">
          <w:rPr>
            <w:rStyle w:val="Hipercze"/>
            <w:noProof/>
          </w:rPr>
          <w:t>4.5.8.</w:t>
        </w:r>
        <w:r w:rsidRPr="004B5C8C">
          <w:rPr>
            <w:rFonts w:eastAsiaTheme="minorEastAsia"/>
            <w:noProof/>
            <w:color w:val="auto"/>
            <w:kern w:val="2"/>
            <w:sz w:val="24"/>
            <w:szCs w:val="24"/>
            <w:lang w:eastAsia="pl-PL"/>
            <w14:ligatures w14:val="standardContextual"/>
          </w:rPr>
          <w:tab/>
        </w:r>
        <w:r w:rsidRPr="004B5C8C">
          <w:rPr>
            <w:rStyle w:val="Hipercze"/>
            <w:noProof/>
          </w:rPr>
          <w:t>Warunki klimatyczne</w:t>
        </w:r>
        <w:r w:rsidRPr="004B5C8C">
          <w:rPr>
            <w:noProof/>
            <w:webHidden/>
          </w:rPr>
          <w:tab/>
        </w:r>
        <w:r w:rsidRPr="004B5C8C">
          <w:rPr>
            <w:noProof/>
            <w:webHidden/>
          </w:rPr>
          <w:fldChar w:fldCharType="begin"/>
        </w:r>
        <w:r w:rsidRPr="004B5C8C">
          <w:rPr>
            <w:noProof/>
            <w:webHidden/>
          </w:rPr>
          <w:instrText xml:space="preserve"> PAGEREF _Toc177732062 \h </w:instrText>
        </w:r>
        <w:r w:rsidRPr="004B5C8C">
          <w:rPr>
            <w:noProof/>
            <w:webHidden/>
          </w:rPr>
        </w:r>
        <w:r w:rsidRPr="004B5C8C">
          <w:rPr>
            <w:noProof/>
            <w:webHidden/>
          </w:rPr>
          <w:fldChar w:fldCharType="separate"/>
        </w:r>
        <w:r w:rsidR="00A654D8">
          <w:rPr>
            <w:noProof/>
            <w:webHidden/>
          </w:rPr>
          <w:t>59</w:t>
        </w:r>
        <w:r w:rsidRPr="004B5C8C">
          <w:rPr>
            <w:noProof/>
            <w:webHidden/>
          </w:rPr>
          <w:fldChar w:fldCharType="end"/>
        </w:r>
      </w:hyperlink>
    </w:p>
    <w:p w14:paraId="27865FFF" w14:textId="429DBB84"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63" w:history="1">
        <w:r w:rsidRPr="004B5C8C">
          <w:rPr>
            <w:rStyle w:val="Hipercze"/>
            <w:noProof/>
          </w:rPr>
          <w:t>4.6.</w:t>
        </w:r>
        <w:r w:rsidRPr="004B5C8C">
          <w:rPr>
            <w:rFonts w:eastAsiaTheme="minorEastAsia"/>
            <w:noProof/>
            <w:color w:val="auto"/>
            <w:kern w:val="2"/>
            <w:sz w:val="24"/>
            <w:szCs w:val="24"/>
            <w:lang w:eastAsia="pl-PL"/>
            <w14:ligatures w14:val="standardContextual"/>
          </w:rPr>
          <w:tab/>
        </w:r>
        <w:r w:rsidRPr="004B5C8C">
          <w:rPr>
            <w:rStyle w:val="Hipercze"/>
            <w:noProof/>
          </w:rPr>
          <w:t>Główne zagrożenia wynikające ze zmian klimatu</w:t>
        </w:r>
        <w:r w:rsidRPr="004B5C8C">
          <w:rPr>
            <w:noProof/>
            <w:webHidden/>
          </w:rPr>
          <w:tab/>
        </w:r>
        <w:r w:rsidRPr="004B5C8C">
          <w:rPr>
            <w:noProof/>
            <w:webHidden/>
          </w:rPr>
          <w:fldChar w:fldCharType="begin"/>
        </w:r>
        <w:r w:rsidRPr="004B5C8C">
          <w:rPr>
            <w:noProof/>
            <w:webHidden/>
          </w:rPr>
          <w:instrText xml:space="preserve"> PAGEREF _Toc177732063 \h </w:instrText>
        </w:r>
        <w:r w:rsidRPr="004B5C8C">
          <w:rPr>
            <w:noProof/>
            <w:webHidden/>
          </w:rPr>
        </w:r>
        <w:r w:rsidRPr="004B5C8C">
          <w:rPr>
            <w:noProof/>
            <w:webHidden/>
          </w:rPr>
          <w:fldChar w:fldCharType="separate"/>
        </w:r>
        <w:r w:rsidR="00A654D8">
          <w:rPr>
            <w:noProof/>
            <w:webHidden/>
          </w:rPr>
          <w:t>62</w:t>
        </w:r>
        <w:r w:rsidRPr="004B5C8C">
          <w:rPr>
            <w:noProof/>
            <w:webHidden/>
          </w:rPr>
          <w:fldChar w:fldCharType="end"/>
        </w:r>
      </w:hyperlink>
    </w:p>
    <w:p w14:paraId="691D76ED" w14:textId="1445883F"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64" w:history="1">
        <w:r w:rsidRPr="004B5C8C">
          <w:rPr>
            <w:rStyle w:val="Hipercze"/>
            <w:noProof/>
          </w:rPr>
          <w:t>4.6.1.</w:t>
        </w:r>
        <w:r w:rsidRPr="004B5C8C">
          <w:rPr>
            <w:rFonts w:eastAsiaTheme="minorEastAsia"/>
            <w:noProof/>
            <w:color w:val="auto"/>
            <w:kern w:val="2"/>
            <w:sz w:val="24"/>
            <w:szCs w:val="24"/>
            <w:lang w:eastAsia="pl-PL"/>
            <w14:ligatures w14:val="standardContextual"/>
          </w:rPr>
          <w:tab/>
        </w:r>
        <w:r w:rsidRPr="004B5C8C">
          <w:rPr>
            <w:rStyle w:val="Hipercze"/>
            <w:noProof/>
          </w:rPr>
          <w:t>Temperatury i opady</w:t>
        </w:r>
        <w:r w:rsidRPr="004B5C8C">
          <w:rPr>
            <w:noProof/>
            <w:webHidden/>
          </w:rPr>
          <w:tab/>
        </w:r>
        <w:r w:rsidRPr="004B5C8C">
          <w:rPr>
            <w:noProof/>
            <w:webHidden/>
          </w:rPr>
          <w:fldChar w:fldCharType="begin"/>
        </w:r>
        <w:r w:rsidRPr="004B5C8C">
          <w:rPr>
            <w:noProof/>
            <w:webHidden/>
          </w:rPr>
          <w:instrText xml:space="preserve"> PAGEREF _Toc177732064 \h </w:instrText>
        </w:r>
        <w:r w:rsidRPr="004B5C8C">
          <w:rPr>
            <w:noProof/>
            <w:webHidden/>
          </w:rPr>
        </w:r>
        <w:r w:rsidRPr="004B5C8C">
          <w:rPr>
            <w:noProof/>
            <w:webHidden/>
          </w:rPr>
          <w:fldChar w:fldCharType="separate"/>
        </w:r>
        <w:r w:rsidR="00A654D8">
          <w:rPr>
            <w:noProof/>
            <w:webHidden/>
          </w:rPr>
          <w:t>62</w:t>
        </w:r>
        <w:r w:rsidRPr="004B5C8C">
          <w:rPr>
            <w:noProof/>
            <w:webHidden/>
          </w:rPr>
          <w:fldChar w:fldCharType="end"/>
        </w:r>
      </w:hyperlink>
    </w:p>
    <w:p w14:paraId="2A685244" w14:textId="77772FAC"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65" w:history="1">
        <w:r w:rsidRPr="004B5C8C">
          <w:rPr>
            <w:rStyle w:val="Hipercze"/>
            <w:noProof/>
          </w:rPr>
          <w:t>4.6.2.</w:t>
        </w:r>
        <w:r w:rsidRPr="004B5C8C">
          <w:rPr>
            <w:rFonts w:eastAsiaTheme="minorEastAsia"/>
            <w:noProof/>
            <w:color w:val="auto"/>
            <w:kern w:val="2"/>
            <w:sz w:val="24"/>
            <w:szCs w:val="24"/>
            <w:lang w:eastAsia="pl-PL"/>
            <w14:ligatures w14:val="standardContextual"/>
          </w:rPr>
          <w:tab/>
        </w:r>
        <w:r w:rsidRPr="004B5C8C">
          <w:rPr>
            <w:rStyle w:val="Hipercze"/>
            <w:noProof/>
          </w:rPr>
          <w:t>Powodzie i podtopienia</w:t>
        </w:r>
        <w:r w:rsidRPr="004B5C8C">
          <w:rPr>
            <w:noProof/>
            <w:webHidden/>
          </w:rPr>
          <w:tab/>
        </w:r>
        <w:r w:rsidRPr="004B5C8C">
          <w:rPr>
            <w:noProof/>
            <w:webHidden/>
          </w:rPr>
          <w:fldChar w:fldCharType="begin"/>
        </w:r>
        <w:r w:rsidRPr="004B5C8C">
          <w:rPr>
            <w:noProof/>
            <w:webHidden/>
          </w:rPr>
          <w:instrText xml:space="preserve"> PAGEREF _Toc177732065 \h </w:instrText>
        </w:r>
        <w:r w:rsidRPr="004B5C8C">
          <w:rPr>
            <w:noProof/>
            <w:webHidden/>
          </w:rPr>
        </w:r>
        <w:r w:rsidRPr="004B5C8C">
          <w:rPr>
            <w:noProof/>
            <w:webHidden/>
          </w:rPr>
          <w:fldChar w:fldCharType="separate"/>
        </w:r>
        <w:r w:rsidR="00A654D8">
          <w:rPr>
            <w:noProof/>
            <w:webHidden/>
          </w:rPr>
          <w:t>67</w:t>
        </w:r>
        <w:r w:rsidRPr="004B5C8C">
          <w:rPr>
            <w:noProof/>
            <w:webHidden/>
          </w:rPr>
          <w:fldChar w:fldCharType="end"/>
        </w:r>
      </w:hyperlink>
    </w:p>
    <w:p w14:paraId="7F28D151" w14:textId="14AE8946"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66" w:history="1">
        <w:r w:rsidRPr="004B5C8C">
          <w:rPr>
            <w:rStyle w:val="Hipercze"/>
            <w:noProof/>
          </w:rPr>
          <w:t>4.6.3.</w:t>
        </w:r>
        <w:r w:rsidRPr="004B5C8C">
          <w:rPr>
            <w:rFonts w:eastAsiaTheme="minorEastAsia"/>
            <w:noProof/>
            <w:color w:val="auto"/>
            <w:kern w:val="2"/>
            <w:sz w:val="24"/>
            <w:szCs w:val="24"/>
            <w:lang w:eastAsia="pl-PL"/>
            <w14:ligatures w14:val="standardContextual"/>
          </w:rPr>
          <w:tab/>
        </w:r>
        <w:r w:rsidRPr="004B5C8C">
          <w:rPr>
            <w:rStyle w:val="Hipercze"/>
            <w:noProof/>
          </w:rPr>
          <w:t>Susza</w:t>
        </w:r>
        <w:r w:rsidRPr="004B5C8C">
          <w:rPr>
            <w:noProof/>
            <w:webHidden/>
          </w:rPr>
          <w:tab/>
        </w:r>
        <w:r w:rsidRPr="004B5C8C">
          <w:rPr>
            <w:noProof/>
            <w:webHidden/>
          </w:rPr>
          <w:fldChar w:fldCharType="begin"/>
        </w:r>
        <w:r w:rsidRPr="004B5C8C">
          <w:rPr>
            <w:noProof/>
            <w:webHidden/>
          </w:rPr>
          <w:instrText xml:space="preserve"> PAGEREF _Toc177732066 \h </w:instrText>
        </w:r>
        <w:r w:rsidRPr="004B5C8C">
          <w:rPr>
            <w:noProof/>
            <w:webHidden/>
          </w:rPr>
        </w:r>
        <w:r w:rsidRPr="004B5C8C">
          <w:rPr>
            <w:noProof/>
            <w:webHidden/>
          </w:rPr>
          <w:fldChar w:fldCharType="separate"/>
        </w:r>
        <w:r w:rsidR="00A654D8">
          <w:rPr>
            <w:noProof/>
            <w:webHidden/>
          </w:rPr>
          <w:t>68</w:t>
        </w:r>
        <w:r w:rsidRPr="004B5C8C">
          <w:rPr>
            <w:noProof/>
            <w:webHidden/>
          </w:rPr>
          <w:fldChar w:fldCharType="end"/>
        </w:r>
      </w:hyperlink>
    </w:p>
    <w:p w14:paraId="5BF30FBA" w14:textId="34BF21E0"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67" w:history="1">
        <w:r w:rsidRPr="004B5C8C">
          <w:rPr>
            <w:rStyle w:val="Hipercze"/>
            <w:noProof/>
          </w:rPr>
          <w:t>4.6.4.</w:t>
        </w:r>
        <w:r w:rsidRPr="004B5C8C">
          <w:rPr>
            <w:rFonts w:eastAsiaTheme="minorEastAsia"/>
            <w:noProof/>
            <w:color w:val="auto"/>
            <w:kern w:val="2"/>
            <w:sz w:val="24"/>
            <w:szCs w:val="24"/>
            <w:lang w:eastAsia="pl-PL"/>
            <w14:ligatures w14:val="standardContextual"/>
          </w:rPr>
          <w:tab/>
        </w:r>
        <w:r w:rsidRPr="004B5C8C">
          <w:rPr>
            <w:rStyle w:val="Hipercze"/>
            <w:noProof/>
          </w:rPr>
          <w:t>Retencja wód</w:t>
        </w:r>
        <w:r w:rsidRPr="004B5C8C">
          <w:rPr>
            <w:noProof/>
            <w:webHidden/>
          </w:rPr>
          <w:tab/>
        </w:r>
        <w:r w:rsidRPr="004B5C8C">
          <w:rPr>
            <w:noProof/>
            <w:webHidden/>
          </w:rPr>
          <w:fldChar w:fldCharType="begin"/>
        </w:r>
        <w:r w:rsidRPr="004B5C8C">
          <w:rPr>
            <w:noProof/>
            <w:webHidden/>
          </w:rPr>
          <w:instrText xml:space="preserve"> PAGEREF _Toc177732067 \h </w:instrText>
        </w:r>
        <w:r w:rsidRPr="004B5C8C">
          <w:rPr>
            <w:noProof/>
            <w:webHidden/>
          </w:rPr>
        </w:r>
        <w:r w:rsidRPr="004B5C8C">
          <w:rPr>
            <w:noProof/>
            <w:webHidden/>
          </w:rPr>
          <w:fldChar w:fldCharType="separate"/>
        </w:r>
        <w:r w:rsidR="00A654D8">
          <w:rPr>
            <w:noProof/>
            <w:webHidden/>
          </w:rPr>
          <w:t>72</w:t>
        </w:r>
        <w:r w:rsidRPr="004B5C8C">
          <w:rPr>
            <w:noProof/>
            <w:webHidden/>
          </w:rPr>
          <w:fldChar w:fldCharType="end"/>
        </w:r>
      </w:hyperlink>
    </w:p>
    <w:p w14:paraId="16AF43CA" w14:textId="00425A30"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68" w:history="1">
        <w:r w:rsidRPr="004B5C8C">
          <w:rPr>
            <w:rStyle w:val="Hipercze"/>
            <w:noProof/>
          </w:rPr>
          <w:t>4.6.5.</w:t>
        </w:r>
        <w:r w:rsidRPr="004B5C8C">
          <w:rPr>
            <w:rFonts w:eastAsiaTheme="minorEastAsia"/>
            <w:noProof/>
            <w:color w:val="auto"/>
            <w:kern w:val="2"/>
            <w:sz w:val="24"/>
            <w:szCs w:val="24"/>
            <w:lang w:eastAsia="pl-PL"/>
            <w14:ligatures w14:val="standardContextual"/>
          </w:rPr>
          <w:tab/>
        </w:r>
        <w:r w:rsidRPr="004B5C8C">
          <w:rPr>
            <w:rStyle w:val="Hipercze"/>
            <w:noProof/>
          </w:rPr>
          <w:t>Zagospodarowanie terenu</w:t>
        </w:r>
        <w:r w:rsidRPr="004B5C8C">
          <w:rPr>
            <w:noProof/>
            <w:webHidden/>
          </w:rPr>
          <w:tab/>
        </w:r>
        <w:r w:rsidRPr="004B5C8C">
          <w:rPr>
            <w:noProof/>
            <w:webHidden/>
          </w:rPr>
          <w:fldChar w:fldCharType="begin"/>
        </w:r>
        <w:r w:rsidRPr="004B5C8C">
          <w:rPr>
            <w:noProof/>
            <w:webHidden/>
          </w:rPr>
          <w:instrText xml:space="preserve"> PAGEREF _Toc177732068 \h </w:instrText>
        </w:r>
        <w:r w:rsidRPr="004B5C8C">
          <w:rPr>
            <w:noProof/>
            <w:webHidden/>
          </w:rPr>
        </w:r>
        <w:r w:rsidRPr="004B5C8C">
          <w:rPr>
            <w:noProof/>
            <w:webHidden/>
          </w:rPr>
          <w:fldChar w:fldCharType="separate"/>
        </w:r>
        <w:r w:rsidR="00A654D8">
          <w:rPr>
            <w:noProof/>
            <w:webHidden/>
          </w:rPr>
          <w:t>73</w:t>
        </w:r>
        <w:r w:rsidRPr="004B5C8C">
          <w:rPr>
            <w:noProof/>
            <w:webHidden/>
          </w:rPr>
          <w:fldChar w:fldCharType="end"/>
        </w:r>
      </w:hyperlink>
    </w:p>
    <w:p w14:paraId="5CC86177" w14:textId="39E6968A"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69" w:history="1">
        <w:r w:rsidRPr="004B5C8C">
          <w:rPr>
            <w:rStyle w:val="Hipercze"/>
            <w:noProof/>
          </w:rPr>
          <w:t>4.6.6.</w:t>
        </w:r>
        <w:r w:rsidRPr="004B5C8C">
          <w:rPr>
            <w:rFonts w:eastAsiaTheme="minorEastAsia"/>
            <w:noProof/>
            <w:color w:val="auto"/>
            <w:kern w:val="2"/>
            <w:sz w:val="24"/>
            <w:szCs w:val="24"/>
            <w:lang w:eastAsia="pl-PL"/>
            <w14:ligatures w14:val="standardContextual"/>
          </w:rPr>
          <w:tab/>
        </w:r>
        <w:r w:rsidRPr="004B5C8C">
          <w:rPr>
            <w:rStyle w:val="Hipercze"/>
            <w:noProof/>
          </w:rPr>
          <w:t>Zanieczyszczenia powierzchni ziemi</w:t>
        </w:r>
        <w:r w:rsidRPr="004B5C8C">
          <w:rPr>
            <w:noProof/>
            <w:webHidden/>
          </w:rPr>
          <w:tab/>
        </w:r>
        <w:r w:rsidRPr="004B5C8C">
          <w:rPr>
            <w:noProof/>
            <w:webHidden/>
          </w:rPr>
          <w:fldChar w:fldCharType="begin"/>
        </w:r>
        <w:r w:rsidRPr="004B5C8C">
          <w:rPr>
            <w:noProof/>
            <w:webHidden/>
          </w:rPr>
          <w:instrText xml:space="preserve"> PAGEREF _Toc177732069 \h </w:instrText>
        </w:r>
        <w:r w:rsidRPr="004B5C8C">
          <w:rPr>
            <w:noProof/>
            <w:webHidden/>
          </w:rPr>
        </w:r>
        <w:r w:rsidRPr="004B5C8C">
          <w:rPr>
            <w:noProof/>
            <w:webHidden/>
          </w:rPr>
          <w:fldChar w:fldCharType="separate"/>
        </w:r>
        <w:r w:rsidR="00A654D8">
          <w:rPr>
            <w:noProof/>
            <w:webHidden/>
          </w:rPr>
          <w:t>77</w:t>
        </w:r>
        <w:r w:rsidRPr="004B5C8C">
          <w:rPr>
            <w:noProof/>
            <w:webHidden/>
          </w:rPr>
          <w:fldChar w:fldCharType="end"/>
        </w:r>
      </w:hyperlink>
    </w:p>
    <w:p w14:paraId="0E4FFE35" w14:textId="0A6D9710"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70" w:history="1">
        <w:r w:rsidRPr="004B5C8C">
          <w:rPr>
            <w:rStyle w:val="Hipercze"/>
            <w:noProof/>
          </w:rPr>
          <w:t>4.6.7.</w:t>
        </w:r>
        <w:r w:rsidRPr="004B5C8C">
          <w:rPr>
            <w:rFonts w:eastAsiaTheme="minorEastAsia"/>
            <w:noProof/>
            <w:color w:val="auto"/>
            <w:kern w:val="2"/>
            <w:sz w:val="24"/>
            <w:szCs w:val="24"/>
            <w:lang w:eastAsia="pl-PL"/>
            <w14:ligatures w14:val="standardContextual"/>
          </w:rPr>
          <w:tab/>
        </w:r>
        <w:r w:rsidRPr="004B5C8C">
          <w:rPr>
            <w:rStyle w:val="Hipercze"/>
            <w:noProof/>
          </w:rPr>
          <w:t>Stan powietrza</w:t>
        </w:r>
        <w:r w:rsidRPr="004B5C8C">
          <w:rPr>
            <w:noProof/>
            <w:webHidden/>
          </w:rPr>
          <w:tab/>
        </w:r>
        <w:r w:rsidRPr="004B5C8C">
          <w:rPr>
            <w:noProof/>
            <w:webHidden/>
          </w:rPr>
          <w:fldChar w:fldCharType="begin"/>
        </w:r>
        <w:r w:rsidRPr="004B5C8C">
          <w:rPr>
            <w:noProof/>
            <w:webHidden/>
          </w:rPr>
          <w:instrText xml:space="preserve"> PAGEREF _Toc177732070 \h </w:instrText>
        </w:r>
        <w:r w:rsidRPr="004B5C8C">
          <w:rPr>
            <w:noProof/>
            <w:webHidden/>
          </w:rPr>
        </w:r>
        <w:r w:rsidRPr="004B5C8C">
          <w:rPr>
            <w:noProof/>
            <w:webHidden/>
          </w:rPr>
          <w:fldChar w:fldCharType="separate"/>
        </w:r>
        <w:r w:rsidR="00A654D8">
          <w:rPr>
            <w:noProof/>
            <w:webHidden/>
          </w:rPr>
          <w:t>77</w:t>
        </w:r>
        <w:r w:rsidRPr="004B5C8C">
          <w:rPr>
            <w:noProof/>
            <w:webHidden/>
          </w:rPr>
          <w:fldChar w:fldCharType="end"/>
        </w:r>
      </w:hyperlink>
    </w:p>
    <w:p w14:paraId="2DD7E0EA" w14:textId="717F8DA5"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71" w:history="1">
        <w:r w:rsidRPr="004B5C8C">
          <w:rPr>
            <w:rStyle w:val="Hipercze"/>
            <w:noProof/>
          </w:rPr>
          <w:t>4.6.8.</w:t>
        </w:r>
        <w:r w:rsidRPr="004B5C8C">
          <w:rPr>
            <w:rFonts w:eastAsiaTheme="minorEastAsia"/>
            <w:noProof/>
            <w:color w:val="auto"/>
            <w:kern w:val="2"/>
            <w:sz w:val="24"/>
            <w:szCs w:val="24"/>
            <w:lang w:eastAsia="pl-PL"/>
            <w14:ligatures w14:val="standardContextual"/>
          </w:rPr>
          <w:tab/>
        </w:r>
        <w:r w:rsidRPr="004B5C8C">
          <w:rPr>
            <w:rStyle w:val="Hipercze"/>
            <w:noProof/>
          </w:rPr>
          <w:t>Inne zagrożenia</w:t>
        </w:r>
        <w:r w:rsidRPr="004B5C8C">
          <w:rPr>
            <w:noProof/>
            <w:webHidden/>
          </w:rPr>
          <w:tab/>
        </w:r>
        <w:r w:rsidRPr="004B5C8C">
          <w:rPr>
            <w:noProof/>
            <w:webHidden/>
          </w:rPr>
          <w:fldChar w:fldCharType="begin"/>
        </w:r>
        <w:r w:rsidRPr="004B5C8C">
          <w:rPr>
            <w:noProof/>
            <w:webHidden/>
          </w:rPr>
          <w:instrText xml:space="preserve"> PAGEREF _Toc177732071 \h </w:instrText>
        </w:r>
        <w:r w:rsidRPr="004B5C8C">
          <w:rPr>
            <w:noProof/>
            <w:webHidden/>
          </w:rPr>
        </w:r>
        <w:r w:rsidRPr="004B5C8C">
          <w:rPr>
            <w:noProof/>
            <w:webHidden/>
          </w:rPr>
          <w:fldChar w:fldCharType="separate"/>
        </w:r>
        <w:r w:rsidR="00A654D8">
          <w:rPr>
            <w:noProof/>
            <w:webHidden/>
          </w:rPr>
          <w:t>78</w:t>
        </w:r>
        <w:r w:rsidRPr="004B5C8C">
          <w:rPr>
            <w:noProof/>
            <w:webHidden/>
          </w:rPr>
          <w:fldChar w:fldCharType="end"/>
        </w:r>
      </w:hyperlink>
    </w:p>
    <w:p w14:paraId="4DDC4A8C" w14:textId="08B0B183"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72" w:history="1">
        <w:r w:rsidRPr="004B5C8C">
          <w:rPr>
            <w:rStyle w:val="Hipercze"/>
            <w:noProof/>
          </w:rPr>
          <w:t>4.6.9.</w:t>
        </w:r>
        <w:r w:rsidRPr="004B5C8C">
          <w:rPr>
            <w:rFonts w:eastAsiaTheme="minorEastAsia"/>
            <w:noProof/>
            <w:color w:val="auto"/>
            <w:kern w:val="2"/>
            <w:sz w:val="24"/>
            <w:szCs w:val="24"/>
            <w:lang w:eastAsia="pl-PL"/>
            <w14:ligatures w14:val="standardContextual"/>
          </w:rPr>
          <w:tab/>
        </w:r>
        <w:r w:rsidRPr="004B5C8C">
          <w:rPr>
            <w:rStyle w:val="Hipercze"/>
            <w:noProof/>
          </w:rPr>
          <w:t>Presje na środowisko naturalne</w:t>
        </w:r>
        <w:r w:rsidRPr="004B5C8C">
          <w:rPr>
            <w:noProof/>
            <w:webHidden/>
          </w:rPr>
          <w:tab/>
        </w:r>
        <w:r w:rsidRPr="004B5C8C">
          <w:rPr>
            <w:noProof/>
            <w:webHidden/>
          </w:rPr>
          <w:fldChar w:fldCharType="begin"/>
        </w:r>
        <w:r w:rsidRPr="004B5C8C">
          <w:rPr>
            <w:noProof/>
            <w:webHidden/>
          </w:rPr>
          <w:instrText xml:space="preserve"> PAGEREF _Toc177732072 \h </w:instrText>
        </w:r>
        <w:r w:rsidRPr="004B5C8C">
          <w:rPr>
            <w:noProof/>
            <w:webHidden/>
          </w:rPr>
        </w:r>
        <w:r w:rsidRPr="004B5C8C">
          <w:rPr>
            <w:noProof/>
            <w:webHidden/>
          </w:rPr>
          <w:fldChar w:fldCharType="separate"/>
        </w:r>
        <w:r w:rsidR="00A654D8">
          <w:rPr>
            <w:noProof/>
            <w:webHidden/>
          </w:rPr>
          <w:t>78</w:t>
        </w:r>
        <w:r w:rsidRPr="004B5C8C">
          <w:rPr>
            <w:noProof/>
            <w:webHidden/>
          </w:rPr>
          <w:fldChar w:fldCharType="end"/>
        </w:r>
      </w:hyperlink>
    </w:p>
    <w:p w14:paraId="1724B906" w14:textId="1510EC28"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73" w:history="1">
        <w:r w:rsidRPr="004B5C8C">
          <w:rPr>
            <w:rStyle w:val="Hipercze"/>
            <w:noProof/>
          </w:rPr>
          <w:t>4.7.</w:t>
        </w:r>
        <w:r w:rsidRPr="004B5C8C">
          <w:rPr>
            <w:rFonts w:eastAsiaTheme="minorEastAsia"/>
            <w:noProof/>
            <w:color w:val="auto"/>
            <w:kern w:val="2"/>
            <w:sz w:val="24"/>
            <w:szCs w:val="24"/>
            <w:lang w:eastAsia="pl-PL"/>
            <w14:ligatures w14:val="standardContextual"/>
          </w:rPr>
          <w:tab/>
        </w:r>
        <w:r w:rsidRPr="004B5C8C">
          <w:rPr>
            <w:rStyle w:val="Hipercze"/>
            <w:noProof/>
          </w:rPr>
          <w:t>Prognozy klimatyczne</w:t>
        </w:r>
        <w:r w:rsidRPr="004B5C8C">
          <w:rPr>
            <w:noProof/>
            <w:webHidden/>
          </w:rPr>
          <w:tab/>
        </w:r>
        <w:r w:rsidRPr="004B5C8C">
          <w:rPr>
            <w:noProof/>
            <w:webHidden/>
          </w:rPr>
          <w:fldChar w:fldCharType="begin"/>
        </w:r>
        <w:r w:rsidRPr="004B5C8C">
          <w:rPr>
            <w:noProof/>
            <w:webHidden/>
          </w:rPr>
          <w:instrText xml:space="preserve"> PAGEREF _Toc177732073 \h </w:instrText>
        </w:r>
        <w:r w:rsidRPr="004B5C8C">
          <w:rPr>
            <w:noProof/>
            <w:webHidden/>
          </w:rPr>
        </w:r>
        <w:r w:rsidRPr="004B5C8C">
          <w:rPr>
            <w:noProof/>
            <w:webHidden/>
          </w:rPr>
          <w:fldChar w:fldCharType="separate"/>
        </w:r>
        <w:r w:rsidR="00A654D8">
          <w:rPr>
            <w:noProof/>
            <w:webHidden/>
          </w:rPr>
          <w:t>79</w:t>
        </w:r>
        <w:r w:rsidRPr="004B5C8C">
          <w:rPr>
            <w:noProof/>
            <w:webHidden/>
          </w:rPr>
          <w:fldChar w:fldCharType="end"/>
        </w:r>
      </w:hyperlink>
    </w:p>
    <w:p w14:paraId="76DADEB0" w14:textId="52F45DF8"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74" w:history="1">
        <w:r w:rsidRPr="004B5C8C">
          <w:rPr>
            <w:rStyle w:val="Hipercze"/>
            <w:noProof/>
          </w:rPr>
          <w:t>4.8.</w:t>
        </w:r>
        <w:r w:rsidRPr="004B5C8C">
          <w:rPr>
            <w:rFonts w:eastAsiaTheme="minorEastAsia"/>
            <w:noProof/>
            <w:color w:val="auto"/>
            <w:kern w:val="2"/>
            <w:sz w:val="24"/>
            <w:szCs w:val="24"/>
            <w:lang w:eastAsia="pl-PL"/>
            <w14:ligatures w14:val="standardContextual"/>
          </w:rPr>
          <w:tab/>
        </w:r>
        <w:r w:rsidRPr="004B5C8C">
          <w:rPr>
            <w:rStyle w:val="Hipercze"/>
            <w:noProof/>
          </w:rPr>
          <w:t>Określenie stopnia ekspozycji oraz trendów zmian</w:t>
        </w:r>
        <w:r w:rsidRPr="004B5C8C">
          <w:rPr>
            <w:noProof/>
            <w:webHidden/>
          </w:rPr>
          <w:tab/>
        </w:r>
        <w:r w:rsidRPr="004B5C8C">
          <w:rPr>
            <w:noProof/>
            <w:webHidden/>
          </w:rPr>
          <w:fldChar w:fldCharType="begin"/>
        </w:r>
        <w:r w:rsidRPr="004B5C8C">
          <w:rPr>
            <w:noProof/>
            <w:webHidden/>
          </w:rPr>
          <w:instrText xml:space="preserve"> PAGEREF _Toc177732074 \h </w:instrText>
        </w:r>
        <w:r w:rsidRPr="004B5C8C">
          <w:rPr>
            <w:noProof/>
            <w:webHidden/>
          </w:rPr>
        </w:r>
        <w:r w:rsidRPr="004B5C8C">
          <w:rPr>
            <w:noProof/>
            <w:webHidden/>
          </w:rPr>
          <w:fldChar w:fldCharType="separate"/>
        </w:r>
        <w:r w:rsidR="00A654D8">
          <w:rPr>
            <w:noProof/>
            <w:webHidden/>
          </w:rPr>
          <w:t>82</w:t>
        </w:r>
        <w:r w:rsidRPr="004B5C8C">
          <w:rPr>
            <w:noProof/>
            <w:webHidden/>
          </w:rPr>
          <w:fldChar w:fldCharType="end"/>
        </w:r>
      </w:hyperlink>
    </w:p>
    <w:p w14:paraId="459DF907" w14:textId="55F7C2A2" w:rsidR="004B5C8C" w:rsidRPr="004B5C8C" w:rsidRDefault="004B5C8C" w:rsidP="004B5C8C">
      <w:pPr>
        <w:pStyle w:val="Spistreci1"/>
        <w:tabs>
          <w:tab w:val="left" w:pos="880"/>
        </w:tabs>
        <w:spacing w:after="0"/>
        <w:rPr>
          <w:rFonts w:eastAsiaTheme="minorEastAsia"/>
          <w:b w:val="0"/>
          <w:i w:val="0"/>
          <w:color w:val="auto"/>
          <w:kern w:val="2"/>
          <w:sz w:val="24"/>
          <w:szCs w:val="24"/>
          <w:lang w:eastAsia="pl-PL"/>
          <w14:ligatures w14:val="standardContextual"/>
        </w:rPr>
      </w:pPr>
      <w:hyperlink w:anchor="_Toc177732075" w:history="1">
        <w:r w:rsidRPr="004B5C8C">
          <w:rPr>
            <w:rStyle w:val="Hipercze"/>
            <w:i w:val="0"/>
          </w:rPr>
          <w:t>5.</w:t>
        </w:r>
        <w:r w:rsidRPr="004B5C8C">
          <w:rPr>
            <w:rFonts w:eastAsiaTheme="minorEastAsia"/>
            <w:b w:val="0"/>
            <w:i w:val="0"/>
            <w:color w:val="auto"/>
            <w:kern w:val="2"/>
            <w:sz w:val="24"/>
            <w:szCs w:val="24"/>
            <w:lang w:eastAsia="pl-PL"/>
            <w14:ligatures w14:val="standardContextual"/>
          </w:rPr>
          <w:tab/>
        </w:r>
        <w:r w:rsidRPr="004B5C8C">
          <w:rPr>
            <w:rStyle w:val="Hipercze"/>
            <w:i w:val="0"/>
          </w:rPr>
          <w:t>Ocena podatności miasta</w:t>
        </w:r>
        <w:r w:rsidRPr="004B5C8C">
          <w:rPr>
            <w:i w:val="0"/>
            <w:webHidden/>
          </w:rPr>
          <w:tab/>
        </w:r>
        <w:r w:rsidRPr="004B5C8C">
          <w:rPr>
            <w:i w:val="0"/>
            <w:webHidden/>
          </w:rPr>
          <w:fldChar w:fldCharType="begin"/>
        </w:r>
        <w:r w:rsidRPr="004B5C8C">
          <w:rPr>
            <w:i w:val="0"/>
            <w:webHidden/>
          </w:rPr>
          <w:instrText xml:space="preserve"> PAGEREF _Toc177732075 \h </w:instrText>
        </w:r>
        <w:r w:rsidRPr="004B5C8C">
          <w:rPr>
            <w:i w:val="0"/>
            <w:webHidden/>
          </w:rPr>
        </w:r>
        <w:r w:rsidRPr="004B5C8C">
          <w:rPr>
            <w:i w:val="0"/>
            <w:webHidden/>
          </w:rPr>
          <w:fldChar w:fldCharType="separate"/>
        </w:r>
        <w:r w:rsidR="00A654D8">
          <w:rPr>
            <w:i w:val="0"/>
            <w:webHidden/>
          </w:rPr>
          <w:t>83</w:t>
        </w:r>
        <w:r w:rsidRPr="004B5C8C">
          <w:rPr>
            <w:i w:val="0"/>
            <w:webHidden/>
          </w:rPr>
          <w:fldChar w:fldCharType="end"/>
        </w:r>
      </w:hyperlink>
    </w:p>
    <w:p w14:paraId="58675B61" w14:textId="2497EDC8"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76" w:history="1">
        <w:r w:rsidRPr="004B5C8C">
          <w:rPr>
            <w:rStyle w:val="Hipercze"/>
            <w:noProof/>
          </w:rPr>
          <w:t>5.1.</w:t>
        </w:r>
        <w:r w:rsidRPr="004B5C8C">
          <w:rPr>
            <w:rFonts w:eastAsiaTheme="minorEastAsia"/>
            <w:noProof/>
            <w:color w:val="auto"/>
            <w:kern w:val="2"/>
            <w:sz w:val="24"/>
            <w:szCs w:val="24"/>
            <w:lang w:eastAsia="pl-PL"/>
            <w14:ligatures w14:val="standardContextual"/>
          </w:rPr>
          <w:tab/>
        </w:r>
        <w:r w:rsidRPr="004B5C8C">
          <w:rPr>
            <w:rStyle w:val="Hipercze"/>
            <w:noProof/>
          </w:rPr>
          <w:t>Ocena wrażliwości</w:t>
        </w:r>
        <w:r w:rsidRPr="004B5C8C">
          <w:rPr>
            <w:noProof/>
            <w:webHidden/>
          </w:rPr>
          <w:tab/>
        </w:r>
        <w:r w:rsidRPr="004B5C8C">
          <w:rPr>
            <w:noProof/>
            <w:webHidden/>
          </w:rPr>
          <w:fldChar w:fldCharType="begin"/>
        </w:r>
        <w:r w:rsidRPr="004B5C8C">
          <w:rPr>
            <w:noProof/>
            <w:webHidden/>
          </w:rPr>
          <w:instrText xml:space="preserve"> PAGEREF _Toc177732076 \h </w:instrText>
        </w:r>
        <w:r w:rsidRPr="004B5C8C">
          <w:rPr>
            <w:noProof/>
            <w:webHidden/>
          </w:rPr>
        </w:r>
        <w:r w:rsidRPr="004B5C8C">
          <w:rPr>
            <w:noProof/>
            <w:webHidden/>
          </w:rPr>
          <w:fldChar w:fldCharType="separate"/>
        </w:r>
        <w:r w:rsidR="00A654D8">
          <w:rPr>
            <w:noProof/>
            <w:webHidden/>
          </w:rPr>
          <w:t>83</w:t>
        </w:r>
        <w:r w:rsidRPr="004B5C8C">
          <w:rPr>
            <w:noProof/>
            <w:webHidden/>
          </w:rPr>
          <w:fldChar w:fldCharType="end"/>
        </w:r>
      </w:hyperlink>
    </w:p>
    <w:p w14:paraId="10299047" w14:textId="0AA3D544"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77" w:history="1">
        <w:r w:rsidRPr="004B5C8C">
          <w:rPr>
            <w:rStyle w:val="Hipercze"/>
            <w:noProof/>
          </w:rPr>
          <w:t>5.2.</w:t>
        </w:r>
        <w:r w:rsidRPr="004B5C8C">
          <w:rPr>
            <w:rFonts w:eastAsiaTheme="minorEastAsia"/>
            <w:noProof/>
            <w:color w:val="auto"/>
            <w:kern w:val="2"/>
            <w:sz w:val="24"/>
            <w:szCs w:val="24"/>
            <w:lang w:eastAsia="pl-PL"/>
            <w14:ligatures w14:val="standardContextual"/>
          </w:rPr>
          <w:tab/>
        </w:r>
        <w:r w:rsidRPr="004B5C8C">
          <w:rPr>
            <w:rStyle w:val="Hipercze"/>
            <w:noProof/>
          </w:rPr>
          <w:t>Ocena potencjału adaptacyjnego</w:t>
        </w:r>
        <w:r w:rsidRPr="004B5C8C">
          <w:rPr>
            <w:noProof/>
            <w:webHidden/>
          </w:rPr>
          <w:tab/>
        </w:r>
        <w:r w:rsidRPr="004B5C8C">
          <w:rPr>
            <w:noProof/>
            <w:webHidden/>
          </w:rPr>
          <w:fldChar w:fldCharType="begin"/>
        </w:r>
        <w:r w:rsidRPr="004B5C8C">
          <w:rPr>
            <w:noProof/>
            <w:webHidden/>
          </w:rPr>
          <w:instrText xml:space="preserve"> PAGEREF _Toc177732077 \h </w:instrText>
        </w:r>
        <w:r w:rsidRPr="004B5C8C">
          <w:rPr>
            <w:noProof/>
            <w:webHidden/>
          </w:rPr>
        </w:r>
        <w:r w:rsidRPr="004B5C8C">
          <w:rPr>
            <w:noProof/>
            <w:webHidden/>
          </w:rPr>
          <w:fldChar w:fldCharType="separate"/>
        </w:r>
        <w:r w:rsidR="00A654D8">
          <w:rPr>
            <w:noProof/>
            <w:webHidden/>
          </w:rPr>
          <w:t>87</w:t>
        </w:r>
        <w:r w:rsidRPr="004B5C8C">
          <w:rPr>
            <w:noProof/>
            <w:webHidden/>
          </w:rPr>
          <w:fldChar w:fldCharType="end"/>
        </w:r>
      </w:hyperlink>
    </w:p>
    <w:p w14:paraId="2590A6D2" w14:textId="0FF7E037"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78" w:history="1">
        <w:r w:rsidRPr="004B5C8C">
          <w:rPr>
            <w:rStyle w:val="Hipercze"/>
            <w:noProof/>
          </w:rPr>
          <w:t>5.3.</w:t>
        </w:r>
        <w:r w:rsidRPr="004B5C8C">
          <w:rPr>
            <w:rFonts w:eastAsiaTheme="minorEastAsia"/>
            <w:noProof/>
            <w:color w:val="auto"/>
            <w:kern w:val="2"/>
            <w:sz w:val="24"/>
            <w:szCs w:val="24"/>
            <w:lang w:eastAsia="pl-PL"/>
            <w14:ligatures w14:val="standardContextual"/>
          </w:rPr>
          <w:tab/>
        </w:r>
        <w:r w:rsidRPr="004B5C8C">
          <w:rPr>
            <w:rStyle w:val="Hipercze"/>
            <w:noProof/>
          </w:rPr>
          <w:t>Analiza ryzyka i szans</w:t>
        </w:r>
        <w:r w:rsidRPr="004B5C8C">
          <w:rPr>
            <w:noProof/>
            <w:webHidden/>
          </w:rPr>
          <w:tab/>
        </w:r>
        <w:r w:rsidRPr="004B5C8C">
          <w:rPr>
            <w:noProof/>
            <w:webHidden/>
          </w:rPr>
          <w:fldChar w:fldCharType="begin"/>
        </w:r>
        <w:r w:rsidRPr="004B5C8C">
          <w:rPr>
            <w:noProof/>
            <w:webHidden/>
          </w:rPr>
          <w:instrText xml:space="preserve"> PAGEREF _Toc177732078 \h </w:instrText>
        </w:r>
        <w:r w:rsidRPr="004B5C8C">
          <w:rPr>
            <w:noProof/>
            <w:webHidden/>
          </w:rPr>
        </w:r>
        <w:r w:rsidRPr="004B5C8C">
          <w:rPr>
            <w:noProof/>
            <w:webHidden/>
          </w:rPr>
          <w:fldChar w:fldCharType="separate"/>
        </w:r>
        <w:r w:rsidR="00A654D8">
          <w:rPr>
            <w:noProof/>
            <w:webHidden/>
          </w:rPr>
          <w:t>89</w:t>
        </w:r>
        <w:r w:rsidRPr="004B5C8C">
          <w:rPr>
            <w:noProof/>
            <w:webHidden/>
          </w:rPr>
          <w:fldChar w:fldCharType="end"/>
        </w:r>
      </w:hyperlink>
    </w:p>
    <w:p w14:paraId="395C9484" w14:textId="3B055E91"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79" w:history="1">
        <w:r w:rsidRPr="004B5C8C">
          <w:rPr>
            <w:rStyle w:val="Hipercze"/>
            <w:noProof/>
          </w:rPr>
          <w:t>5.4.</w:t>
        </w:r>
        <w:r w:rsidRPr="004B5C8C">
          <w:rPr>
            <w:rFonts w:eastAsiaTheme="minorEastAsia"/>
            <w:noProof/>
            <w:color w:val="auto"/>
            <w:kern w:val="2"/>
            <w:sz w:val="24"/>
            <w:szCs w:val="24"/>
            <w:lang w:eastAsia="pl-PL"/>
            <w14:ligatures w14:val="standardContextual"/>
          </w:rPr>
          <w:tab/>
        </w:r>
        <w:r w:rsidRPr="004B5C8C">
          <w:rPr>
            <w:rStyle w:val="Hipercze"/>
            <w:noProof/>
          </w:rPr>
          <w:t>Identyfikacja luk wiedzy</w:t>
        </w:r>
        <w:r w:rsidRPr="004B5C8C">
          <w:rPr>
            <w:noProof/>
            <w:webHidden/>
          </w:rPr>
          <w:tab/>
        </w:r>
        <w:r w:rsidRPr="004B5C8C">
          <w:rPr>
            <w:noProof/>
            <w:webHidden/>
          </w:rPr>
          <w:fldChar w:fldCharType="begin"/>
        </w:r>
        <w:r w:rsidRPr="004B5C8C">
          <w:rPr>
            <w:noProof/>
            <w:webHidden/>
          </w:rPr>
          <w:instrText xml:space="preserve"> PAGEREF _Toc177732079 \h </w:instrText>
        </w:r>
        <w:r w:rsidRPr="004B5C8C">
          <w:rPr>
            <w:noProof/>
            <w:webHidden/>
          </w:rPr>
        </w:r>
        <w:r w:rsidRPr="004B5C8C">
          <w:rPr>
            <w:noProof/>
            <w:webHidden/>
          </w:rPr>
          <w:fldChar w:fldCharType="separate"/>
        </w:r>
        <w:r w:rsidR="00A654D8">
          <w:rPr>
            <w:noProof/>
            <w:webHidden/>
          </w:rPr>
          <w:t>90</w:t>
        </w:r>
        <w:r w:rsidRPr="004B5C8C">
          <w:rPr>
            <w:noProof/>
            <w:webHidden/>
          </w:rPr>
          <w:fldChar w:fldCharType="end"/>
        </w:r>
      </w:hyperlink>
    </w:p>
    <w:p w14:paraId="2FBA57B5" w14:textId="09C09A8F" w:rsidR="004B5C8C" w:rsidRPr="004B5C8C" w:rsidRDefault="004B5C8C" w:rsidP="004B5C8C">
      <w:pPr>
        <w:pStyle w:val="Spistreci1"/>
        <w:tabs>
          <w:tab w:val="left" w:pos="880"/>
        </w:tabs>
        <w:spacing w:after="0"/>
        <w:rPr>
          <w:rFonts w:eastAsiaTheme="minorEastAsia"/>
          <w:b w:val="0"/>
          <w:i w:val="0"/>
          <w:color w:val="auto"/>
          <w:kern w:val="2"/>
          <w:sz w:val="24"/>
          <w:szCs w:val="24"/>
          <w:lang w:eastAsia="pl-PL"/>
          <w14:ligatures w14:val="standardContextual"/>
        </w:rPr>
      </w:pPr>
      <w:hyperlink w:anchor="_Toc177732080" w:history="1">
        <w:r w:rsidRPr="004B5C8C">
          <w:rPr>
            <w:rStyle w:val="Hipercze"/>
            <w:i w:val="0"/>
          </w:rPr>
          <w:t>6.</w:t>
        </w:r>
        <w:r w:rsidRPr="004B5C8C">
          <w:rPr>
            <w:rFonts w:eastAsiaTheme="minorEastAsia"/>
            <w:b w:val="0"/>
            <w:i w:val="0"/>
            <w:color w:val="auto"/>
            <w:kern w:val="2"/>
            <w:sz w:val="24"/>
            <w:szCs w:val="24"/>
            <w:lang w:eastAsia="pl-PL"/>
            <w14:ligatures w14:val="standardContextual"/>
          </w:rPr>
          <w:tab/>
        </w:r>
        <w:r w:rsidRPr="004B5C8C">
          <w:rPr>
            <w:rStyle w:val="Hipercze"/>
            <w:i w:val="0"/>
          </w:rPr>
          <w:t>Wybrane działania adaptacyjne</w:t>
        </w:r>
        <w:r w:rsidRPr="004B5C8C">
          <w:rPr>
            <w:i w:val="0"/>
            <w:webHidden/>
          </w:rPr>
          <w:tab/>
        </w:r>
        <w:r w:rsidRPr="004B5C8C">
          <w:rPr>
            <w:i w:val="0"/>
            <w:webHidden/>
          </w:rPr>
          <w:fldChar w:fldCharType="begin"/>
        </w:r>
        <w:r w:rsidRPr="004B5C8C">
          <w:rPr>
            <w:i w:val="0"/>
            <w:webHidden/>
          </w:rPr>
          <w:instrText xml:space="preserve"> PAGEREF _Toc177732080 \h </w:instrText>
        </w:r>
        <w:r w:rsidRPr="004B5C8C">
          <w:rPr>
            <w:i w:val="0"/>
            <w:webHidden/>
          </w:rPr>
        </w:r>
        <w:r w:rsidRPr="004B5C8C">
          <w:rPr>
            <w:i w:val="0"/>
            <w:webHidden/>
          </w:rPr>
          <w:fldChar w:fldCharType="separate"/>
        </w:r>
        <w:r w:rsidR="00A654D8">
          <w:rPr>
            <w:i w:val="0"/>
            <w:webHidden/>
          </w:rPr>
          <w:t>91</w:t>
        </w:r>
        <w:r w:rsidRPr="004B5C8C">
          <w:rPr>
            <w:i w:val="0"/>
            <w:webHidden/>
          </w:rPr>
          <w:fldChar w:fldCharType="end"/>
        </w:r>
      </w:hyperlink>
    </w:p>
    <w:p w14:paraId="1AC386BC" w14:textId="463A5AF2"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81" w:history="1">
        <w:r w:rsidRPr="004B5C8C">
          <w:rPr>
            <w:rStyle w:val="Hipercze"/>
            <w:noProof/>
          </w:rPr>
          <w:t>6.1.</w:t>
        </w:r>
        <w:r w:rsidRPr="004B5C8C">
          <w:rPr>
            <w:rFonts w:eastAsiaTheme="minorEastAsia"/>
            <w:noProof/>
            <w:color w:val="auto"/>
            <w:kern w:val="2"/>
            <w:sz w:val="24"/>
            <w:szCs w:val="24"/>
            <w:lang w:eastAsia="pl-PL"/>
            <w14:ligatures w14:val="standardContextual"/>
          </w:rPr>
          <w:tab/>
        </w:r>
        <w:r w:rsidRPr="004B5C8C">
          <w:rPr>
            <w:rStyle w:val="Hipercze"/>
            <w:noProof/>
          </w:rPr>
          <w:t>Identyfikacja opcji adaptacji</w:t>
        </w:r>
        <w:r w:rsidRPr="004B5C8C">
          <w:rPr>
            <w:noProof/>
            <w:webHidden/>
          </w:rPr>
          <w:tab/>
        </w:r>
        <w:r w:rsidRPr="004B5C8C">
          <w:rPr>
            <w:noProof/>
            <w:webHidden/>
          </w:rPr>
          <w:fldChar w:fldCharType="begin"/>
        </w:r>
        <w:r w:rsidRPr="004B5C8C">
          <w:rPr>
            <w:noProof/>
            <w:webHidden/>
          </w:rPr>
          <w:instrText xml:space="preserve"> PAGEREF _Toc177732081 \h </w:instrText>
        </w:r>
        <w:r w:rsidRPr="004B5C8C">
          <w:rPr>
            <w:noProof/>
            <w:webHidden/>
          </w:rPr>
        </w:r>
        <w:r w:rsidRPr="004B5C8C">
          <w:rPr>
            <w:noProof/>
            <w:webHidden/>
          </w:rPr>
          <w:fldChar w:fldCharType="separate"/>
        </w:r>
        <w:r w:rsidR="00A654D8">
          <w:rPr>
            <w:noProof/>
            <w:webHidden/>
          </w:rPr>
          <w:t>93</w:t>
        </w:r>
        <w:r w:rsidRPr="004B5C8C">
          <w:rPr>
            <w:noProof/>
            <w:webHidden/>
          </w:rPr>
          <w:fldChar w:fldCharType="end"/>
        </w:r>
      </w:hyperlink>
    </w:p>
    <w:p w14:paraId="5A1494D1" w14:textId="21C910DC"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82" w:history="1">
        <w:r w:rsidRPr="004B5C8C">
          <w:rPr>
            <w:rStyle w:val="Hipercze"/>
            <w:noProof/>
          </w:rPr>
          <w:t>6.2.</w:t>
        </w:r>
        <w:r w:rsidRPr="004B5C8C">
          <w:rPr>
            <w:rFonts w:eastAsiaTheme="minorEastAsia"/>
            <w:noProof/>
            <w:color w:val="auto"/>
            <w:kern w:val="2"/>
            <w:sz w:val="24"/>
            <w:szCs w:val="24"/>
            <w:lang w:eastAsia="pl-PL"/>
            <w14:ligatures w14:val="standardContextual"/>
          </w:rPr>
          <w:tab/>
        </w:r>
        <w:r w:rsidRPr="004B5C8C">
          <w:rPr>
            <w:rStyle w:val="Hipercze"/>
            <w:noProof/>
          </w:rPr>
          <w:t>Analiza opcji adaptacji</w:t>
        </w:r>
        <w:r w:rsidRPr="004B5C8C">
          <w:rPr>
            <w:noProof/>
            <w:webHidden/>
          </w:rPr>
          <w:tab/>
        </w:r>
        <w:r w:rsidRPr="004B5C8C">
          <w:rPr>
            <w:noProof/>
            <w:webHidden/>
          </w:rPr>
          <w:fldChar w:fldCharType="begin"/>
        </w:r>
        <w:r w:rsidRPr="004B5C8C">
          <w:rPr>
            <w:noProof/>
            <w:webHidden/>
          </w:rPr>
          <w:instrText xml:space="preserve"> PAGEREF _Toc177732082 \h </w:instrText>
        </w:r>
        <w:r w:rsidRPr="004B5C8C">
          <w:rPr>
            <w:noProof/>
            <w:webHidden/>
          </w:rPr>
        </w:r>
        <w:r w:rsidRPr="004B5C8C">
          <w:rPr>
            <w:noProof/>
            <w:webHidden/>
          </w:rPr>
          <w:fldChar w:fldCharType="separate"/>
        </w:r>
        <w:r w:rsidR="00A654D8">
          <w:rPr>
            <w:noProof/>
            <w:webHidden/>
          </w:rPr>
          <w:t>95</w:t>
        </w:r>
        <w:r w:rsidRPr="004B5C8C">
          <w:rPr>
            <w:noProof/>
            <w:webHidden/>
          </w:rPr>
          <w:fldChar w:fldCharType="end"/>
        </w:r>
      </w:hyperlink>
    </w:p>
    <w:p w14:paraId="629DEA71" w14:textId="2D606016"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83" w:history="1">
        <w:r w:rsidRPr="004B5C8C">
          <w:rPr>
            <w:rStyle w:val="Hipercze"/>
            <w:noProof/>
          </w:rPr>
          <w:t>6.3.</w:t>
        </w:r>
        <w:r w:rsidRPr="004B5C8C">
          <w:rPr>
            <w:rFonts w:eastAsiaTheme="minorEastAsia"/>
            <w:noProof/>
            <w:color w:val="auto"/>
            <w:kern w:val="2"/>
            <w:sz w:val="24"/>
            <w:szCs w:val="24"/>
            <w:lang w:eastAsia="pl-PL"/>
            <w14:ligatures w14:val="standardContextual"/>
          </w:rPr>
          <w:tab/>
        </w:r>
        <w:r w:rsidRPr="004B5C8C">
          <w:rPr>
            <w:rStyle w:val="Hipercze"/>
            <w:noProof/>
          </w:rPr>
          <w:t>Charakterystyka obszarów i wybór działań adaptacyjnych</w:t>
        </w:r>
        <w:r w:rsidRPr="004B5C8C">
          <w:rPr>
            <w:noProof/>
            <w:webHidden/>
          </w:rPr>
          <w:tab/>
        </w:r>
        <w:r w:rsidRPr="004B5C8C">
          <w:rPr>
            <w:noProof/>
            <w:webHidden/>
          </w:rPr>
          <w:fldChar w:fldCharType="begin"/>
        </w:r>
        <w:r w:rsidRPr="004B5C8C">
          <w:rPr>
            <w:noProof/>
            <w:webHidden/>
          </w:rPr>
          <w:instrText xml:space="preserve"> PAGEREF _Toc177732083 \h </w:instrText>
        </w:r>
        <w:r w:rsidRPr="004B5C8C">
          <w:rPr>
            <w:noProof/>
            <w:webHidden/>
          </w:rPr>
        </w:r>
        <w:r w:rsidRPr="004B5C8C">
          <w:rPr>
            <w:noProof/>
            <w:webHidden/>
          </w:rPr>
          <w:fldChar w:fldCharType="separate"/>
        </w:r>
        <w:r w:rsidR="00A654D8">
          <w:rPr>
            <w:noProof/>
            <w:webHidden/>
          </w:rPr>
          <w:t>97</w:t>
        </w:r>
        <w:r w:rsidRPr="004B5C8C">
          <w:rPr>
            <w:noProof/>
            <w:webHidden/>
          </w:rPr>
          <w:fldChar w:fldCharType="end"/>
        </w:r>
      </w:hyperlink>
    </w:p>
    <w:p w14:paraId="5F37ED0E" w14:textId="399E35E2"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84" w:history="1">
        <w:r w:rsidRPr="004B5C8C">
          <w:rPr>
            <w:rStyle w:val="Hipercze"/>
            <w:noProof/>
          </w:rPr>
          <w:t>6.3.1.</w:t>
        </w:r>
        <w:r w:rsidRPr="004B5C8C">
          <w:rPr>
            <w:rFonts w:eastAsiaTheme="minorEastAsia"/>
            <w:noProof/>
            <w:color w:val="auto"/>
            <w:kern w:val="2"/>
            <w:sz w:val="24"/>
            <w:szCs w:val="24"/>
            <w:lang w:eastAsia="pl-PL"/>
            <w14:ligatures w14:val="standardContextual"/>
          </w:rPr>
          <w:tab/>
        </w:r>
        <w:r w:rsidRPr="004B5C8C">
          <w:rPr>
            <w:rStyle w:val="Hipercze"/>
            <w:noProof/>
          </w:rPr>
          <w:t>Zieleń</w:t>
        </w:r>
        <w:r w:rsidRPr="004B5C8C">
          <w:rPr>
            <w:noProof/>
            <w:webHidden/>
          </w:rPr>
          <w:tab/>
        </w:r>
        <w:r w:rsidRPr="004B5C8C">
          <w:rPr>
            <w:noProof/>
            <w:webHidden/>
          </w:rPr>
          <w:fldChar w:fldCharType="begin"/>
        </w:r>
        <w:r w:rsidRPr="004B5C8C">
          <w:rPr>
            <w:noProof/>
            <w:webHidden/>
          </w:rPr>
          <w:instrText xml:space="preserve"> PAGEREF _Toc177732084 \h </w:instrText>
        </w:r>
        <w:r w:rsidRPr="004B5C8C">
          <w:rPr>
            <w:noProof/>
            <w:webHidden/>
          </w:rPr>
        </w:r>
        <w:r w:rsidRPr="004B5C8C">
          <w:rPr>
            <w:noProof/>
            <w:webHidden/>
          </w:rPr>
          <w:fldChar w:fldCharType="separate"/>
        </w:r>
        <w:r w:rsidR="00A654D8">
          <w:rPr>
            <w:noProof/>
            <w:webHidden/>
          </w:rPr>
          <w:t>97</w:t>
        </w:r>
        <w:r w:rsidRPr="004B5C8C">
          <w:rPr>
            <w:noProof/>
            <w:webHidden/>
          </w:rPr>
          <w:fldChar w:fldCharType="end"/>
        </w:r>
      </w:hyperlink>
    </w:p>
    <w:p w14:paraId="7F8E2386" w14:textId="00194250"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85" w:history="1">
        <w:r w:rsidRPr="004B5C8C">
          <w:rPr>
            <w:rStyle w:val="Hipercze"/>
            <w:noProof/>
          </w:rPr>
          <w:t>6.3.2.</w:t>
        </w:r>
        <w:r w:rsidRPr="004B5C8C">
          <w:rPr>
            <w:rFonts w:eastAsiaTheme="minorEastAsia"/>
            <w:noProof/>
            <w:color w:val="auto"/>
            <w:kern w:val="2"/>
            <w:sz w:val="24"/>
            <w:szCs w:val="24"/>
            <w:lang w:eastAsia="pl-PL"/>
            <w14:ligatures w14:val="standardContextual"/>
          </w:rPr>
          <w:tab/>
        </w:r>
        <w:r w:rsidRPr="004B5C8C">
          <w:rPr>
            <w:rStyle w:val="Hipercze"/>
            <w:noProof/>
          </w:rPr>
          <w:t>Retencja</w:t>
        </w:r>
        <w:r w:rsidRPr="004B5C8C">
          <w:rPr>
            <w:noProof/>
            <w:webHidden/>
          </w:rPr>
          <w:tab/>
        </w:r>
        <w:r w:rsidRPr="004B5C8C">
          <w:rPr>
            <w:noProof/>
            <w:webHidden/>
          </w:rPr>
          <w:fldChar w:fldCharType="begin"/>
        </w:r>
        <w:r w:rsidRPr="004B5C8C">
          <w:rPr>
            <w:noProof/>
            <w:webHidden/>
          </w:rPr>
          <w:instrText xml:space="preserve"> PAGEREF _Toc177732085 \h </w:instrText>
        </w:r>
        <w:r w:rsidRPr="004B5C8C">
          <w:rPr>
            <w:noProof/>
            <w:webHidden/>
          </w:rPr>
        </w:r>
        <w:r w:rsidRPr="004B5C8C">
          <w:rPr>
            <w:noProof/>
            <w:webHidden/>
          </w:rPr>
          <w:fldChar w:fldCharType="separate"/>
        </w:r>
        <w:r w:rsidR="00A654D8">
          <w:rPr>
            <w:noProof/>
            <w:webHidden/>
          </w:rPr>
          <w:t>101</w:t>
        </w:r>
        <w:r w:rsidRPr="004B5C8C">
          <w:rPr>
            <w:noProof/>
            <w:webHidden/>
          </w:rPr>
          <w:fldChar w:fldCharType="end"/>
        </w:r>
      </w:hyperlink>
    </w:p>
    <w:p w14:paraId="0AF5CC09" w14:textId="143E4804"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86" w:history="1">
        <w:r w:rsidRPr="004B5C8C">
          <w:rPr>
            <w:rStyle w:val="Hipercze"/>
            <w:noProof/>
          </w:rPr>
          <w:t>6.3.3.</w:t>
        </w:r>
        <w:r w:rsidRPr="004B5C8C">
          <w:rPr>
            <w:rFonts w:eastAsiaTheme="minorEastAsia"/>
            <w:noProof/>
            <w:color w:val="auto"/>
            <w:kern w:val="2"/>
            <w:sz w:val="24"/>
            <w:szCs w:val="24"/>
            <w:lang w:eastAsia="pl-PL"/>
            <w14:ligatures w14:val="standardContextual"/>
          </w:rPr>
          <w:tab/>
        </w:r>
        <w:r w:rsidRPr="004B5C8C">
          <w:rPr>
            <w:rStyle w:val="Hipercze"/>
            <w:noProof/>
          </w:rPr>
          <w:t>Transport</w:t>
        </w:r>
        <w:r w:rsidRPr="004B5C8C">
          <w:rPr>
            <w:noProof/>
            <w:webHidden/>
          </w:rPr>
          <w:tab/>
        </w:r>
        <w:r w:rsidRPr="004B5C8C">
          <w:rPr>
            <w:noProof/>
            <w:webHidden/>
          </w:rPr>
          <w:fldChar w:fldCharType="begin"/>
        </w:r>
        <w:r w:rsidRPr="004B5C8C">
          <w:rPr>
            <w:noProof/>
            <w:webHidden/>
          </w:rPr>
          <w:instrText xml:space="preserve"> PAGEREF _Toc177732086 \h </w:instrText>
        </w:r>
        <w:r w:rsidRPr="004B5C8C">
          <w:rPr>
            <w:noProof/>
            <w:webHidden/>
          </w:rPr>
        </w:r>
        <w:r w:rsidRPr="004B5C8C">
          <w:rPr>
            <w:noProof/>
            <w:webHidden/>
          </w:rPr>
          <w:fldChar w:fldCharType="separate"/>
        </w:r>
        <w:r w:rsidR="00A654D8">
          <w:rPr>
            <w:noProof/>
            <w:webHidden/>
          </w:rPr>
          <w:t>106</w:t>
        </w:r>
        <w:r w:rsidRPr="004B5C8C">
          <w:rPr>
            <w:noProof/>
            <w:webHidden/>
          </w:rPr>
          <w:fldChar w:fldCharType="end"/>
        </w:r>
      </w:hyperlink>
    </w:p>
    <w:p w14:paraId="12A12E98" w14:textId="033B7F08"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87" w:history="1">
        <w:r w:rsidRPr="004B5C8C">
          <w:rPr>
            <w:rStyle w:val="Hipercze"/>
            <w:noProof/>
          </w:rPr>
          <w:t>6.3.4.</w:t>
        </w:r>
        <w:r w:rsidRPr="004B5C8C">
          <w:rPr>
            <w:rFonts w:eastAsiaTheme="minorEastAsia"/>
            <w:noProof/>
            <w:color w:val="auto"/>
            <w:kern w:val="2"/>
            <w:sz w:val="24"/>
            <w:szCs w:val="24"/>
            <w:lang w:eastAsia="pl-PL"/>
            <w14:ligatures w14:val="standardContextual"/>
          </w:rPr>
          <w:tab/>
        </w:r>
        <w:r w:rsidRPr="004B5C8C">
          <w:rPr>
            <w:rStyle w:val="Hipercze"/>
            <w:noProof/>
          </w:rPr>
          <w:t>Powietrze</w:t>
        </w:r>
        <w:r w:rsidRPr="004B5C8C">
          <w:rPr>
            <w:noProof/>
            <w:webHidden/>
          </w:rPr>
          <w:tab/>
        </w:r>
        <w:r w:rsidRPr="004B5C8C">
          <w:rPr>
            <w:noProof/>
            <w:webHidden/>
          </w:rPr>
          <w:fldChar w:fldCharType="begin"/>
        </w:r>
        <w:r w:rsidRPr="004B5C8C">
          <w:rPr>
            <w:noProof/>
            <w:webHidden/>
          </w:rPr>
          <w:instrText xml:space="preserve"> PAGEREF _Toc177732087 \h </w:instrText>
        </w:r>
        <w:r w:rsidRPr="004B5C8C">
          <w:rPr>
            <w:noProof/>
            <w:webHidden/>
          </w:rPr>
        </w:r>
        <w:r w:rsidRPr="004B5C8C">
          <w:rPr>
            <w:noProof/>
            <w:webHidden/>
          </w:rPr>
          <w:fldChar w:fldCharType="separate"/>
        </w:r>
        <w:r w:rsidR="00A654D8">
          <w:rPr>
            <w:noProof/>
            <w:webHidden/>
          </w:rPr>
          <w:t>109</w:t>
        </w:r>
        <w:r w:rsidRPr="004B5C8C">
          <w:rPr>
            <w:noProof/>
            <w:webHidden/>
          </w:rPr>
          <w:fldChar w:fldCharType="end"/>
        </w:r>
      </w:hyperlink>
    </w:p>
    <w:p w14:paraId="4C852EF8" w14:textId="33D4A829"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88" w:history="1">
        <w:r w:rsidRPr="004B5C8C">
          <w:rPr>
            <w:rStyle w:val="Hipercze"/>
            <w:noProof/>
          </w:rPr>
          <w:t>6.3.5.</w:t>
        </w:r>
        <w:r w:rsidRPr="004B5C8C">
          <w:rPr>
            <w:rFonts w:eastAsiaTheme="minorEastAsia"/>
            <w:noProof/>
            <w:color w:val="auto"/>
            <w:kern w:val="2"/>
            <w:sz w:val="24"/>
            <w:szCs w:val="24"/>
            <w:lang w:eastAsia="pl-PL"/>
            <w14:ligatures w14:val="standardContextual"/>
          </w:rPr>
          <w:tab/>
        </w:r>
        <w:r w:rsidRPr="004B5C8C">
          <w:rPr>
            <w:rStyle w:val="Hipercze"/>
            <w:noProof/>
          </w:rPr>
          <w:t>Bezpieczeństwo</w:t>
        </w:r>
        <w:r w:rsidRPr="004B5C8C">
          <w:rPr>
            <w:noProof/>
            <w:webHidden/>
          </w:rPr>
          <w:tab/>
        </w:r>
        <w:r w:rsidRPr="004B5C8C">
          <w:rPr>
            <w:noProof/>
            <w:webHidden/>
          </w:rPr>
          <w:fldChar w:fldCharType="begin"/>
        </w:r>
        <w:r w:rsidRPr="004B5C8C">
          <w:rPr>
            <w:noProof/>
            <w:webHidden/>
          </w:rPr>
          <w:instrText xml:space="preserve"> PAGEREF _Toc177732088 \h </w:instrText>
        </w:r>
        <w:r w:rsidRPr="004B5C8C">
          <w:rPr>
            <w:noProof/>
            <w:webHidden/>
          </w:rPr>
        </w:r>
        <w:r w:rsidRPr="004B5C8C">
          <w:rPr>
            <w:noProof/>
            <w:webHidden/>
          </w:rPr>
          <w:fldChar w:fldCharType="separate"/>
        </w:r>
        <w:r w:rsidR="00A654D8">
          <w:rPr>
            <w:noProof/>
            <w:webHidden/>
          </w:rPr>
          <w:t>115</w:t>
        </w:r>
        <w:r w:rsidRPr="004B5C8C">
          <w:rPr>
            <w:noProof/>
            <w:webHidden/>
          </w:rPr>
          <w:fldChar w:fldCharType="end"/>
        </w:r>
      </w:hyperlink>
    </w:p>
    <w:p w14:paraId="2C67D150" w14:textId="4B395DB0" w:rsidR="004B5C8C" w:rsidRPr="004B5C8C" w:rsidRDefault="004B5C8C" w:rsidP="004B5C8C">
      <w:pPr>
        <w:pStyle w:val="Spistreci3"/>
        <w:tabs>
          <w:tab w:val="left" w:pos="1760"/>
          <w:tab w:val="right" w:leader="dot" w:pos="9060"/>
        </w:tabs>
        <w:spacing w:after="0"/>
        <w:rPr>
          <w:rFonts w:eastAsiaTheme="minorEastAsia"/>
          <w:noProof/>
          <w:color w:val="auto"/>
          <w:kern w:val="2"/>
          <w:sz w:val="24"/>
          <w:szCs w:val="24"/>
          <w:lang w:eastAsia="pl-PL"/>
          <w14:ligatures w14:val="standardContextual"/>
        </w:rPr>
      </w:pPr>
      <w:hyperlink w:anchor="_Toc177732089" w:history="1">
        <w:r w:rsidRPr="004B5C8C">
          <w:rPr>
            <w:rStyle w:val="Hipercze"/>
            <w:noProof/>
          </w:rPr>
          <w:t>6.3.6.</w:t>
        </w:r>
        <w:r w:rsidRPr="004B5C8C">
          <w:rPr>
            <w:rFonts w:eastAsiaTheme="minorEastAsia"/>
            <w:noProof/>
            <w:color w:val="auto"/>
            <w:kern w:val="2"/>
            <w:sz w:val="24"/>
            <w:szCs w:val="24"/>
            <w:lang w:eastAsia="pl-PL"/>
            <w14:ligatures w14:val="standardContextual"/>
          </w:rPr>
          <w:tab/>
        </w:r>
        <w:r w:rsidRPr="004B5C8C">
          <w:rPr>
            <w:rStyle w:val="Hipercze"/>
            <w:noProof/>
          </w:rPr>
          <w:t>Edukacja</w:t>
        </w:r>
        <w:r w:rsidRPr="004B5C8C">
          <w:rPr>
            <w:noProof/>
            <w:webHidden/>
          </w:rPr>
          <w:tab/>
        </w:r>
        <w:r w:rsidRPr="004B5C8C">
          <w:rPr>
            <w:noProof/>
            <w:webHidden/>
          </w:rPr>
          <w:fldChar w:fldCharType="begin"/>
        </w:r>
        <w:r w:rsidRPr="004B5C8C">
          <w:rPr>
            <w:noProof/>
            <w:webHidden/>
          </w:rPr>
          <w:instrText xml:space="preserve"> PAGEREF _Toc177732089 \h </w:instrText>
        </w:r>
        <w:r w:rsidRPr="004B5C8C">
          <w:rPr>
            <w:noProof/>
            <w:webHidden/>
          </w:rPr>
        </w:r>
        <w:r w:rsidRPr="004B5C8C">
          <w:rPr>
            <w:noProof/>
            <w:webHidden/>
          </w:rPr>
          <w:fldChar w:fldCharType="separate"/>
        </w:r>
        <w:r w:rsidR="00A654D8">
          <w:rPr>
            <w:noProof/>
            <w:webHidden/>
          </w:rPr>
          <w:t>118</w:t>
        </w:r>
        <w:r w:rsidRPr="004B5C8C">
          <w:rPr>
            <w:noProof/>
            <w:webHidden/>
          </w:rPr>
          <w:fldChar w:fldCharType="end"/>
        </w:r>
      </w:hyperlink>
    </w:p>
    <w:p w14:paraId="25D5AF26" w14:textId="15E15FE2"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90" w:history="1">
        <w:r w:rsidRPr="004B5C8C">
          <w:rPr>
            <w:rStyle w:val="Hipercze"/>
            <w:noProof/>
          </w:rPr>
          <w:t>6.4.</w:t>
        </w:r>
        <w:r w:rsidRPr="004B5C8C">
          <w:rPr>
            <w:rFonts w:eastAsiaTheme="minorEastAsia"/>
            <w:noProof/>
            <w:color w:val="auto"/>
            <w:kern w:val="2"/>
            <w:sz w:val="24"/>
            <w:szCs w:val="24"/>
            <w:lang w:eastAsia="pl-PL"/>
            <w14:ligatures w14:val="standardContextual"/>
          </w:rPr>
          <w:tab/>
        </w:r>
        <w:r w:rsidRPr="004B5C8C">
          <w:rPr>
            <w:rStyle w:val="Hipercze"/>
            <w:noProof/>
          </w:rPr>
          <w:t>Lista działań adaptacyjnych</w:t>
        </w:r>
        <w:r w:rsidRPr="004B5C8C">
          <w:rPr>
            <w:noProof/>
            <w:webHidden/>
          </w:rPr>
          <w:tab/>
        </w:r>
        <w:r w:rsidRPr="004B5C8C">
          <w:rPr>
            <w:noProof/>
            <w:webHidden/>
          </w:rPr>
          <w:fldChar w:fldCharType="begin"/>
        </w:r>
        <w:r w:rsidRPr="004B5C8C">
          <w:rPr>
            <w:noProof/>
            <w:webHidden/>
          </w:rPr>
          <w:instrText xml:space="preserve"> PAGEREF _Toc177732090 \h </w:instrText>
        </w:r>
        <w:r w:rsidRPr="004B5C8C">
          <w:rPr>
            <w:noProof/>
            <w:webHidden/>
          </w:rPr>
        </w:r>
        <w:r w:rsidRPr="004B5C8C">
          <w:rPr>
            <w:noProof/>
            <w:webHidden/>
          </w:rPr>
          <w:fldChar w:fldCharType="separate"/>
        </w:r>
        <w:r w:rsidR="00A654D8">
          <w:rPr>
            <w:noProof/>
            <w:webHidden/>
          </w:rPr>
          <w:t>121</w:t>
        </w:r>
        <w:r w:rsidRPr="004B5C8C">
          <w:rPr>
            <w:noProof/>
            <w:webHidden/>
          </w:rPr>
          <w:fldChar w:fldCharType="end"/>
        </w:r>
      </w:hyperlink>
    </w:p>
    <w:p w14:paraId="11AD0A6B" w14:textId="5728BDBF" w:rsidR="004B5C8C" w:rsidRPr="004B5C8C" w:rsidRDefault="004B5C8C" w:rsidP="004B5C8C">
      <w:pPr>
        <w:pStyle w:val="Spistreci1"/>
        <w:tabs>
          <w:tab w:val="left" w:pos="880"/>
        </w:tabs>
        <w:spacing w:after="0"/>
        <w:rPr>
          <w:rFonts w:eastAsiaTheme="minorEastAsia"/>
          <w:b w:val="0"/>
          <w:i w:val="0"/>
          <w:color w:val="auto"/>
          <w:kern w:val="2"/>
          <w:sz w:val="24"/>
          <w:szCs w:val="24"/>
          <w:lang w:eastAsia="pl-PL"/>
          <w14:ligatures w14:val="standardContextual"/>
        </w:rPr>
      </w:pPr>
      <w:hyperlink w:anchor="_Toc177732091" w:history="1">
        <w:r w:rsidRPr="004B5C8C">
          <w:rPr>
            <w:rStyle w:val="Hipercze"/>
            <w:i w:val="0"/>
          </w:rPr>
          <w:t>7.</w:t>
        </w:r>
        <w:r w:rsidRPr="004B5C8C">
          <w:rPr>
            <w:rFonts w:eastAsiaTheme="minorEastAsia"/>
            <w:b w:val="0"/>
            <w:i w:val="0"/>
            <w:color w:val="auto"/>
            <w:kern w:val="2"/>
            <w:sz w:val="24"/>
            <w:szCs w:val="24"/>
            <w:lang w:eastAsia="pl-PL"/>
            <w14:ligatures w14:val="standardContextual"/>
          </w:rPr>
          <w:tab/>
        </w:r>
        <w:r w:rsidRPr="004B5C8C">
          <w:rPr>
            <w:rStyle w:val="Hipercze"/>
            <w:i w:val="0"/>
          </w:rPr>
          <w:t>Wdrażanie Planu Adaptacji</w:t>
        </w:r>
        <w:r w:rsidRPr="004B5C8C">
          <w:rPr>
            <w:i w:val="0"/>
            <w:webHidden/>
          </w:rPr>
          <w:tab/>
        </w:r>
        <w:r w:rsidRPr="004B5C8C">
          <w:rPr>
            <w:i w:val="0"/>
            <w:webHidden/>
          </w:rPr>
          <w:fldChar w:fldCharType="begin"/>
        </w:r>
        <w:r w:rsidRPr="004B5C8C">
          <w:rPr>
            <w:i w:val="0"/>
            <w:webHidden/>
          </w:rPr>
          <w:instrText xml:space="preserve"> PAGEREF _Toc177732091 \h </w:instrText>
        </w:r>
        <w:r w:rsidRPr="004B5C8C">
          <w:rPr>
            <w:i w:val="0"/>
            <w:webHidden/>
          </w:rPr>
        </w:r>
        <w:r w:rsidRPr="004B5C8C">
          <w:rPr>
            <w:i w:val="0"/>
            <w:webHidden/>
          </w:rPr>
          <w:fldChar w:fldCharType="separate"/>
        </w:r>
        <w:r w:rsidR="00A654D8">
          <w:rPr>
            <w:i w:val="0"/>
            <w:webHidden/>
          </w:rPr>
          <w:t>139</w:t>
        </w:r>
        <w:r w:rsidRPr="004B5C8C">
          <w:rPr>
            <w:i w:val="0"/>
            <w:webHidden/>
          </w:rPr>
          <w:fldChar w:fldCharType="end"/>
        </w:r>
      </w:hyperlink>
    </w:p>
    <w:p w14:paraId="36755488" w14:textId="2823226B"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92" w:history="1">
        <w:r w:rsidRPr="004B5C8C">
          <w:rPr>
            <w:rStyle w:val="Hipercze"/>
            <w:noProof/>
          </w:rPr>
          <w:t>7.1.</w:t>
        </w:r>
        <w:r w:rsidRPr="004B5C8C">
          <w:rPr>
            <w:rFonts w:eastAsiaTheme="minorEastAsia"/>
            <w:noProof/>
            <w:color w:val="auto"/>
            <w:kern w:val="2"/>
            <w:sz w:val="24"/>
            <w:szCs w:val="24"/>
            <w:lang w:eastAsia="pl-PL"/>
            <w14:ligatures w14:val="standardContextual"/>
          </w:rPr>
          <w:tab/>
        </w:r>
        <w:r w:rsidRPr="004B5C8C">
          <w:rPr>
            <w:rStyle w:val="Hipercze"/>
            <w:noProof/>
          </w:rPr>
          <w:t>Harmonogram wdrażania Planu Adaptacji</w:t>
        </w:r>
        <w:r w:rsidRPr="004B5C8C">
          <w:rPr>
            <w:noProof/>
            <w:webHidden/>
          </w:rPr>
          <w:tab/>
        </w:r>
        <w:r w:rsidRPr="004B5C8C">
          <w:rPr>
            <w:noProof/>
            <w:webHidden/>
          </w:rPr>
          <w:fldChar w:fldCharType="begin"/>
        </w:r>
        <w:r w:rsidRPr="004B5C8C">
          <w:rPr>
            <w:noProof/>
            <w:webHidden/>
          </w:rPr>
          <w:instrText xml:space="preserve"> PAGEREF _Toc177732092 \h </w:instrText>
        </w:r>
        <w:r w:rsidRPr="004B5C8C">
          <w:rPr>
            <w:noProof/>
            <w:webHidden/>
          </w:rPr>
        </w:r>
        <w:r w:rsidRPr="004B5C8C">
          <w:rPr>
            <w:noProof/>
            <w:webHidden/>
          </w:rPr>
          <w:fldChar w:fldCharType="separate"/>
        </w:r>
        <w:r w:rsidR="00A654D8">
          <w:rPr>
            <w:noProof/>
            <w:webHidden/>
          </w:rPr>
          <w:t>139</w:t>
        </w:r>
        <w:r w:rsidRPr="004B5C8C">
          <w:rPr>
            <w:noProof/>
            <w:webHidden/>
          </w:rPr>
          <w:fldChar w:fldCharType="end"/>
        </w:r>
      </w:hyperlink>
    </w:p>
    <w:p w14:paraId="4E38BEF2" w14:textId="0C302E57"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93" w:history="1">
        <w:r w:rsidRPr="004B5C8C">
          <w:rPr>
            <w:rStyle w:val="Hipercze"/>
            <w:noProof/>
          </w:rPr>
          <w:t>7.2.</w:t>
        </w:r>
        <w:r w:rsidRPr="004B5C8C">
          <w:rPr>
            <w:rFonts w:eastAsiaTheme="minorEastAsia"/>
            <w:noProof/>
            <w:color w:val="auto"/>
            <w:kern w:val="2"/>
            <w:sz w:val="24"/>
            <w:szCs w:val="24"/>
            <w:lang w:eastAsia="pl-PL"/>
            <w14:ligatures w14:val="standardContextual"/>
          </w:rPr>
          <w:tab/>
        </w:r>
        <w:r w:rsidRPr="004B5C8C">
          <w:rPr>
            <w:rStyle w:val="Hipercze"/>
            <w:noProof/>
          </w:rPr>
          <w:t>Potencjalne źródła finansowania</w:t>
        </w:r>
        <w:r w:rsidRPr="004B5C8C">
          <w:rPr>
            <w:noProof/>
            <w:webHidden/>
          </w:rPr>
          <w:tab/>
        </w:r>
        <w:r w:rsidRPr="004B5C8C">
          <w:rPr>
            <w:noProof/>
            <w:webHidden/>
          </w:rPr>
          <w:fldChar w:fldCharType="begin"/>
        </w:r>
        <w:r w:rsidRPr="004B5C8C">
          <w:rPr>
            <w:noProof/>
            <w:webHidden/>
          </w:rPr>
          <w:instrText xml:space="preserve"> PAGEREF _Toc177732093 \h </w:instrText>
        </w:r>
        <w:r w:rsidRPr="004B5C8C">
          <w:rPr>
            <w:noProof/>
            <w:webHidden/>
          </w:rPr>
        </w:r>
        <w:r w:rsidRPr="004B5C8C">
          <w:rPr>
            <w:noProof/>
            <w:webHidden/>
          </w:rPr>
          <w:fldChar w:fldCharType="separate"/>
        </w:r>
        <w:r w:rsidR="00A654D8">
          <w:rPr>
            <w:noProof/>
            <w:webHidden/>
          </w:rPr>
          <w:t>140</w:t>
        </w:r>
        <w:r w:rsidRPr="004B5C8C">
          <w:rPr>
            <w:noProof/>
            <w:webHidden/>
          </w:rPr>
          <w:fldChar w:fldCharType="end"/>
        </w:r>
      </w:hyperlink>
    </w:p>
    <w:p w14:paraId="72022613" w14:textId="3D278872"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94" w:history="1">
        <w:r w:rsidRPr="004B5C8C">
          <w:rPr>
            <w:rStyle w:val="Hipercze"/>
            <w:noProof/>
          </w:rPr>
          <w:t>7.3.</w:t>
        </w:r>
        <w:r w:rsidRPr="004B5C8C">
          <w:rPr>
            <w:rFonts w:eastAsiaTheme="minorEastAsia"/>
            <w:noProof/>
            <w:color w:val="auto"/>
            <w:kern w:val="2"/>
            <w:sz w:val="24"/>
            <w:szCs w:val="24"/>
            <w:lang w:eastAsia="pl-PL"/>
            <w14:ligatures w14:val="standardContextual"/>
          </w:rPr>
          <w:tab/>
        </w:r>
        <w:r w:rsidRPr="004B5C8C">
          <w:rPr>
            <w:rStyle w:val="Hipercze"/>
            <w:noProof/>
          </w:rPr>
          <w:t>Monitoring i ewaluacja</w:t>
        </w:r>
        <w:r w:rsidRPr="004B5C8C">
          <w:rPr>
            <w:noProof/>
            <w:webHidden/>
          </w:rPr>
          <w:tab/>
        </w:r>
        <w:r w:rsidRPr="004B5C8C">
          <w:rPr>
            <w:noProof/>
            <w:webHidden/>
          </w:rPr>
          <w:fldChar w:fldCharType="begin"/>
        </w:r>
        <w:r w:rsidRPr="004B5C8C">
          <w:rPr>
            <w:noProof/>
            <w:webHidden/>
          </w:rPr>
          <w:instrText xml:space="preserve"> PAGEREF _Toc177732094 \h </w:instrText>
        </w:r>
        <w:r w:rsidRPr="004B5C8C">
          <w:rPr>
            <w:noProof/>
            <w:webHidden/>
          </w:rPr>
        </w:r>
        <w:r w:rsidRPr="004B5C8C">
          <w:rPr>
            <w:noProof/>
            <w:webHidden/>
          </w:rPr>
          <w:fldChar w:fldCharType="separate"/>
        </w:r>
        <w:r w:rsidR="00A654D8">
          <w:rPr>
            <w:noProof/>
            <w:webHidden/>
          </w:rPr>
          <w:t>146</w:t>
        </w:r>
        <w:r w:rsidRPr="004B5C8C">
          <w:rPr>
            <w:noProof/>
            <w:webHidden/>
          </w:rPr>
          <w:fldChar w:fldCharType="end"/>
        </w:r>
      </w:hyperlink>
    </w:p>
    <w:p w14:paraId="577B90C6" w14:textId="10EDD548" w:rsidR="004B5C8C" w:rsidRPr="004B5C8C" w:rsidRDefault="004B5C8C" w:rsidP="004B5C8C">
      <w:pPr>
        <w:pStyle w:val="Spistreci1"/>
        <w:tabs>
          <w:tab w:val="left" w:pos="880"/>
        </w:tabs>
        <w:spacing w:after="0"/>
        <w:rPr>
          <w:rFonts w:eastAsiaTheme="minorEastAsia"/>
          <w:b w:val="0"/>
          <w:i w:val="0"/>
          <w:color w:val="auto"/>
          <w:kern w:val="2"/>
          <w:sz w:val="24"/>
          <w:szCs w:val="24"/>
          <w:lang w:eastAsia="pl-PL"/>
          <w14:ligatures w14:val="standardContextual"/>
        </w:rPr>
      </w:pPr>
      <w:hyperlink w:anchor="_Toc177732095" w:history="1">
        <w:r w:rsidRPr="004B5C8C">
          <w:rPr>
            <w:rStyle w:val="Hipercze"/>
            <w:rFonts w:eastAsia="Times New Roman"/>
            <w:i w:val="0"/>
          </w:rPr>
          <w:t>8.</w:t>
        </w:r>
        <w:r w:rsidRPr="004B5C8C">
          <w:rPr>
            <w:rFonts w:eastAsiaTheme="minorEastAsia"/>
            <w:b w:val="0"/>
            <w:i w:val="0"/>
            <w:color w:val="auto"/>
            <w:kern w:val="2"/>
            <w:sz w:val="24"/>
            <w:szCs w:val="24"/>
            <w:lang w:eastAsia="pl-PL"/>
            <w14:ligatures w14:val="standardContextual"/>
          </w:rPr>
          <w:tab/>
        </w:r>
        <w:r w:rsidRPr="004B5C8C">
          <w:rPr>
            <w:rStyle w:val="Hipercze"/>
            <w:rFonts w:eastAsia="Times New Roman"/>
            <w:i w:val="0"/>
          </w:rPr>
          <w:t xml:space="preserve">Analiza oddziaływania na środowisko realizacji Planu Adaptacji do zmian </w:t>
        </w:r>
        <w:r w:rsidRPr="004B5C8C">
          <w:rPr>
            <w:rStyle w:val="Hipercze"/>
            <w:i w:val="0"/>
          </w:rPr>
          <w:t>klimatu</w:t>
        </w:r>
        <w:r w:rsidRPr="004B5C8C">
          <w:rPr>
            <w:i w:val="0"/>
            <w:webHidden/>
          </w:rPr>
          <w:tab/>
        </w:r>
        <w:r w:rsidRPr="004B5C8C">
          <w:rPr>
            <w:i w:val="0"/>
            <w:webHidden/>
          </w:rPr>
          <w:fldChar w:fldCharType="begin"/>
        </w:r>
        <w:r w:rsidRPr="004B5C8C">
          <w:rPr>
            <w:i w:val="0"/>
            <w:webHidden/>
          </w:rPr>
          <w:instrText xml:space="preserve"> PAGEREF _Toc177732095 \h </w:instrText>
        </w:r>
        <w:r w:rsidRPr="004B5C8C">
          <w:rPr>
            <w:i w:val="0"/>
            <w:webHidden/>
          </w:rPr>
        </w:r>
        <w:r w:rsidRPr="004B5C8C">
          <w:rPr>
            <w:i w:val="0"/>
            <w:webHidden/>
          </w:rPr>
          <w:fldChar w:fldCharType="separate"/>
        </w:r>
        <w:r w:rsidR="00A654D8">
          <w:rPr>
            <w:i w:val="0"/>
            <w:webHidden/>
          </w:rPr>
          <w:t>152</w:t>
        </w:r>
        <w:r w:rsidRPr="004B5C8C">
          <w:rPr>
            <w:i w:val="0"/>
            <w:webHidden/>
          </w:rPr>
          <w:fldChar w:fldCharType="end"/>
        </w:r>
      </w:hyperlink>
    </w:p>
    <w:p w14:paraId="3A6DEF18" w14:textId="3BE816A3"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96" w:history="1">
        <w:r w:rsidRPr="004B5C8C">
          <w:rPr>
            <w:rStyle w:val="Hipercze"/>
            <w:rFonts w:eastAsia="Times New Roman"/>
            <w:noProof/>
          </w:rPr>
          <w:t>8.1.</w:t>
        </w:r>
        <w:r w:rsidRPr="004B5C8C">
          <w:rPr>
            <w:rFonts w:eastAsiaTheme="minorEastAsia"/>
            <w:noProof/>
            <w:color w:val="auto"/>
            <w:kern w:val="2"/>
            <w:sz w:val="24"/>
            <w:szCs w:val="24"/>
            <w:lang w:eastAsia="pl-PL"/>
            <w14:ligatures w14:val="standardContextual"/>
          </w:rPr>
          <w:tab/>
        </w:r>
        <w:r w:rsidRPr="004B5C8C">
          <w:rPr>
            <w:rStyle w:val="Hipercze"/>
            <w:rFonts w:eastAsia="Times New Roman"/>
            <w:noProof/>
          </w:rPr>
          <w:t>Potencjalne zmiany istniejącego stanu środowiska w przypadku braku realizacji projektu</w:t>
        </w:r>
        <w:r w:rsidRPr="004B5C8C">
          <w:rPr>
            <w:noProof/>
            <w:webHidden/>
          </w:rPr>
          <w:tab/>
        </w:r>
        <w:r w:rsidRPr="004B5C8C">
          <w:rPr>
            <w:noProof/>
            <w:webHidden/>
          </w:rPr>
          <w:fldChar w:fldCharType="begin"/>
        </w:r>
        <w:r w:rsidRPr="004B5C8C">
          <w:rPr>
            <w:noProof/>
            <w:webHidden/>
          </w:rPr>
          <w:instrText xml:space="preserve"> PAGEREF _Toc177732096 \h </w:instrText>
        </w:r>
        <w:r w:rsidRPr="004B5C8C">
          <w:rPr>
            <w:noProof/>
            <w:webHidden/>
          </w:rPr>
        </w:r>
        <w:r w:rsidRPr="004B5C8C">
          <w:rPr>
            <w:noProof/>
            <w:webHidden/>
          </w:rPr>
          <w:fldChar w:fldCharType="separate"/>
        </w:r>
        <w:r w:rsidR="00A654D8">
          <w:rPr>
            <w:noProof/>
            <w:webHidden/>
          </w:rPr>
          <w:t>152</w:t>
        </w:r>
        <w:r w:rsidRPr="004B5C8C">
          <w:rPr>
            <w:noProof/>
            <w:webHidden/>
          </w:rPr>
          <w:fldChar w:fldCharType="end"/>
        </w:r>
      </w:hyperlink>
    </w:p>
    <w:p w14:paraId="267A4C87" w14:textId="485C4122"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97" w:history="1">
        <w:r w:rsidRPr="004B5C8C">
          <w:rPr>
            <w:rStyle w:val="Hipercze"/>
            <w:rFonts w:eastAsia="Times New Roman"/>
            <w:noProof/>
          </w:rPr>
          <w:t>8.2.</w:t>
        </w:r>
        <w:r w:rsidRPr="004B5C8C">
          <w:rPr>
            <w:rFonts w:eastAsiaTheme="minorEastAsia"/>
            <w:noProof/>
            <w:color w:val="auto"/>
            <w:kern w:val="2"/>
            <w:sz w:val="24"/>
            <w:szCs w:val="24"/>
            <w:lang w:eastAsia="pl-PL"/>
            <w14:ligatures w14:val="standardContextual"/>
          </w:rPr>
          <w:tab/>
        </w:r>
        <w:r w:rsidRPr="004B5C8C">
          <w:rPr>
            <w:rStyle w:val="Hipercze"/>
            <w:rFonts w:eastAsia="Times New Roman"/>
            <w:noProof/>
          </w:rPr>
          <w:t>Analiza rozwiązań mających na celu zapobieganie, ograniczanie lub kompensację przyrodniczą negatywnych oddziaływań na środowisko, mogących być rezultatem realizacji projektowanego dokumentu</w:t>
        </w:r>
        <w:r w:rsidRPr="004B5C8C">
          <w:rPr>
            <w:noProof/>
            <w:webHidden/>
          </w:rPr>
          <w:tab/>
        </w:r>
        <w:r w:rsidRPr="004B5C8C">
          <w:rPr>
            <w:noProof/>
            <w:webHidden/>
          </w:rPr>
          <w:fldChar w:fldCharType="begin"/>
        </w:r>
        <w:r w:rsidRPr="004B5C8C">
          <w:rPr>
            <w:noProof/>
            <w:webHidden/>
          </w:rPr>
          <w:instrText xml:space="preserve"> PAGEREF _Toc177732097 \h </w:instrText>
        </w:r>
        <w:r w:rsidRPr="004B5C8C">
          <w:rPr>
            <w:noProof/>
            <w:webHidden/>
          </w:rPr>
        </w:r>
        <w:r w:rsidRPr="004B5C8C">
          <w:rPr>
            <w:noProof/>
            <w:webHidden/>
          </w:rPr>
          <w:fldChar w:fldCharType="separate"/>
        </w:r>
        <w:r w:rsidR="00A654D8">
          <w:rPr>
            <w:noProof/>
            <w:webHidden/>
          </w:rPr>
          <w:t>153</w:t>
        </w:r>
        <w:r w:rsidRPr="004B5C8C">
          <w:rPr>
            <w:noProof/>
            <w:webHidden/>
          </w:rPr>
          <w:fldChar w:fldCharType="end"/>
        </w:r>
      </w:hyperlink>
    </w:p>
    <w:p w14:paraId="3CD6A498" w14:textId="0621FA47"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98" w:history="1">
        <w:r w:rsidRPr="004B5C8C">
          <w:rPr>
            <w:rStyle w:val="Hipercze"/>
            <w:rFonts w:eastAsia="Times New Roman"/>
            <w:noProof/>
          </w:rPr>
          <w:t>8.3.</w:t>
        </w:r>
        <w:r w:rsidRPr="004B5C8C">
          <w:rPr>
            <w:rFonts w:eastAsiaTheme="minorEastAsia"/>
            <w:noProof/>
            <w:color w:val="auto"/>
            <w:kern w:val="2"/>
            <w:sz w:val="24"/>
            <w:szCs w:val="24"/>
            <w:lang w:eastAsia="pl-PL"/>
            <w14:ligatures w14:val="standardContextual"/>
          </w:rPr>
          <w:tab/>
        </w:r>
        <w:r w:rsidRPr="004B5C8C">
          <w:rPr>
            <w:rStyle w:val="Hipercze"/>
            <w:rFonts w:eastAsia="Times New Roman"/>
            <w:noProof/>
          </w:rPr>
          <w:t>Opis oddziaływania działań przewidzianych do realizacji w ramach projektu Planu Adaptacji</w:t>
        </w:r>
        <w:r w:rsidRPr="004B5C8C">
          <w:rPr>
            <w:noProof/>
            <w:webHidden/>
          </w:rPr>
          <w:tab/>
        </w:r>
        <w:r w:rsidRPr="004B5C8C">
          <w:rPr>
            <w:noProof/>
            <w:webHidden/>
          </w:rPr>
          <w:fldChar w:fldCharType="begin"/>
        </w:r>
        <w:r w:rsidRPr="004B5C8C">
          <w:rPr>
            <w:noProof/>
            <w:webHidden/>
          </w:rPr>
          <w:instrText xml:space="preserve"> PAGEREF _Toc177732098 \h </w:instrText>
        </w:r>
        <w:r w:rsidRPr="004B5C8C">
          <w:rPr>
            <w:noProof/>
            <w:webHidden/>
          </w:rPr>
        </w:r>
        <w:r w:rsidRPr="004B5C8C">
          <w:rPr>
            <w:noProof/>
            <w:webHidden/>
          </w:rPr>
          <w:fldChar w:fldCharType="separate"/>
        </w:r>
        <w:r w:rsidR="00A654D8">
          <w:rPr>
            <w:noProof/>
            <w:webHidden/>
          </w:rPr>
          <w:t>157</w:t>
        </w:r>
        <w:r w:rsidRPr="004B5C8C">
          <w:rPr>
            <w:noProof/>
            <w:webHidden/>
          </w:rPr>
          <w:fldChar w:fldCharType="end"/>
        </w:r>
      </w:hyperlink>
    </w:p>
    <w:p w14:paraId="117534FC" w14:textId="56A9A301" w:rsidR="004B5C8C" w:rsidRPr="004B5C8C" w:rsidRDefault="004B5C8C" w:rsidP="004B5C8C">
      <w:pPr>
        <w:pStyle w:val="Spistreci2"/>
        <w:tabs>
          <w:tab w:val="left" w:pos="1320"/>
          <w:tab w:val="right" w:leader="dot" w:pos="9060"/>
        </w:tabs>
        <w:spacing w:after="0"/>
        <w:rPr>
          <w:rFonts w:eastAsiaTheme="minorEastAsia"/>
          <w:noProof/>
          <w:color w:val="auto"/>
          <w:kern w:val="2"/>
          <w:sz w:val="24"/>
          <w:szCs w:val="24"/>
          <w:lang w:eastAsia="pl-PL"/>
          <w14:ligatures w14:val="standardContextual"/>
        </w:rPr>
      </w:pPr>
      <w:hyperlink w:anchor="_Toc177732099" w:history="1">
        <w:r w:rsidRPr="004B5C8C">
          <w:rPr>
            <w:rStyle w:val="Hipercze"/>
            <w:rFonts w:eastAsia="Times New Roman"/>
            <w:noProof/>
          </w:rPr>
          <w:t>8.4.</w:t>
        </w:r>
        <w:r w:rsidRPr="004B5C8C">
          <w:rPr>
            <w:rFonts w:eastAsiaTheme="minorEastAsia"/>
            <w:noProof/>
            <w:color w:val="auto"/>
            <w:kern w:val="2"/>
            <w:sz w:val="24"/>
            <w:szCs w:val="24"/>
            <w:lang w:eastAsia="pl-PL"/>
            <w14:ligatures w14:val="standardContextual"/>
          </w:rPr>
          <w:tab/>
        </w:r>
        <w:r w:rsidRPr="004B5C8C">
          <w:rPr>
            <w:rStyle w:val="Hipercze"/>
            <w:rFonts w:eastAsia="Times New Roman"/>
            <w:noProof/>
          </w:rPr>
          <w:t>Propozycja działań alternatywnych</w:t>
        </w:r>
        <w:r w:rsidRPr="004B5C8C">
          <w:rPr>
            <w:noProof/>
            <w:webHidden/>
          </w:rPr>
          <w:tab/>
        </w:r>
        <w:r w:rsidRPr="004B5C8C">
          <w:rPr>
            <w:noProof/>
            <w:webHidden/>
          </w:rPr>
          <w:fldChar w:fldCharType="begin"/>
        </w:r>
        <w:r w:rsidRPr="004B5C8C">
          <w:rPr>
            <w:noProof/>
            <w:webHidden/>
          </w:rPr>
          <w:instrText xml:space="preserve"> PAGEREF _Toc177732099 \h </w:instrText>
        </w:r>
        <w:r w:rsidRPr="004B5C8C">
          <w:rPr>
            <w:noProof/>
            <w:webHidden/>
          </w:rPr>
        </w:r>
        <w:r w:rsidRPr="004B5C8C">
          <w:rPr>
            <w:noProof/>
            <w:webHidden/>
          </w:rPr>
          <w:fldChar w:fldCharType="separate"/>
        </w:r>
        <w:r w:rsidR="00A654D8">
          <w:rPr>
            <w:noProof/>
            <w:webHidden/>
          </w:rPr>
          <w:t>158</w:t>
        </w:r>
        <w:r w:rsidRPr="004B5C8C">
          <w:rPr>
            <w:noProof/>
            <w:webHidden/>
          </w:rPr>
          <w:fldChar w:fldCharType="end"/>
        </w:r>
      </w:hyperlink>
    </w:p>
    <w:p w14:paraId="587E7240" w14:textId="42BFF2C7" w:rsidR="004B5C8C" w:rsidRPr="004B5C8C" w:rsidRDefault="004B5C8C" w:rsidP="004B5C8C">
      <w:pPr>
        <w:pStyle w:val="Spistreci1"/>
        <w:tabs>
          <w:tab w:val="left" w:pos="880"/>
        </w:tabs>
        <w:spacing w:after="0"/>
        <w:rPr>
          <w:rFonts w:eastAsiaTheme="minorEastAsia"/>
          <w:b w:val="0"/>
          <w:i w:val="0"/>
          <w:color w:val="auto"/>
          <w:kern w:val="2"/>
          <w:sz w:val="24"/>
          <w:szCs w:val="24"/>
          <w:lang w:eastAsia="pl-PL"/>
          <w14:ligatures w14:val="standardContextual"/>
        </w:rPr>
      </w:pPr>
      <w:hyperlink w:anchor="_Toc177732100" w:history="1">
        <w:r w:rsidRPr="004B5C8C">
          <w:rPr>
            <w:rStyle w:val="Hipercze"/>
            <w:i w:val="0"/>
          </w:rPr>
          <w:t>9.</w:t>
        </w:r>
        <w:r w:rsidRPr="004B5C8C">
          <w:rPr>
            <w:rFonts w:eastAsiaTheme="minorEastAsia"/>
            <w:b w:val="0"/>
            <w:i w:val="0"/>
            <w:color w:val="auto"/>
            <w:kern w:val="2"/>
            <w:sz w:val="24"/>
            <w:szCs w:val="24"/>
            <w:lang w:eastAsia="pl-PL"/>
            <w14:ligatures w14:val="standardContextual"/>
          </w:rPr>
          <w:tab/>
        </w:r>
        <w:r w:rsidRPr="004B5C8C">
          <w:rPr>
            <w:rStyle w:val="Hipercze"/>
            <w:i w:val="0"/>
          </w:rPr>
          <w:t>Podsumowanie</w:t>
        </w:r>
        <w:r w:rsidRPr="004B5C8C">
          <w:rPr>
            <w:i w:val="0"/>
            <w:webHidden/>
          </w:rPr>
          <w:tab/>
        </w:r>
        <w:r w:rsidRPr="004B5C8C">
          <w:rPr>
            <w:i w:val="0"/>
            <w:webHidden/>
          </w:rPr>
          <w:fldChar w:fldCharType="begin"/>
        </w:r>
        <w:r w:rsidRPr="004B5C8C">
          <w:rPr>
            <w:i w:val="0"/>
            <w:webHidden/>
          </w:rPr>
          <w:instrText xml:space="preserve"> PAGEREF _Toc177732100 \h </w:instrText>
        </w:r>
        <w:r w:rsidRPr="004B5C8C">
          <w:rPr>
            <w:i w:val="0"/>
            <w:webHidden/>
          </w:rPr>
        </w:r>
        <w:r w:rsidRPr="004B5C8C">
          <w:rPr>
            <w:i w:val="0"/>
            <w:webHidden/>
          </w:rPr>
          <w:fldChar w:fldCharType="separate"/>
        </w:r>
        <w:r w:rsidR="00A654D8">
          <w:rPr>
            <w:i w:val="0"/>
            <w:webHidden/>
          </w:rPr>
          <w:t>160</w:t>
        </w:r>
        <w:r w:rsidRPr="004B5C8C">
          <w:rPr>
            <w:i w:val="0"/>
            <w:webHidden/>
          </w:rPr>
          <w:fldChar w:fldCharType="end"/>
        </w:r>
      </w:hyperlink>
    </w:p>
    <w:p w14:paraId="05F1DEC4" w14:textId="7B8D871D" w:rsidR="004B5C8C" w:rsidRPr="004B5C8C" w:rsidRDefault="004B5C8C" w:rsidP="004B5C8C">
      <w:pPr>
        <w:pStyle w:val="Spistreci1"/>
        <w:tabs>
          <w:tab w:val="left" w:pos="1100"/>
        </w:tabs>
        <w:spacing w:after="0"/>
        <w:rPr>
          <w:rFonts w:eastAsiaTheme="minorEastAsia"/>
          <w:b w:val="0"/>
          <w:i w:val="0"/>
          <w:color w:val="auto"/>
          <w:kern w:val="2"/>
          <w:sz w:val="24"/>
          <w:szCs w:val="24"/>
          <w:lang w:eastAsia="pl-PL"/>
          <w14:ligatures w14:val="standardContextual"/>
        </w:rPr>
      </w:pPr>
      <w:hyperlink w:anchor="_Toc177732101" w:history="1">
        <w:r w:rsidRPr="004B5C8C">
          <w:rPr>
            <w:rStyle w:val="Hipercze"/>
            <w:i w:val="0"/>
          </w:rPr>
          <w:t>10.</w:t>
        </w:r>
        <w:r w:rsidRPr="004B5C8C">
          <w:rPr>
            <w:rFonts w:eastAsiaTheme="minorEastAsia"/>
            <w:b w:val="0"/>
            <w:i w:val="0"/>
            <w:color w:val="auto"/>
            <w:kern w:val="2"/>
            <w:sz w:val="24"/>
            <w:szCs w:val="24"/>
            <w:lang w:eastAsia="pl-PL"/>
            <w14:ligatures w14:val="standardContextual"/>
          </w:rPr>
          <w:tab/>
        </w:r>
        <w:r w:rsidRPr="004B5C8C">
          <w:rPr>
            <w:rStyle w:val="Hipercze"/>
            <w:i w:val="0"/>
          </w:rPr>
          <w:t>Spis tabel</w:t>
        </w:r>
        <w:r w:rsidRPr="004B5C8C">
          <w:rPr>
            <w:i w:val="0"/>
            <w:webHidden/>
          </w:rPr>
          <w:tab/>
        </w:r>
        <w:r w:rsidRPr="004B5C8C">
          <w:rPr>
            <w:i w:val="0"/>
            <w:webHidden/>
          </w:rPr>
          <w:fldChar w:fldCharType="begin"/>
        </w:r>
        <w:r w:rsidRPr="004B5C8C">
          <w:rPr>
            <w:i w:val="0"/>
            <w:webHidden/>
          </w:rPr>
          <w:instrText xml:space="preserve"> PAGEREF _Toc177732101 \h </w:instrText>
        </w:r>
        <w:r w:rsidRPr="004B5C8C">
          <w:rPr>
            <w:i w:val="0"/>
            <w:webHidden/>
          </w:rPr>
        </w:r>
        <w:r w:rsidRPr="004B5C8C">
          <w:rPr>
            <w:i w:val="0"/>
            <w:webHidden/>
          </w:rPr>
          <w:fldChar w:fldCharType="separate"/>
        </w:r>
        <w:r w:rsidR="00A654D8">
          <w:rPr>
            <w:i w:val="0"/>
            <w:webHidden/>
          </w:rPr>
          <w:t>161</w:t>
        </w:r>
        <w:r w:rsidRPr="004B5C8C">
          <w:rPr>
            <w:i w:val="0"/>
            <w:webHidden/>
          </w:rPr>
          <w:fldChar w:fldCharType="end"/>
        </w:r>
      </w:hyperlink>
    </w:p>
    <w:p w14:paraId="2AFBACB1" w14:textId="3CABEBAF" w:rsidR="004B5C8C" w:rsidRPr="004B5C8C" w:rsidRDefault="004B5C8C" w:rsidP="004B5C8C">
      <w:pPr>
        <w:pStyle w:val="Spistreci1"/>
        <w:tabs>
          <w:tab w:val="left" w:pos="1100"/>
        </w:tabs>
        <w:spacing w:after="0"/>
        <w:rPr>
          <w:rFonts w:eastAsiaTheme="minorEastAsia"/>
          <w:b w:val="0"/>
          <w:i w:val="0"/>
          <w:color w:val="auto"/>
          <w:kern w:val="2"/>
          <w:sz w:val="24"/>
          <w:szCs w:val="24"/>
          <w:lang w:eastAsia="pl-PL"/>
          <w14:ligatures w14:val="standardContextual"/>
        </w:rPr>
      </w:pPr>
      <w:hyperlink w:anchor="_Toc177732102" w:history="1">
        <w:r w:rsidRPr="004B5C8C">
          <w:rPr>
            <w:rStyle w:val="Hipercze"/>
            <w:i w:val="0"/>
          </w:rPr>
          <w:t>11.</w:t>
        </w:r>
        <w:r w:rsidRPr="004B5C8C">
          <w:rPr>
            <w:rFonts w:eastAsiaTheme="minorEastAsia"/>
            <w:b w:val="0"/>
            <w:i w:val="0"/>
            <w:color w:val="auto"/>
            <w:kern w:val="2"/>
            <w:sz w:val="24"/>
            <w:szCs w:val="24"/>
            <w:lang w:eastAsia="pl-PL"/>
            <w14:ligatures w14:val="standardContextual"/>
          </w:rPr>
          <w:tab/>
        </w:r>
        <w:r w:rsidRPr="004B5C8C">
          <w:rPr>
            <w:rStyle w:val="Hipercze"/>
            <w:i w:val="0"/>
          </w:rPr>
          <w:t>Spis rysunków</w:t>
        </w:r>
        <w:r w:rsidRPr="004B5C8C">
          <w:rPr>
            <w:i w:val="0"/>
            <w:webHidden/>
          </w:rPr>
          <w:tab/>
        </w:r>
        <w:r w:rsidRPr="004B5C8C">
          <w:rPr>
            <w:i w:val="0"/>
            <w:webHidden/>
          </w:rPr>
          <w:fldChar w:fldCharType="begin"/>
        </w:r>
        <w:r w:rsidRPr="004B5C8C">
          <w:rPr>
            <w:i w:val="0"/>
            <w:webHidden/>
          </w:rPr>
          <w:instrText xml:space="preserve"> PAGEREF _Toc177732102 \h </w:instrText>
        </w:r>
        <w:r w:rsidRPr="004B5C8C">
          <w:rPr>
            <w:i w:val="0"/>
            <w:webHidden/>
          </w:rPr>
        </w:r>
        <w:r w:rsidRPr="004B5C8C">
          <w:rPr>
            <w:i w:val="0"/>
            <w:webHidden/>
          </w:rPr>
          <w:fldChar w:fldCharType="separate"/>
        </w:r>
        <w:r w:rsidR="00A654D8">
          <w:rPr>
            <w:i w:val="0"/>
            <w:webHidden/>
          </w:rPr>
          <w:t>162</w:t>
        </w:r>
        <w:r w:rsidRPr="004B5C8C">
          <w:rPr>
            <w:i w:val="0"/>
            <w:webHidden/>
          </w:rPr>
          <w:fldChar w:fldCharType="end"/>
        </w:r>
      </w:hyperlink>
    </w:p>
    <w:p w14:paraId="30175C5F" w14:textId="141CD194" w:rsidR="008220A9" w:rsidRPr="00655FC7" w:rsidRDefault="00492D5F" w:rsidP="004B5C8C">
      <w:pPr>
        <w:pStyle w:val="Spistreci1"/>
        <w:tabs>
          <w:tab w:val="left" w:pos="880"/>
        </w:tabs>
        <w:spacing w:after="0"/>
        <w:rPr>
          <w:rFonts w:cstheme="minorHAnsi"/>
          <w:b w:val="0"/>
          <w:i w:val="0"/>
          <w:noProof w:val="0"/>
          <w:color w:val="auto"/>
        </w:rPr>
      </w:pPr>
      <w:r w:rsidRPr="004B5C8C">
        <w:rPr>
          <w:rFonts w:cstheme="minorHAnsi"/>
          <w:b w:val="0"/>
          <w:i w:val="0"/>
          <w:noProof w:val="0"/>
          <w:color w:val="auto"/>
        </w:rPr>
        <w:fldChar w:fldCharType="end"/>
      </w:r>
    </w:p>
    <w:p w14:paraId="74C219EE" w14:textId="2D3D9F5C" w:rsidR="00492D5F" w:rsidRPr="00655FC7" w:rsidRDefault="00492D5F" w:rsidP="003E3029">
      <w:pPr>
        <w:pStyle w:val="Spistreci1"/>
        <w:tabs>
          <w:tab w:val="left" w:pos="880"/>
        </w:tabs>
        <w:spacing w:line="240" w:lineRule="auto"/>
        <w:rPr>
          <w:rFonts w:cstheme="minorHAnsi"/>
          <w:noProof w:val="0"/>
          <w:color w:val="auto"/>
        </w:rPr>
      </w:pPr>
      <w:r w:rsidRPr="00655FC7">
        <w:rPr>
          <w:rFonts w:cstheme="minorHAnsi"/>
          <w:noProof w:val="0"/>
          <w:color w:val="auto"/>
        </w:rPr>
        <w:br w:type="page"/>
      </w:r>
      <w:bookmarkStart w:id="3" w:name="_Toc21085155"/>
      <w:bookmarkEnd w:id="2"/>
    </w:p>
    <w:p w14:paraId="63E13B83" w14:textId="5BAE0355" w:rsidR="00762C17" w:rsidRPr="00655FC7" w:rsidRDefault="00762C17" w:rsidP="00762C17">
      <w:pPr>
        <w:ind w:firstLine="0"/>
      </w:pPr>
    </w:p>
    <w:p w14:paraId="560FE150" w14:textId="55637167" w:rsidR="00492D5F" w:rsidRPr="00655FC7" w:rsidRDefault="00492D5F" w:rsidP="00071BB6">
      <w:pPr>
        <w:pStyle w:val="Nagwek1"/>
      </w:pPr>
      <w:bookmarkStart w:id="4" w:name="_Toc177732022"/>
      <w:r w:rsidRPr="00655FC7">
        <w:t>Wykaz skrótów</w:t>
      </w:r>
      <w:bookmarkEnd w:id="3"/>
      <w:bookmarkEnd w:id="4"/>
    </w:p>
    <w:p w14:paraId="49694E54" w14:textId="72315566" w:rsidR="00492D5F" w:rsidRPr="00655FC7" w:rsidRDefault="00492D5F" w:rsidP="00C426EC">
      <w:pPr>
        <w:pStyle w:val="Styltabela"/>
      </w:pPr>
      <w:bookmarkStart w:id="5" w:name="_Toc436659749"/>
      <w:bookmarkStart w:id="6" w:name="_Toc178846307"/>
      <w:r w:rsidRPr="00655FC7">
        <w:t xml:space="preserve">Tabela </w:t>
      </w:r>
      <w:r w:rsidR="00E833A9">
        <w:fldChar w:fldCharType="begin"/>
      </w:r>
      <w:r w:rsidR="00E833A9">
        <w:instrText xml:space="preserve"> SEQ Tabela \* ARABIC </w:instrText>
      </w:r>
      <w:r w:rsidR="00E833A9">
        <w:fldChar w:fldCharType="separate"/>
      </w:r>
      <w:r w:rsidR="00A654D8">
        <w:rPr>
          <w:noProof/>
        </w:rPr>
        <w:t>1</w:t>
      </w:r>
      <w:r w:rsidR="00E833A9">
        <w:rPr>
          <w:noProof/>
        </w:rPr>
        <w:fldChar w:fldCharType="end"/>
      </w:r>
      <w:r w:rsidRPr="00655FC7">
        <w:t>. Słownik skrótów.</w:t>
      </w:r>
      <w:bookmarkEnd w:id="5"/>
      <w:bookmarkEnd w:id="6"/>
    </w:p>
    <w:tbl>
      <w:tblPr>
        <w:tblStyle w:val="Tabela-Siatka110"/>
        <w:tblW w:w="9072" w:type="dxa"/>
        <w:jc w:val="center"/>
        <w:tblLook w:val="04A0" w:firstRow="1" w:lastRow="0" w:firstColumn="1" w:lastColumn="0" w:noHBand="0" w:noVBand="1"/>
      </w:tblPr>
      <w:tblGrid>
        <w:gridCol w:w="629"/>
        <w:gridCol w:w="1357"/>
        <w:gridCol w:w="7086"/>
      </w:tblGrid>
      <w:tr w:rsidR="00492D5F" w:rsidRPr="002F223F" w14:paraId="1770FAA5" w14:textId="77777777" w:rsidTr="00486383">
        <w:trPr>
          <w:trHeight w:val="454"/>
          <w:tblHeader/>
          <w:jc w:val="center"/>
        </w:trPr>
        <w:tc>
          <w:tcPr>
            <w:tcW w:w="629" w:type="dxa"/>
            <w:shd w:val="clear" w:color="auto" w:fill="C3D69B" w:themeFill="accent6"/>
            <w:vAlign w:val="center"/>
          </w:tcPr>
          <w:p w14:paraId="67EEBD36" w14:textId="77777777" w:rsidR="00492D5F" w:rsidRPr="002F223F" w:rsidRDefault="00492D5F" w:rsidP="00492D5F">
            <w:pPr>
              <w:tabs>
                <w:tab w:val="left" w:pos="3119"/>
              </w:tabs>
              <w:suppressAutoHyphens/>
              <w:spacing w:before="40" w:after="40"/>
              <w:ind w:firstLine="0"/>
              <w:jc w:val="center"/>
              <w:rPr>
                <w:rFonts w:eastAsia="SimSun" w:cstheme="minorHAnsi"/>
                <w:b/>
                <w:color w:val="auto"/>
                <w:sz w:val="20"/>
                <w:szCs w:val="20"/>
              </w:rPr>
            </w:pPr>
            <w:r w:rsidRPr="002F223F">
              <w:rPr>
                <w:rFonts w:eastAsia="SimSun" w:cstheme="minorHAnsi"/>
                <w:b/>
                <w:color w:val="auto"/>
                <w:sz w:val="20"/>
                <w:szCs w:val="20"/>
              </w:rPr>
              <w:t>Lp.</w:t>
            </w:r>
          </w:p>
        </w:tc>
        <w:tc>
          <w:tcPr>
            <w:tcW w:w="1357" w:type="dxa"/>
            <w:shd w:val="clear" w:color="auto" w:fill="C3D69B" w:themeFill="accent6"/>
            <w:vAlign w:val="center"/>
            <w:hideMark/>
          </w:tcPr>
          <w:p w14:paraId="4CDDB282" w14:textId="77777777" w:rsidR="00492D5F" w:rsidRPr="002F223F" w:rsidRDefault="00492D5F" w:rsidP="00492D5F">
            <w:pPr>
              <w:tabs>
                <w:tab w:val="left" w:pos="3119"/>
              </w:tabs>
              <w:suppressAutoHyphens/>
              <w:spacing w:before="40" w:after="40"/>
              <w:ind w:firstLine="0"/>
              <w:jc w:val="center"/>
              <w:rPr>
                <w:rFonts w:eastAsia="SimSun" w:cstheme="minorHAnsi"/>
                <w:b/>
                <w:color w:val="auto"/>
                <w:sz w:val="20"/>
                <w:szCs w:val="20"/>
              </w:rPr>
            </w:pPr>
            <w:r w:rsidRPr="002F223F">
              <w:rPr>
                <w:rFonts w:eastAsia="SimSun" w:cstheme="minorHAnsi"/>
                <w:b/>
                <w:color w:val="auto"/>
                <w:sz w:val="20"/>
                <w:szCs w:val="20"/>
              </w:rPr>
              <w:t>Nazwa skrótu</w:t>
            </w:r>
          </w:p>
        </w:tc>
        <w:tc>
          <w:tcPr>
            <w:tcW w:w="7086" w:type="dxa"/>
            <w:shd w:val="clear" w:color="auto" w:fill="C3D69B" w:themeFill="accent6"/>
            <w:vAlign w:val="center"/>
            <w:hideMark/>
          </w:tcPr>
          <w:p w14:paraId="701602A9" w14:textId="77777777" w:rsidR="00492D5F" w:rsidRPr="002F223F" w:rsidRDefault="00492D5F" w:rsidP="00492D5F">
            <w:pPr>
              <w:tabs>
                <w:tab w:val="left" w:pos="3119"/>
              </w:tabs>
              <w:suppressAutoHyphens/>
              <w:spacing w:before="40" w:after="40"/>
              <w:ind w:firstLine="0"/>
              <w:jc w:val="center"/>
              <w:rPr>
                <w:rFonts w:eastAsia="SimSun" w:cstheme="minorHAnsi"/>
                <w:b/>
                <w:color w:val="auto"/>
                <w:sz w:val="20"/>
                <w:szCs w:val="20"/>
              </w:rPr>
            </w:pPr>
            <w:r w:rsidRPr="002F223F">
              <w:rPr>
                <w:rFonts w:eastAsia="SimSun" w:cstheme="minorHAnsi"/>
                <w:b/>
                <w:color w:val="auto"/>
                <w:sz w:val="20"/>
                <w:szCs w:val="20"/>
              </w:rPr>
              <w:t>Wyjaśnienie</w:t>
            </w:r>
          </w:p>
        </w:tc>
      </w:tr>
      <w:tr w:rsidR="00492D5F" w:rsidRPr="002F223F" w14:paraId="0AC41F41" w14:textId="77777777" w:rsidTr="002F223F">
        <w:trPr>
          <w:trHeight w:val="397"/>
          <w:jc w:val="center"/>
        </w:trPr>
        <w:tc>
          <w:tcPr>
            <w:tcW w:w="629" w:type="dxa"/>
            <w:vAlign w:val="center"/>
          </w:tcPr>
          <w:p w14:paraId="644C38F9" w14:textId="77777777" w:rsidR="00492D5F" w:rsidRPr="002F223F" w:rsidRDefault="00492D5F">
            <w:pPr>
              <w:numPr>
                <w:ilvl w:val="0"/>
                <w:numId w:val="6"/>
              </w:numPr>
              <w:tabs>
                <w:tab w:val="left" w:pos="3119"/>
              </w:tabs>
              <w:suppressAutoHyphens/>
              <w:spacing w:before="40" w:after="40"/>
              <w:ind w:left="0" w:firstLine="0"/>
              <w:contextualSpacing/>
              <w:jc w:val="left"/>
              <w:rPr>
                <w:rFonts w:eastAsia="SimSun" w:cstheme="minorHAnsi"/>
                <w:color w:val="auto"/>
                <w:sz w:val="20"/>
                <w:szCs w:val="20"/>
                <w:lang w:eastAsia="ar-SA"/>
              </w:rPr>
            </w:pPr>
          </w:p>
        </w:tc>
        <w:tc>
          <w:tcPr>
            <w:tcW w:w="1357" w:type="dxa"/>
            <w:vAlign w:val="center"/>
          </w:tcPr>
          <w:p w14:paraId="5B3288AA"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lang w:eastAsia="ar-SA"/>
              </w:rPr>
            </w:pPr>
            <w:r w:rsidRPr="002F223F">
              <w:rPr>
                <w:rFonts w:cstheme="minorHAnsi"/>
                <w:color w:val="000000"/>
                <w:sz w:val="20"/>
                <w:szCs w:val="20"/>
              </w:rPr>
              <w:t xml:space="preserve">BDL </w:t>
            </w:r>
          </w:p>
        </w:tc>
        <w:tc>
          <w:tcPr>
            <w:tcW w:w="7086" w:type="dxa"/>
            <w:vAlign w:val="center"/>
          </w:tcPr>
          <w:p w14:paraId="3CB1C44A" w14:textId="77777777" w:rsidR="00492D5F" w:rsidRPr="002F223F" w:rsidRDefault="00492D5F" w:rsidP="0065244C">
            <w:pPr>
              <w:tabs>
                <w:tab w:val="left" w:pos="3119"/>
              </w:tabs>
              <w:spacing w:before="40" w:after="40"/>
              <w:ind w:firstLine="0"/>
              <w:jc w:val="left"/>
              <w:rPr>
                <w:rFonts w:eastAsia="SimSun" w:cstheme="minorHAnsi"/>
                <w:color w:val="auto"/>
                <w:sz w:val="20"/>
                <w:szCs w:val="20"/>
                <w:lang w:eastAsia="ar-SA"/>
              </w:rPr>
            </w:pPr>
            <w:r w:rsidRPr="002F223F">
              <w:rPr>
                <w:rFonts w:cstheme="minorHAnsi"/>
                <w:color w:val="000000"/>
                <w:sz w:val="20"/>
                <w:szCs w:val="20"/>
              </w:rPr>
              <w:t xml:space="preserve">Bank Danych Lokalnych </w:t>
            </w:r>
          </w:p>
        </w:tc>
      </w:tr>
      <w:tr w:rsidR="00492D5F" w:rsidRPr="002F223F" w14:paraId="3CFF4ECC" w14:textId="77777777" w:rsidTr="002F223F">
        <w:trPr>
          <w:trHeight w:val="397"/>
          <w:jc w:val="center"/>
        </w:trPr>
        <w:tc>
          <w:tcPr>
            <w:tcW w:w="629" w:type="dxa"/>
            <w:vAlign w:val="center"/>
          </w:tcPr>
          <w:p w14:paraId="20EFC852" w14:textId="77777777" w:rsidR="00492D5F" w:rsidRPr="002F223F" w:rsidRDefault="00492D5F">
            <w:pPr>
              <w:numPr>
                <w:ilvl w:val="0"/>
                <w:numId w:val="6"/>
              </w:numPr>
              <w:tabs>
                <w:tab w:val="left" w:pos="3119"/>
              </w:tabs>
              <w:suppressAutoHyphens/>
              <w:spacing w:before="40" w:after="40"/>
              <w:ind w:left="0" w:firstLine="0"/>
              <w:contextualSpacing/>
              <w:jc w:val="left"/>
              <w:rPr>
                <w:rFonts w:eastAsia="SimSun" w:cstheme="minorHAnsi"/>
                <w:color w:val="auto"/>
                <w:sz w:val="20"/>
                <w:szCs w:val="20"/>
              </w:rPr>
            </w:pPr>
          </w:p>
        </w:tc>
        <w:tc>
          <w:tcPr>
            <w:tcW w:w="1357" w:type="dxa"/>
            <w:vAlign w:val="center"/>
            <w:hideMark/>
          </w:tcPr>
          <w:p w14:paraId="29E4C51C"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Bd</w:t>
            </w:r>
          </w:p>
        </w:tc>
        <w:tc>
          <w:tcPr>
            <w:tcW w:w="7086" w:type="dxa"/>
            <w:vAlign w:val="center"/>
            <w:hideMark/>
          </w:tcPr>
          <w:p w14:paraId="486A9C69"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Brak danych</w:t>
            </w:r>
          </w:p>
        </w:tc>
      </w:tr>
      <w:tr w:rsidR="00492D5F" w:rsidRPr="002F223F" w14:paraId="6B356D9A" w14:textId="77777777" w:rsidTr="002F223F">
        <w:trPr>
          <w:trHeight w:val="397"/>
          <w:jc w:val="center"/>
        </w:trPr>
        <w:tc>
          <w:tcPr>
            <w:tcW w:w="629" w:type="dxa"/>
            <w:vAlign w:val="center"/>
          </w:tcPr>
          <w:p w14:paraId="297EBC1B" w14:textId="77777777" w:rsidR="00492D5F" w:rsidRPr="002F223F" w:rsidRDefault="00492D5F">
            <w:pPr>
              <w:numPr>
                <w:ilvl w:val="0"/>
                <w:numId w:val="6"/>
              </w:numPr>
              <w:tabs>
                <w:tab w:val="left" w:pos="3119"/>
              </w:tabs>
              <w:suppressAutoHyphens/>
              <w:spacing w:before="40" w:after="40"/>
              <w:ind w:left="0" w:firstLine="0"/>
              <w:contextualSpacing/>
              <w:jc w:val="left"/>
              <w:rPr>
                <w:rFonts w:eastAsia="SimSun" w:cstheme="minorHAnsi"/>
                <w:color w:val="auto"/>
                <w:sz w:val="20"/>
                <w:szCs w:val="20"/>
              </w:rPr>
            </w:pPr>
          </w:p>
        </w:tc>
        <w:tc>
          <w:tcPr>
            <w:tcW w:w="1357" w:type="dxa"/>
            <w:vAlign w:val="center"/>
            <w:hideMark/>
          </w:tcPr>
          <w:p w14:paraId="7E032308"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 xml:space="preserve">GUS </w:t>
            </w:r>
          </w:p>
        </w:tc>
        <w:tc>
          <w:tcPr>
            <w:tcW w:w="7086" w:type="dxa"/>
            <w:vAlign w:val="center"/>
            <w:hideMark/>
          </w:tcPr>
          <w:p w14:paraId="5963F832"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lang w:eastAsia="ar-SA"/>
              </w:rPr>
            </w:pPr>
            <w:r w:rsidRPr="002F223F">
              <w:rPr>
                <w:rFonts w:cstheme="minorHAnsi"/>
                <w:color w:val="000000"/>
                <w:sz w:val="20"/>
                <w:szCs w:val="20"/>
              </w:rPr>
              <w:t xml:space="preserve">Główny Urząd Statystyczny </w:t>
            </w:r>
          </w:p>
        </w:tc>
      </w:tr>
      <w:tr w:rsidR="00492D5F" w:rsidRPr="002F223F" w14:paraId="6B8D1A93" w14:textId="77777777" w:rsidTr="002F223F">
        <w:trPr>
          <w:trHeight w:val="397"/>
          <w:jc w:val="center"/>
        </w:trPr>
        <w:tc>
          <w:tcPr>
            <w:tcW w:w="629" w:type="dxa"/>
            <w:vAlign w:val="center"/>
          </w:tcPr>
          <w:p w14:paraId="7BBAAC2C" w14:textId="77777777" w:rsidR="00492D5F" w:rsidRPr="002F223F" w:rsidRDefault="00492D5F">
            <w:pPr>
              <w:numPr>
                <w:ilvl w:val="0"/>
                <w:numId w:val="6"/>
              </w:numPr>
              <w:tabs>
                <w:tab w:val="left" w:pos="3119"/>
              </w:tabs>
              <w:suppressAutoHyphens/>
              <w:spacing w:before="40" w:after="40"/>
              <w:ind w:left="0" w:firstLine="0"/>
              <w:contextualSpacing/>
              <w:jc w:val="left"/>
              <w:rPr>
                <w:rFonts w:eastAsia="SimSun" w:cstheme="minorHAnsi"/>
                <w:color w:val="auto"/>
                <w:sz w:val="20"/>
                <w:szCs w:val="20"/>
              </w:rPr>
            </w:pPr>
          </w:p>
        </w:tc>
        <w:tc>
          <w:tcPr>
            <w:tcW w:w="1357" w:type="dxa"/>
            <w:vAlign w:val="center"/>
            <w:hideMark/>
          </w:tcPr>
          <w:p w14:paraId="436BFE28"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GOZ</w:t>
            </w:r>
          </w:p>
        </w:tc>
        <w:tc>
          <w:tcPr>
            <w:tcW w:w="7086" w:type="dxa"/>
            <w:vAlign w:val="center"/>
            <w:hideMark/>
          </w:tcPr>
          <w:p w14:paraId="21022D35"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lang w:eastAsia="ar-SA"/>
              </w:rPr>
            </w:pPr>
            <w:r w:rsidRPr="002F223F">
              <w:rPr>
                <w:rFonts w:cstheme="minorHAnsi"/>
                <w:color w:val="000000"/>
                <w:sz w:val="20"/>
                <w:szCs w:val="20"/>
              </w:rPr>
              <w:t>Gospodarka o obiegu zamkniętym</w:t>
            </w:r>
          </w:p>
        </w:tc>
      </w:tr>
      <w:tr w:rsidR="00492D5F" w:rsidRPr="002F223F" w14:paraId="2B900052" w14:textId="77777777" w:rsidTr="002F223F">
        <w:trPr>
          <w:trHeight w:val="397"/>
          <w:jc w:val="center"/>
        </w:trPr>
        <w:tc>
          <w:tcPr>
            <w:tcW w:w="629" w:type="dxa"/>
            <w:vAlign w:val="center"/>
          </w:tcPr>
          <w:p w14:paraId="1F416ED1" w14:textId="77777777" w:rsidR="00492D5F" w:rsidRPr="002F223F" w:rsidRDefault="00492D5F">
            <w:pPr>
              <w:numPr>
                <w:ilvl w:val="0"/>
                <w:numId w:val="6"/>
              </w:numPr>
              <w:tabs>
                <w:tab w:val="left" w:pos="3119"/>
              </w:tabs>
              <w:suppressAutoHyphens/>
              <w:spacing w:before="40" w:after="40"/>
              <w:ind w:left="0" w:firstLine="0"/>
              <w:contextualSpacing/>
              <w:jc w:val="left"/>
              <w:rPr>
                <w:rFonts w:eastAsia="SimSun" w:cstheme="minorHAnsi"/>
                <w:color w:val="auto"/>
                <w:sz w:val="20"/>
                <w:szCs w:val="20"/>
              </w:rPr>
            </w:pPr>
          </w:p>
        </w:tc>
        <w:tc>
          <w:tcPr>
            <w:tcW w:w="1357" w:type="dxa"/>
            <w:vAlign w:val="center"/>
            <w:hideMark/>
          </w:tcPr>
          <w:p w14:paraId="2C4513AE"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 xml:space="preserve">IETU </w:t>
            </w:r>
          </w:p>
        </w:tc>
        <w:tc>
          <w:tcPr>
            <w:tcW w:w="7086" w:type="dxa"/>
            <w:vAlign w:val="center"/>
            <w:hideMark/>
          </w:tcPr>
          <w:p w14:paraId="7110C630"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lang w:eastAsia="ar-SA"/>
              </w:rPr>
            </w:pPr>
            <w:r w:rsidRPr="002F223F">
              <w:rPr>
                <w:rFonts w:cstheme="minorHAnsi"/>
                <w:color w:val="000000"/>
                <w:sz w:val="20"/>
                <w:szCs w:val="20"/>
              </w:rPr>
              <w:t xml:space="preserve">Instytut Ekologii Terenów Uprzemysłowionych </w:t>
            </w:r>
          </w:p>
        </w:tc>
      </w:tr>
      <w:tr w:rsidR="00492D5F" w:rsidRPr="002F223F" w14:paraId="04E5C78E" w14:textId="77777777" w:rsidTr="002F223F">
        <w:trPr>
          <w:trHeight w:val="397"/>
          <w:jc w:val="center"/>
        </w:trPr>
        <w:tc>
          <w:tcPr>
            <w:tcW w:w="629" w:type="dxa"/>
            <w:vAlign w:val="center"/>
          </w:tcPr>
          <w:p w14:paraId="4E691E62" w14:textId="77777777" w:rsidR="00492D5F" w:rsidRPr="002F223F" w:rsidRDefault="00492D5F">
            <w:pPr>
              <w:numPr>
                <w:ilvl w:val="0"/>
                <w:numId w:val="6"/>
              </w:numPr>
              <w:tabs>
                <w:tab w:val="left" w:pos="3119"/>
              </w:tabs>
              <w:suppressAutoHyphens/>
              <w:spacing w:before="40" w:after="40"/>
              <w:ind w:left="0" w:firstLine="0"/>
              <w:contextualSpacing/>
              <w:jc w:val="left"/>
              <w:rPr>
                <w:rFonts w:eastAsia="SimSun" w:cstheme="minorHAnsi"/>
                <w:color w:val="auto"/>
                <w:sz w:val="20"/>
                <w:szCs w:val="20"/>
              </w:rPr>
            </w:pPr>
          </w:p>
        </w:tc>
        <w:tc>
          <w:tcPr>
            <w:tcW w:w="1357" w:type="dxa"/>
            <w:vAlign w:val="center"/>
            <w:hideMark/>
          </w:tcPr>
          <w:p w14:paraId="31BF7237"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 xml:space="preserve">IMGW-PIB </w:t>
            </w:r>
          </w:p>
        </w:tc>
        <w:tc>
          <w:tcPr>
            <w:tcW w:w="7086" w:type="dxa"/>
            <w:vAlign w:val="center"/>
            <w:hideMark/>
          </w:tcPr>
          <w:p w14:paraId="188D6EF1"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lang w:eastAsia="ar-SA"/>
              </w:rPr>
            </w:pPr>
            <w:r w:rsidRPr="002F223F">
              <w:rPr>
                <w:rFonts w:cstheme="minorHAnsi"/>
                <w:color w:val="000000"/>
                <w:sz w:val="20"/>
                <w:szCs w:val="20"/>
              </w:rPr>
              <w:t xml:space="preserve">Instytut Meteorologii i Gospodarki Wodnej – Państwowy Instytut Badawczy </w:t>
            </w:r>
          </w:p>
        </w:tc>
      </w:tr>
      <w:tr w:rsidR="00492D5F" w:rsidRPr="002F223F" w14:paraId="4DC58012" w14:textId="77777777" w:rsidTr="002F223F">
        <w:trPr>
          <w:trHeight w:val="397"/>
          <w:jc w:val="center"/>
        </w:trPr>
        <w:tc>
          <w:tcPr>
            <w:tcW w:w="629" w:type="dxa"/>
            <w:vAlign w:val="center"/>
          </w:tcPr>
          <w:p w14:paraId="7E25484E" w14:textId="77777777" w:rsidR="00492D5F" w:rsidRPr="002F223F" w:rsidRDefault="00492D5F">
            <w:pPr>
              <w:numPr>
                <w:ilvl w:val="0"/>
                <w:numId w:val="6"/>
              </w:numPr>
              <w:tabs>
                <w:tab w:val="left" w:pos="3119"/>
              </w:tabs>
              <w:suppressAutoHyphens/>
              <w:spacing w:before="40" w:after="40"/>
              <w:ind w:left="0" w:firstLine="0"/>
              <w:contextualSpacing/>
              <w:jc w:val="left"/>
              <w:rPr>
                <w:rFonts w:eastAsia="SimSun" w:cstheme="minorHAnsi"/>
                <w:color w:val="auto"/>
                <w:sz w:val="20"/>
                <w:szCs w:val="20"/>
              </w:rPr>
            </w:pPr>
          </w:p>
        </w:tc>
        <w:tc>
          <w:tcPr>
            <w:tcW w:w="1357" w:type="dxa"/>
            <w:vAlign w:val="center"/>
            <w:hideMark/>
          </w:tcPr>
          <w:p w14:paraId="7753E19A"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 xml:space="preserve">IOŚ-PIB </w:t>
            </w:r>
          </w:p>
        </w:tc>
        <w:tc>
          <w:tcPr>
            <w:tcW w:w="7086" w:type="dxa"/>
            <w:vAlign w:val="center"/>
            <w:hideMark/>
          </w:tcPr>
          <w:p w14:paraId="6802C827"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 xml:space="preserve">Instytut Ochrony Środowiska – Państwowy Instytut Badawczy </w:t>
            </w:r>
          </w:p>
        </w:tc>
      </w:tr>
      <w:tr w:rsidR="00492D5F" w:rsidRPr="002F223F" w14:paraId="1E14F7C8" w14:textId="77777777" w:rsidTr="002F223F">
        <w:trPr>
          <w:trHeight w:val="397"/>
          <w:jc w:val="center"/>
        </w:trPr>
        <w:tc>
          <w:tcPr>
            <w:tcW w:w="629" w:type="dxa"/>
            <w:vAlign w:val="center"/>
          </w:tcPr>
          <w:p w14:paraId="2CCF0EB4" w14:textId="77777777" w:rsidR="00492D5F" w:rsidRPr="002F223F" w:rsidRDefault="00492D5F">
            <w:pPr>
              <w:numPr>
                <w:ilvl w:val="0"/>
                <w:numId w:val="6"/>
              </w:numPr>
              <w:tabs>
                <w:tab w:val="left" w:pos="3119"/>
              </w:tabs>
              <w:suppressAutoHyphens/>
              <w:spacing w:before="40" w:after="40"/>
              <w:ind w:left="0" w:firstLine="0"/>
              <w:contextualSpacing/>
              <w:jc w:val="left"/>
              <w:rPr>
                <w:rFonts w:eastAsia="SimSun" w:cstheme="minorHAnsi"/>
                <w:color w:val="auto"/>
                <w:sz w:val="20"/>
                <w:szCs w:val="20"/>
              </w:rPr>
            </w:pPr>
          </w:p>
        </w:tc>
        <w:tc>
          <w:tcPr>
            <w:tcW w:w="1357" w:type="dxa"/>
            <w:vAlign w:val="center"/>
          </w:tcPr>
          <w:p w14:paraId="1E73D2E7"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JCWPd</w:t>
            </w:r>
          </w:p>
        </w:tc>
        <w:tc>
          <w:tcPr>
            <w:tcW w:w="7086" w:type="dxa"/>
            <w:vAlign w:val="center"/>
          </w:tcPr>
          <w:p w14:paraId="5C6EB4A5"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lang w:eastAsia="ar-SA"/>
              </w:rPr>
            </w:pPr>
            <w:r w:rsidRPr="002F223F">
              <w:rPr>
                <w:rFonts w:cstheme="minorHAnsi"/>
                <w:color w:val="000000"/>
                <w:sz w:val="20"/>
                <w:szCs w:val="20"/>
              </w:rPr>
              <w:t>Jednolita część wód podziemnych</w:t>
            </w:r>
          </w:p>
        </w:tc>
      </w:tr>
      <w:tr w:rsidR="00492D5F" w:rsidRPr="002F223F" w14:paraId="3C2410FB" w14:textId="77777777" w:rsidTr="002F223F">
        <w:trPr>
          <w:trHeight w:val="397"/>
          <w:jc w:val="center"/>
        </w:trPr>
        <w:tc>
          <w:tcPr>
            <w:tcW w:w="629" w:type="dxa"/>
            <w:vAlign w:val="center"/>
          </w:tcPr>
          <w:p w14:paraId="25728554" w14:textId="77777777" w:rsidR="00492D5F" w:rsidRPr="002F223F" w:rsidRDefault="00492D5F">
            <w:pPr>
              <w:numPr>
                <w:ilvl w:val="0"/>
                <w:numId w:val="6"/>
              </w:numPr>
              <w:tabs>
                <w:tab w:val="left" w:pos="3119"/>
              </w:tabs>
              <w:suppressAutoHyphens/>
              <w:spacing w:before="40" w:after="40"/>
              <w:ind w:left="0" w:firstLine="0"/>
              <w:contextualSpacing/>
              <w:jc w:val="left"/>
              <w:rPr>
                <w:rFonts w:eastAsia="SimSun" w:cstheme="minorHAnsi"/>
                <w:color w:val="auto"/>
                <w:sz w:val="20"/>
                <w:szCs w:val="20"/>
              </w:rPr>
            </w:pPr>
          </w:p>
        </w:tc>
        <w:tc>
          <w:tcPr>
            <w:tcW w:w="1357" w:type="dxa"/>
            <w:vAlign w:val="center"/>
          </w:tcPr>
          <w:p w14:paraId="3571C0E8"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JCWP</w:t>
            </w:r>
          </w:p>
        </w:tc>
        <w:tc>
          <w:tcPr>
            <w:tcW w:w="7086" w:type="dxa"/>
            <w:vAlign w:val="center"/>
          </w:tcPr>
          <w:p w14:paraId="68025281"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lang w:eastAsia="ar-SA"/>
              </w:rPr>
            </w:pPr>
            <w:r w:rsidRPr="002F223F">
              <w:rPr>
                <w:rFonts w:cstheme="minorHAnsi"/>
                <w:color w:val="000000"/>
                <w:sz w:val="20"/>
                <w:szCs w:val="20"/>
              </w:rPr>
              <w:t>Jednolita część wód powierzchniowych</w:t>
            </w:r>
          </w:p>
        </w:tc>
      </w:tr>
      <w:tr w:rsidR="00492D5F" w:rsidRPr="002F223F" w14:paraId="66D35934" w14:textId="77777777" w:rsidTr="002F223F">
        <w:trPr>
          <w:trHeight w:val="397"/>
          <w:jc w:val="center"/>
        </w:trPr>
        <w:tc>
          <w:tcPr>
            <w:tcW w:w="629" w:type="dxa"/>
            <w:vAlign w:val="center"/>
          </w:tcPr>
          <w:p w14:paraId="4EAC3929" w14:textId="77777777" w:rsidR="00492D5F" w:rsidRPr="002F223F" w:rsidRDefault="00492D5F">
            <w:pPr>
              <w:numPr>
                <w:ilvl w:val="0"/>
                <w:numId w:val="6"/>
              </w:numPr>
              <w:tabs>
                <w:tab w:val="left" w:pos="3119"/>
              </w:tabs>
              <w:suppressAutoHyphens/>
              <w:spacing w:before="40" w:after="40"/>
              <w:ind w:left="0" w:firstLine="0"/>
              <w:contextualSpacing/>
              <w:jc w:val="left"/>
              <w:rPr>
                <w:rFonts w:eastAsia="SimSun" w:cstheme="minorHAnsi"/>
                <w:color w:val="auto"/>
                <w:sz w:val="20"/>
                <w:szCs w:val="20"/>
              </w:rPr>
            </w:pPr>
          </w:p>
        </w:tc>
        <w:tc>
          <w:tcPr>
            <w:tcW w:w="1357" w:type="dxa"/>
            <w:vAlign w:val="center"/>
            <w:hideMark/>
          </w:tcPr>
          <w:p w14:paraId="4019BAC7"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JST</w:t>
            </w:r>
          </w:p>
        </w:tc>
        <w:tc>
          <w:tcPr>
            <w:tcW w:w="7086" w:type="dxa"/>
            <w:vAlign w:val="center"/>
            <w:hideMark/>
          </w:tcPr>
          <w:p w14:paraId="361F38D0"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Jednostka samorządu terytorialnego</w:t>
            </w:r>
          </w:p>
        </w:tc>
      </w:tr>
      <w:tr w:rsidR="00492D5F" w:rsidRPr="002F223F" w14:paraId="32A8E420" w14:textId="77777777" w:rsidTr="002F223F">
        <w:trPr>
          <w:trHeight w:val="397"/>
          <w:jc w:val="center"/>
        </w:trPr>
        <w:tc>
          <w:tcPr>
            <w:tcW w:w="629" w:type="dxa"/>
            <w:vAlign w:val="center"/>
          </w:tcPr>
          <w:p w14:paraId="55121155" w14:textId="77777777" w:rsidR="00492D5F" w:rsidRPr="002F223F" w:rsidRDefault="00492D5F">
            <w:pPr>
              <w:numPr>
                <w:ilvl w:val="0"/>
                <w:numId w:val="6"/>
              </w:numPr>
              <w:tabs>
                <w:tab w:val="left" w:pos="3119"/>
              </w:tabs>
              <w:suppressAutoHyphens/>
              <w:spacing w:before="40" w:after="40"/>
              <w:ind w:left="0" w:firstLine="0"/>
              <w:contextualSpacing/>
              <w:jc w:val="left"/>
              <w:rPr>
                <w:rFonts w:eastAsia="SimSun" w:cstheme="minorHAnsi"/>
                <w:color w:val="auto"/>
                <w:sz w:val="20"/>
                <w:szCs w:val="20"/>
              </w:rPr>
            </w:pPr>
          </w:p>
        </w:tc>
        <w:tc>
          <w:tcPr>
            <w:tcW w:w="1357" w:type="dxa"/>
            <w:vAlign w:val="center"/>
            <w:hideMark/>
          </w:tcPr>
          <w:p w14:paraId="312FC3DE"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KPRWP</w:t>
            </w:r>
          </w:p>
        </w:tc>
        <w:tc>
          <w:tcPr>
            <w:tcW w:w="7086" w:type="dxa"/>
            <w:vAlign w:val="center"/>
            <w:hideMark/>
          </w:tcPr>
          <w:p w14:paraId="1079FB43"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 xml:space="preserve">Krajowy Program Renaturyzacji Wód Powierzchniowych </w:t>
            </w:r>
          </w:p>
        </w:tc>
      </w:tr>
      <w:tr w:rsidR="00492D5F" w:rsidRPr="002F223F" w14:paraId="0D442587" w14:textId="77777777" w:rsidTr="002F223F">
        <w:trPr>
          <w:trHeight w:val="397"/>
          <w:jc w:val="center"/>
        </w:trPr>
        <w:tc>
          <w:tcPr>
            <w:tcW w:w="629" w:type="dxa"/>
            <w:vAlign w:val="center"/>
          </w:tcPr>
          <w:p w14:paraId="14446E9A" w14:textId="77777777" w:rsidR="00492D5F" w:rsidRPr="002F223F" w:rsidRDefault="00492D5F">
            <w:pPr>
              <w:numPr>
                <w:ilvl w:val="0"/>
                <w:numId w:val="6"/>
              </w:numPr>
              <w:tabs>
                <w:tab w:val="left" w:pos="3119"/>
              </w:tabs>
              <w:suppressAutoHyphens/>
              <w:spacing w:before="40" w:after="40"/>
              <w:ind w:left="0" w:firstLine="0"/>
              <w:contextualSpacing/>
              <w:jc w:val="left"/>
              <w:rPr>
                <w:rFonts w:eastAsia="SimSun" w:cstheme="minorHAnsi"/>
                <w:color w:val="auto"/>
                <w:sz w:val="20"/>
                <w:szCs w:val="20"/>
              </w:rPr>
            </w:pPr>
          </w:p>
        </w:tc>
        <w:tc>
          <w:tcPr>
            <w:tcW w:w="1357" w:type="dxa"/>
            <w:vAlign w:val="center"/>
            <w:hideMark/>
          </w:tcPr>
          <w:p w14:paraId="2053CEA8"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KZGW</w:t>
            </w:r>
          </w:p>
        </w:tc>
        <w:tc>
          <w:tcPr>
            <w:tcW w:w="7086" w:type="dxa"/>
            <w:vAlign w:val="center"/>
            <w:hideMark/>
          </w:tcPr>
          <w:p w14:paraId="4A2BCC29"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Krajowy Zarząd Gospodarki Wodnej</w:t>
            </w:r>
          </w:p>
        </w:tc>
      </w:tr>
      <w:tr w:rsidR="00492D5F" w:rsidRPr="002F223F" w14:paraId="6BA8EB51" w14:textId="77777777" w:rsidTr="002F223F">
        <w:trPr>
          <w:trHeight w:val="397"/>
          <w:jc w:val="center"/>
        </w:trPr>
        <w:tc>
          <w:tcPr>
            <w:tcW w:w="629" w:type="dxa"/>
            <w:vAlign w:val="center"/>
          </w:tcPr>
          <w:p w14:paraId="0A605D59" w14:textId="77777777" w:rsidR="00492D5F" w:rsidRPr="002F223F" w:rsidRDefault="00492D5F">
            <w:pPr>
              <w:numPr>
                <w:ilvl w:val="0"/>
                <w:numId w:val="6"/>
              </w:numPr>
              <w:tabs>
                <w:tab w:val="left" w:pos="3119"/>
              </w:tabs>
              <w:suppressAutoHyphens/>
              <w:spacing w:before="40" w:after="40"/>
              <w:ind w:left="0" w:firstLine="0"/>
              <w:contextualSpacing/>
              <w:jc w:val="left"/>
              <w:rPr>
                <w:rFonts w:eastAsia="SimSun" w:cstheme="minorHAnsi"/>
                <w:color w:val="auto"/>
                <w:sz w:val="20"/>
                <w:szCs w:val="20"/>
              </w:rPr>
            </w:pPr>
          </w:p>
        </w:tc>
        <w:tc>
          <w:tcPr>
            <w:tcW w:w="1357" w:type="dxa"/>
            <w:vAlign w:val="center"/>
          </w:tcPr>
          <w:p w14:paraId="2DE9E6BD"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KZGW</w:t>
            </w:r>
          </w:p>
        </w:tc>
        <w:tc>
          <w:tcPr>
            <w:tcW w:w="7086" w:type="dxa"/>
            <w:vAlign w:val="center"/>
          </w:tcPr>
          <w:p w14:paraId="0145BE79"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Krajowy Zarząd Gospodarki Wodnej</w:t>
            </w:r>
          </w:p>
        </w:tc>
      </w:tr>
      <w:tr w:rsidR="00492D5F" w:rsidRPr="002F223F" w14:paraId="56672AB5" w14:textId="77777777" w:rsidTr="002F223F">
        <w:trPr>
          <w:trHeight w:val="397"/>
          <w:jc w:val="center"/>
        </w:trPr>
        <w:tc>
          <w:tcPr>
            <w:tcW w:w="629" w:type="dxa"/>
            <w:vAlign w:val="center"/>
          </w:tcPr>
          <w:p w14:paraId="4A586794" w14:textId="77777777" w:rsidR="00492D5F" w:rsidRPr="002F223F" w:rsidRDefault="00492D5F">
            <w:pPr>
              <w:numPr>
                <w:ilvl w:val="0"/>
                <w:numId w:val="6"/>
              </w:numPr>
              <w:tabs>
                <w:tab w:val="left" w:pos="3119"/>
              </w:tabs>
              <w:suppressAutoHyphens/>
              <w:spacing w:before="40" w:after="40"/>
              <w:ind w:left="0" w:firstLine="0"/>
              <w:contextualSpacing/>
              <w:jc w:val="left"/>
              <w:rPr>
                <w:rFonts w:eastAsia="SimSun" w:cstheme="minorHAnsi"/>
                <w:color w:val="auto"/>
                <w:sz w:val="20"/>
                <w:szCs w:val="20"/>
              </w:rPr>
            </w:pPr>
          </w:p>
        </w:tc>
        <w:tc>
          <w:tcPr>
            <w:tcW w:w="1357" w:type="dxa"/>
            <w:vAlign w:val="center"/>
            <w:hideMark/>
          </w:tcPr>
          <w:p w14:paraId="3C8A8663"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MPA</w:t>
            </w:r>
          </w:p>
        </w:tc>
        <w:tc>
          <w:tcPr>
            <w:tcW w:w="7086" w:type="dxa"/>
            <w:vAlign w:val="center"/>
            <w:hideMark/>
          </w:tcPr>
          <w:p w14:paraId="295253D7" w14:textId="77777777" w:rsidR="00492D5F" w:rsidRPr="002F223F" w:rsidRDefault="00492D5F" w:rsidP="0065244C">
            <w:pPr>
              <w:tabs>
                <w:tab w:val="left" w:pos="3119"/>
              </w:tabs>
              <w:suppressAutoHyphens/>
              <w:spacing w:before="40" w:after="40"/>
              <w:ind w:firstLine="0"/>
              <w:jc w:val="left"/>
              <w:rPr>
                <w:rFonts w:eastAsia="Times New Roman" w:cstheme="minorHAnsi"/>
                <w:bCs/>
                <w:color w:val="auto"/>
                <w:sz w:val="20"/>
                <w:szCs w:val="20"/>
              </w:rPr>
            </w:pPr>
            <w:r w:rsidRPr="002F223F">
              <w:rPr>
                <w:rFonts w:cstheme="minorHAnsi"/>
                <w:color w:val="000000"/>
                <w:sz w:val="20"/>
                <w:szCs w:val="20"/>
              </w:rPr>
              <w:t>Miejski Plan Adaptacji do zmian klimatu</w:t>
            </w:r>
          </w:p>
        </w:tc>
      </w:tr>
      <w:tr w:rsidR="00492D5F" w:rsidRPr="002F223F" w14:paraId="0E63522A" w14:textId="77777777" w:rsidTr="002F223F">
        <w:trPr>
          <w:trHeight w:val="397"/>
          <w:jc w:val="center"/>
        </w:trPr>
        <w:tc>
          <w:tcPr>
            <w:tcW w:w="629" w:type="dxa"/>
            <w:vAlign w:val="center"/>
          </w:tcPr>
          <w:p w14:paraId="4EDE4628" w14:textId="77777777" w:rsidR="00492D5F" w:rsidRPr="002F223F" w:rsidRDefault="00492D5F">
            <w:pPr>
              <w:numPr>
                <w:ilvl w:val="0"/>
                <w:numId w:val="6"/>
              </w:numPr>
              <w:tabs>
                <w:tab w:val="left" w:pos="3119"/>
              </w:tabs>
              <w:suppressAutoHyphens/>
              <w:spacing w:before="40" w:after="40"/>
              <w:ind w:left="0" w:firstLine="0"/>
              <w:contextualSpacing/>
              <w:jc w:val="left"/>
              <w:rPr>
                <w:rFonts w:eastAsia="SimSun" w:cstheme="minorHAnsi"/>
                <w:color w:val="auto"/>
                <w:sz w:val="20"/>
                <w:szCs w:val="20"/>
              </w:rPr>
            </w:pPr>
          </w:p>
        </w:tc>
        <w:tc>
          <w:tcPr>
            <w:tcW w:w="1357" w:type="dxa"/>
            <w:vAlign w:val="center"/>
            <w:hideMark/>
          </w:tcPr>
          <w:p w14:paraId="403655A8"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NFOŚiGW</w:t>
            </w:r>
          </w:p>
        </w:tc>
        <w:tc>
          <w:tcPr>
            <w:tcW w:w="7086" w:type="dxa"/>
            <w:vAlign w:val="center"/>
            <w:hideMark/>
          </w:tcPr>
          <w:p w14:paraId="7F80E1CC"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Narodowy Fundusz Ochrony Środowiska i Gospodarki Wodnej</w:t>
            </w:r>
          </w:p>
        </w:tc>
      </w:tr>
      <w:tr w:rsidR="00492D5F" w:rsidRPr="002F223F" w14:paraId="657D873C" w14:textId="77777777" w:rsidTr="002F223F">
        <w:trPr>
          <w:trHeight w:val="397"/>
          <w:jc w:val="center"/>
        </w:trPr>
        <w:tc>
          <w:tcPr>
            <w:tcW w:w="629" w:type="dxa"/>
            <w:vAlign w:val="center"/>
          </w:tcPr>
          <w:p w14:paraId="1353BCE6" w14:textId="77777777" w:rsidR="00492D5F" w:rsidRPr="002F223F" w:rsidRDefault="00492D5F">
            <w:pPr>
              <w:numPr>
                <w:ilvl w:val="0"/>
                <w:numId w:val="6"/>
              </w:numPr>
              <w:tabs>
                <w:tab w:val="left" w:pos="3119"/>
              </w:tabs>
              <w:suppressAutoHyphens/>
              <w:spacing w:before="40" w:after="40"/>
              <w:ind w:left="0" w:firstLine="0"/>
              <w:contextualSpacing/>
              <w:jc w:val="left"/>
              <w:rPr>
                <w:rFonts w:eastAsia="SimSun" w:cstheme="minorHAnsi"/>
                <w:color w:val="auto"/>
                <w:sz w:val="20"/>
                <w:szCs w:val="20"/>
              </w:rPr>
            </w:pPr>
          </w:p>
        </w:tc>
        <w:tc>
          <w:tcPr>
            <w:tcW w:w="1357" w:type="dxa"/>
            <w:vAlign w:val="center"/>
            <w:hideMark/>
          </w:tcPr>
          <w:p w14:paraId="0E827A68"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OZE</w:t>
            </w:r>
          </w:p>
        </w:tc>
        <w:tc>
          <w:tcPr>
            <w:tcW w:w="7086" w:type="dxa"/>
            <w:vAlign w:val="center"/>
            <w:hideMark/>
          </w:tcPr>
          <w:p w14:paraId="3E9E99C2"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lang w:eastAsia="ar-SA"/>
              </w:rPr>
            </w:pPr>
            <w:r w:rsidRPr="002F223F">
              <w:rPr>
                <w:rFonts w:cstheme="minorHAnsi"/>
                <w:color w:val="000000"/>
                <w:sz w:val="20"/>
                <w:szCs w:val="20"/>
              </w:rPr>
              <w:t>Odnawialne Źródła Energii</w:t>
            </w:r>
          </w:p>
        </w:tc>
      </w:tr>
      <w:tr w:rsidR="00492D5F" w:rsidRPr="002F223F" w14:paraId="7114EEFA" w14:textId="77777777" w:rsidTr="002F223F">
        <w:trPr>
          <w:trHeight w:val="397"/>
          <w:jc w:val="center"/>
        </w:trPr>
        <w:tc>
          <w:tcPr>
            <w:tcW w:w="629" w:type="dxa"/>
            <w:vAlign w:val="center"/>
          </w:tcPr>
          <w:p w14:paraId="1BB9E7E2" w14:textId="77777777" w:rsidR="00492D5F" w:rsidRPr="002F223F" w:rsidRDefault="00492D5F">
            <w:pPr>
              <w:numPr>
                <w:ilvl w:val="0"/>
                <w:numId w:val="6"/>
              </w:numPr>
              <w:tabs>
                <w:tab w:val="left" w:pos="3119"/>
              </w:tabs>
              <w:suppressAutoHyphens/>
              <w:spacing w:before="40" w:after="40"/>
              <w:ind w:left="0" w:firstLine="0"/>
              <w:contextualSpacing/>
              <w:jc w:val="left"/>
              <w:rPr>
                <w:rFonts w:eastAsia="SimSun" w:cstheme="minorHAnsi"/>
                <w:color w:val="auto"/>
                <w:sz w:val="20"/>
                <w:szCs w:val="20"/>
              </w:rPr>
            </w:pPr>
          </w:p>
        </w:tc>
        <w:tc>
          <w:tcPr>
            <w:tcW w:w="1357" w:type="dxa"/>
            <w:vAlign w:val="center"/>
            <w:hideMark/>
          </w:tcPr>
          <w:p w14:paraId="46018FD5"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PGW WP</w:t>
            </w:r>
          </w:p>
        </w:tc>
        <w:tc>
          <w:tcPr>
            <w:tcW w:w="7086" w:type="dxa"/>
            <w:vAlign w:val="center"/>
            <w:hideMark/>
          </w:tcPr>
          <w:p w14:paraId="44F7CA33"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Państwowe Gospodarstwo Wodne Wody Polskie</w:t>
            </w:r>
          </w:p>
        </w:tc>
      </w:tr>
      <w:tr w:rsidR="00492D5F" w:rsidRPr="002F223F" w14:paraId="5E2FC449" w14:textId="77777777" w:rsidTr="002F223F">
        <w:trPr>
          <w:trHeight w:val="397"/>
          <w:jc w:val="center"/>
        </w:trPr>
        <w:tc>
          <w:tcPr>
            <w:tcW w:w="629" w:type="dxa"/>
            <w:vAlign w:val="center"/>
          </w:tcPr>
          <w:p w14:paraId="4B20CE9A" w14:textId="77777777" w:rsidR="00492D5F" w:rsidRPr="002F223F" w:rsidRDefault="00492D5F">
            <w:pPr>
              <w:numPr>
                <w:ilvl w:val="0"/>
                <w:numId w:val="6"/>
              </w:numPr>
              <w:tabs>
                <w:tab w:val="left" w:pos="3119"/>
              </w:tabs>
              <w:suppressAutoHyphens/>
              <w:spacing w:before="40" w:after="40"/>
              <w:ind w:left="0" w:firstLine="0"/>
              <w:contextualSpacing/>
              <w:jc w:val="left"/>
              <w:rPr>
                <w:rFonts w:eastAsia="SimSun" w:cstheme="minorHAnsi"/>
                <w:color w:val="auto"/>
                <w:sz w:val="20"/>
                <w:szCs w:val="20"/>
              </w:rPr>
            </w:pPr>
          </w:p>
        </w:tc>
        <w:tc>
          <w:tcPr>
            <w:tcW w:w="1357" w:type="dxa"/>
            <w:vAlign w:val="center"/>
            <w:hideMark/>
          </w:tcPr>
          <w:p w14:paraId="44A2C56F"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RZGW ZZ</w:t>
            </w:r>
          </w:p>
        </w:tc>
        <w:tc>
          <w:tcPr>
            <w:tcW w:w="7086" w:type="dxa"/>
            <w:vAlign w:val="center"/>
            <w:hideMark/>
          </w:tcPr>
          <w:p w14:paraId="337D04D9"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lang w:eastAsia="ar-SA"/>
              </w:rPr>
            </w:pPr>
            <w:r w:rsidRPr="002F223F">
              <w:rPr>
                <w:rFonts w:cstheme="minorHAnsi"/>
                <w:color w:val="000000"/>
                <w:sz w:val="20"/>
                <w:szCs w:val="20"/>
              </w:rPr>
              <w:t>Państwowe Gospodarstwo Wodne Wody Polskie Zarząd Zlewni</w:t>
            </w:r>
          </w:p>
        </w:tc>
      </w:tr>
      <w:tr w:rsidR="00492D5F" w:rsidRPr="002F223F" w14:paraId="1600FA47" w14:textId="77777777" w:rsidTr="002F223F">
        <w:trPr>
          <w:trHeight w:val="397"/>
          <w:jc w:val="center"/>
        </w:trPr>
        <w:tc>
          <w:tcPr>
            <w:tcW w:w="629" w:type="dxa"/>
            <w:vAlign w:val="center"/>
          </w:tcPr>
          <w:p w14:paraId="6989FAFC" w14:textId="77777777" w:rsidR="00492D5F" w:rsidRPr="002F223F" w:rsidRDefault="00492D5F">
            <w:pPr>
              <w:numPr>
                <w:ilvl w:val="0"/>
                <w:numId w:val="6"/>
              </w:numPr>
              <w:tabs>
                <w:tab w:val="left" w:pos="3119"/>
              </w:tabs>
              <w:suppressAutoHyphens/>
              <w:spacing w:before="40" w:after="40"/>
              <w:ind w:left="0" w:firstLine="0"/>
              <w:contextualSpacing/>
              <w:jc w:val="left"/>
              <w:rPr>
                <w:rFonts w:eastAsia="SimSun" w:cstheme="minorHAnsi"/>
                <w:color w:val="auto"/>
                <w:sz w:val="20"/>
                <w:szCs w:val="20"/>
              </w:rPr>
            </w:pPr>
          </w:p>
        </w:tc>
        <w:tc>
          <w:tcPr>
            <w:tcW w:w="1357" w:type="dxa"/>
            <w:vAlign w:val="center"/>
            <w:hideMark/>
          </w:tcPr>
          <w:p w14:paraId="6D6E86E9"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PMŚ</w:t>
            </w:r>
          </w:p>
        </w:tc>
        <w:tc>
          <w:tcPr>
            <w:tcW w:w="7086" w:type="dxa"/>
            <w:vAlign w:val="center"/>
            <w:hideMark/>
          </w:tcPr>
          <w:p w14:paraId="443A9207"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Państwowy Monitoring Środowiska</w:t>
            </w:r>
          </w:p>
        </w:tc>
      </w:tr>
      <w:tr w:rsidR="00492D5F" w:rsidRPr="002F223F" w14:paraId="4FFF096A" w14:textId="77777777" w:rsidTr="002F223F">
        <w:trPr>
          <w:trHeight w:val="397"/>
          <w:jc w:val="center"/>
        </w:trPr>
        <w:tc>
          <w:tcPr>
            <w:tcW w:w="629" w:type="dxa"/>
            <w:vAlign w:val="center"/>
          </w:tcPr>
          <w:p w14:paraId="3E8E2034" w14:textId="77777777" w:rsidR="00492D5F" w:rsidRPr="002F223F" w:rsidRDefault="00492D5F">
            <w:pPr>
              <w:numPr>
                <w:ilvl w:val="0"/>
                <w:numId w:val="6"/>
              </w:numPr>
              <w:tabs>
                <w:tab w:val="left" w:pos="3119"/>
              </w:tabs>
              <w:suppressAutoHyphens/>
              <w:spacing w:before="40" w:after="40"/>
              <w:ind w:left="0" w:firstLine="0"/>
              <w:contextualSpacing/>
              <w:jc w:val="left"/>
              <w:rPr>
                <w:rFonts w:eastAsia="SimSun" w:cstheme="minorHAnsi"/>
                <w:color w:val="auto"/>
                <w:sz w:val="20"/>
                <w:szCs w:val="20"/>
              </w:rPr>
            </w:pPr>
          </w:p>
        </w:tc>
        <w:tc>
          <w:tcPr>
            <w:tcW w:w="1357" w:type="dxa"/>
            <w:vAlign w:val="center"/>
            <w:hideMark/>
          </w:tcPr>
          <w:p w14:paraId="6D763D62"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PO</w:t>
            </w:r>
          </w:p>
        </w:tc>
        <w:tc>
          <w:tcPr>
            <w:tcW w:w="7086" w:type="dxa"/>
            <w:vAlign w:val="center"/>
            <w:hideMark/>
          </w:tcPr>
          <w:p w14:paraId="6C1DD847"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Plan Ochrony (ustanowionych dla obszarów Natura 2000)</w:t>
            </w:r>
          </w:p>
        </w:tc>
      </w:tr>
      <w:tr w:rsidR="00492D5F" w:rsidRPr="002F223F" w14:paraId="12B96F94" w14:textId="77777777" w:rsidTr="002F223F">
        <w:trPr>
          <w:trHeight w:val="397"/>
          <w:jc w:val="center"/>
        </w:trPr>
        <w:tc>
          <w:tcPr>
            <w:tcW w:w="629" w:type="dxa"/>
            <w:vAlign w:val="center"/>
          </w:tcPr>
          <w:p w14:paraId="0618F776" w14:textId="77777777" w:rsidR="00492D5F" w:rsidRPr="002F223F" w:rsidRDefault="00492D5F">
            <w:pPr>
              <w:numPr>
                <w:ilvl w:val="0"/>
                <w:numId w:val="6"/>
              </w:numPr>
              <w:tabs>
                <w:tab w:val="left" w:pos="3119"/>
              </w:tabs>
              <w:suppressAutoHyphens/>
              <w:spacing w:before="40" w:after="40"/>
              <w:ind w:left="0" w:firstLine="0"/>
              <w:contextualSpacing/>
              <w:jc w:val="left"/>
              <w:rPr>
                <w:rFonts w:cstheme="minorHAnsi"/>
                <w:color w:val="auto"/>
                <w:sz w:val="20"/>
                <w:szCs w:val="20"/>
              </w:rPr>
            </w:pPr>
          </w:p>
        </w:tc>
        <w:tc>
          <w:tcPr>
            <w:tcW w:w="1357" w:type="dxa"/>
            <w:vAlign w:val="center"/>
          </w:tcPr>
          <w:p w14:paraId="06DA1614"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POZ</w:t>
            </w:r>
          </w:p>
        </w:tc>
        <w:tc>
          <w:tcPr>
            <w:tcW w:w="7086" w:type="dxa"/>
            <w:vAlign w:val="center"/>
          </w:tcPr>
          <w:p w14:paraId="778DB72F"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Plan zadań ochronnych (ustanowionych dla obszarów Natura 2000)</w:t>
            </w:r>
          </w:p>
        </w:tc>
      </w:tr>
      <w:tr w:rsidR="00492D5F" w:rsidRPr="002F223F" w14:paraId="4AD296DB" w14:textId="77777777" w:rsidTr="002F223F">
        <w:trPr>
          <w:trHeight w:val="397"/>
          <w:jc w:val="center"/>
        </w:trPr>
        <w:tc>
          <w:tcPr>
            <w:tcW w:w="629" w:type="dxa"/>
            <w:vAlign w:val="center"/>
          </w:tcPr>
          <w:p w14:paraId="6EFA2AA6" w14:textId="77777777" w:rsidR="00492D5F" w:rsidRPr="002F223F" w:rsidRDefault="00492D5F">
            <w:pPr>
              <w:numPr>
                <w:ilvl w:val="0"/>
                <w:numId w:val="6"/>
              </w:numPr>
              <w:tabs>
                <w:tab w:val="left" w:pos="3119"/>
              </w:tabs>
              <w:suppressAutoHyphens/>
              <w:spacing w:before="40" w:after="40"/>
              <w:ind w:left="0" w:firstLine="0"/>
              <w:contextualSpacing/>
              <w:jc w:val="left"/>
              <w:rPr>
                <w:rFonts w:cstheme="minorHAnsi"/>
                <w:color w:val="auto"/>
                <w:sz w:val="20"/>
                <w:szCs w:val="20"/>
              </w:rPr>
            </w:pPr>
          </w:p>
        </w:tc>
        <w:tc>
          <w:tcPr>
            <w:tcW w:w="1357" w:type="dxa"/>
            <w:vAlign w:val="center"/>
          </w:tcPr>
          <w:p w14:paraId="0E4310C1"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 xml:space="preserve">PZRP </w:t>
            </w:r>
          </w:p>
        </w:tc>
        <w:tc>
          <w:tcPr>
            <w:tcW w:w="7086" w:type="dxa"/>
            <w:vAlign w:val="center"/>
          </w:tcPr>
          <w:p w14:paraId="3DE6658D"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 xml:space="preserve">Plan Zarządzania Ryzykiem Powodziowym </w:t>
            </w:r>
          </w:p>
        </w:tc>
      </w:tr>
      <w:tr w:rsidR="00492D5F" w:rsidRPr="002F223F" w14:paraId="2FBF2256" w14:textId="77777777" w:rsidTr="002F223F">
        <w:trPr>
          <w:trHeight w:val="397"/>
          <w:jc w:val="center"/>
        </w:trPr>
        <w:tc>
          <w:tcPr>
            <w:tcW w:w="629" w:type="dxa"/>
            <w:vAlign w:val="center"/>
          </w:tcPr>
          <w:p w14:paraId="0BF23816" w14:textId="77777777" w:rsidR="00492D5F" w:rsidRPr="002F223F" w:rsidRDefault="00492D5F">
            <w:pPr>
              <w:numPr>
                <w:ilvl w:val="0"/>
                <w:numId w:val="6"/>
              </w:numPr>
              <w:tabs>
                <w:tab w:val="left" w:pos="3119"/>
              </w:tabs>
              <w:suppressAutoHyphens/>
              <w:spacing w:before="40" w:after="40"/>
              <w:ind w:left="0" w:firstLine="0"/>
              <w:contextualSpacing/>
              <w:jc w:val="left"/>
              <w:rPr>
                <w:rFonts w:cstheme="minorHAnsi"/>
                <w:color w:val="auto"/>
                <w:sz w:val="20"/>
                <w:szCs w:val="20"/>
              </w:rPr>
            </w:pPr>
          </w:p>
        </w:tc>
        <w:tc>
          <w:tcPr>
            <w:tcW w:w="1357" w:type="dxa"/>
            <w:vAlign w:val="center"/>
          </w:tcPr>
          <w:p w14:paraId="665E6660" w14:textId="77777777" w:rsidR="00492D5F" w:rsidRPr="002F223F" w:rsidRDefault="00492D5F" w:rsidP="0065244C">
            <w:pPr>
              <w:tabs>
                <w:tab w:val="left" w:pos="3119"/>
              </w:tabs>
              <w:suppressAutoHyphens/>
              <w:spacing w:before="40" w:after="40"/>
              <w:ind w:firstLine="0"/>
              <w:jc w:val="left"/>
              <w:rPr>
                <w:rFonts w:cstheme="minorHAnsi"/>
                <w:color w:val="auto"/>
                <w:sz w:val="20"/>
                <w:szCs w:val="20"/>
              </w:rPr>
            </w:pPr>
            <w:r w:rsidRPr="002F223F">
              <w:rPr>
                <w:rFonts w:cstheme="minorHAnsi"/>
                <w:color w:val="000000"/>
                <w:sz w:val="20"/>
                <w:szCs w:val="20"/>
              </w:rPr>
              <w:t>POP</w:t>
            </w:r>
          </w:p>
        </w:tc>
        <w:tc>
          <w:tcPr>
            <w:tcW w:w="7086" w:type="dxa"/>
            <w:vAlign w:val="center"/>
          </w:tcPr>
          <w:p w14:paraId="4E8A6E87" w14:textId="77777777" w:rsidR="00492D5F" w:rsidRPr="002F223F" w:rsidRDefault="00492D5F" w:rsidP="0065244C">
            <w:pPr>
              <w:tabs>
                <w:tab w:val="left" w:pos="3119"/>
              </w:tabs>
              <w:suppressAutoHyphens/>
              <w:spacing w:before="40" w:after="40"/>
              <w:ind w:firstLine="0"/>
              <w:jc w:val="left"/>
              <w:rPr>
                <w:rFonts w:cstheme="minorHAnsi"/>
                <w:color w:val="auto"/>
                <w:sz w:val="20"/>
                <w:szCs w:val="20"/>
              </w:rPr>
            </w:pPr>
            <w:r w:rsidRPr="002F223F">
              <w:rPr>
                <w:rFonts w:cstheme="minorHAnsi"/>
                <w:color w:val="000000"/>
                <w:sz w:val="20"/>
                <w:szCs w:val="20"/>
              </w:rPr>
              <w:t>Program Ochrony Powietrza</w:t>
            </w:r>
          </w:p>
        </w:tc>
      </w:tr>
      <w:tr w:rsidR="00492D5F" w:rsidRPr="002F223F" w14:paraId="109471B4" w14:textId="77777777" w:rsidTr="002F223F">
        <w:trPr>
          <w:trHeight w:val="397"/>
          <w:jc w:val="center"/>
        </w:trPr>
        <w:tc>
          <w:tcPr>
            <w:tcW w:w="629" w:type="dxa"/>
            <w:vAlign w:val="center"/>
          </w:tcPr>
          <w:p w14:paraId="5295094B" w14:textId="77777777" w:rsidR="00492D5F" w:rsidRPr="002F223F" w:rsidRDefault="00492D5F">
            <w:pPr>
              <w:numPr>
                <w:ilvl w:val="0"/>
                <w:numId w:val="6"/>
              </w:numPr>
              <w:tabs>
                <w:tab w:val="left" w:pos="3119"/>
              </w:tabs>
              <w:suppressAutoHyphens/>
              <w:spacing w:before="40" w:after="40"/>
              <w:ind w:left="0" w:firstLine="0"/>
              <w:contextualSpacing/>
              <w:jc w:val="left"/>
              <w:rPr>
                <w:rFonts w:cstheme="minorHAnsi"/>
                <w:color w:val="auto"/>
                <w:sz w:val="20"/>
                <w:szCs w:val="20"/>
              </w:rPr>
            </w:pPr>
          </w:p>
        </w:tc>
        <w:tc>
          <w:tcPr>
            <w:tcW w:w="1357" w:type="dxa"/>
            <w:vAlign w:val="center"/>
          </w:tcPr>
          <w:p w14:paraId="3A926A19"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POŚ</w:t>
            </w:r>
          </w:p>
        </w:tc>
        <w:tc>
          <w:tcPr>
            <w:tcW w:w="7086" w:type="dxa"/>
            <w:vAlign w:val="center"/>
          </w:tcPr>
          <w:p w14:paraId="1DFD117C"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Program Ochrony Środowiska</w:t>
            </w:r>
          </w:p>
        </w:tc>
      </w:tr>
      <w:tr w:rsidR="00492D5F" w:rsidRPr="002F223F" w14:paraId="16864348" w14:textId="77777777" w:rsidTr="002F223F">
        <w:trPr>
          <w:trHeight w:val="397"/>
          <w:jc w:val="center"/>
        </w:trPr>
        <w:tc>
          <w:tcPr>
            <w:tcW w:w="629" w:type="dxa"/>
            <w:vAlign w:val="center"/>
          </w:tcPr>
          <w:p w14:paraId="29DACDF3" w14:textId="77777777" w:rsidR="00492D5F" w:rsidRPr="002F223F" w:rsidRDefault="00492D5F">
            <w:pPr>
              <w:numPr>
                <w:ilvl w:val="0"/>
                <w:numId w:val="6"/>
              </w:numPr>
              <w:tabs>
                <w:tab w:val="left" w:pos="3119"/>
              </w:tabs>
              <w:suppressAutoHyphens/>
              <w:spacing w:before="40" w:after="40"/>
              <w:ind w:left="0" w:firstLine="0"/>
              <w:contextualSpacing/>
              <w:jc w:val="left"/>
              <w:rPr>
                <w:rFonts w:cstheme="minorHAnsi"/>
                <w:color w:val="auto"/>
                <w:sz w:val="20"/>
                <w:szCs w:val="20"/>
              </w:rPr>
            </w:pPr>
          </w:p>
        </w:tc>
        <w:tc>
          <w:tcPr>
            <w:tcW w:w="1357" w:type="dxa"/>
            <w:vAlign w:val="center"/>
          </w:tcPr>
          <w:p w14:paraId="4A1BA8A9"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PROW</w:t>
            </w:r>
          </w:p>
        </w:tc>
        <w:tc>
          <w:tcPr>
            <w:tcW w:w="7086" w:type="dxa"/>
            <w:vAlign w:val="center"/>
          </w:tcPr>
          <w:p w14:paraId="22223CE1"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Program Rozwoju Obszarów Wiejskich</w:t>
            </w:r>
          </w:p>
        </w:tc>
      </w:tr>
      <w:tr w:rsidR="00492D5F" w:rsidRPr="002F223F" w14:paraId="59A5F602" w14:textId="77777777" w:rsidTr="002F223F">
        <w:trPr>
          <w:trHeight w:val="397"/>
          <w:jc w:val="center"/>
        </w:trPr>
        <w:tc>
          <w:tcPr>
            <w:tcW w:w="629" w:type="dxa"/>
            <w:vAlign w:val="center"/>
          </w:tcPr>
          <w:p w14:paraId="37CFD5D5" w14:textId="77777777" w:rsidR="00492D5F" w:rsidRPr="002F223F" w:rsidRDefault="00492D5F">
            <w:pPr>
              <w:numPr>
                <w:ilvl w:val="0"/>
                <w:numId w:val="6"/>
              </w:numPr>
              <w:tabs>
                <w:tab w:val="left" w:pos="3119"/>
              </w:tabs>
              <w:suppressAutoHyphens/>
              <w:spacing w:before="40" w:after="40"/>
              <w:ind w:left="0" w:firstLine="0"/>
              <w:contextualSpacing/>
              <w:jc w:val="left"/>
              <w:rPr>
                <w:rFonts w:cstheme="minorHAnsi"/>
                <w:color w:val="auto"/>
                <w:sz w:val="20"/>
                <w:szCs w:val="20"/>
              </w:rPr>
            </w:pPr>
          </w:p>
        </w:tc>
        <w:tc>
          <w:tcPr>
            <w:tcW w:w="1357" w:type="dxa"/>
            <w:vAlign w:val="center"/>
          </w:tcPr>
          <w:p w14:paraId="3B4B1A74"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PSZOK</w:t>
            </w:r>
          </w:p>
        </w:tc>
        <w:tc>
          <w:tcPr>
            <w:tcW w:w="7086" w:type="dxa"/>
            <w:vAlign w:val="center"/>
          </w:tcPr>
          <w:p w14:paraId="4B42B852"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Punkt Selektywnej Zbiórki Odpadów Komunalnych</w:t>
            </w:r>
          </w:p>
        </w:tc>
      </w:tr>
      <w:tr w:rsidR="00492D5F" w:rsidRPr="002F223F" w14:paraId="04956B78" w14:textId="77777777" w:rsidTr="002F223F">
        <w:trPr>
          <w:trHeight w:val="397"/>
          <w:jc w:val="center"/>
        </w:trPr>
        <w:tc>
          <w:tcPr>
            <w:tcW w:w="629" w:type="dxa"/>
            <w:vAlign w:val="center"/>
          </w:tcPr>
          <w:p w14:paraId="4EDB8ADC" w14:textId="77777777" w:rsidR="00492D5F" w:rsidRPr="002F223F" w:rsidRDefault="00492D5F">
            <w:pPr>
              <w:numPr>
                <w:ilvl w:val="0"/>
                <w:numId w:val="6"/>
              </w:numPr>
              <w:tabs>
                <w:tab w:val="left" w:pos="3119"/>
              </w:tabs>
              <w:suppressAutoHyphens/>
              <w:spacing w:before="40" w:after="40"/>
              <w:ind w:left="0" w:firstLine="0"/>
              <w:contextualSpacing/>
              <w:jc w:val="left"/>
              <w:rPr>
                <w:rFonts w:cstheme="minorHAnsi"/>
                <w:color w:val="auto"/>
                <w:sz w:val="20"/>
                <w:szCs w:val="20"/>
              </w:rPr>
            </w:pPr>
          </w:p>
        </w:tc>
        <w:tc>
          <w:tcPr>
            <w:tcW w:w="1357" w:type="dxa"/>
            <w:vAlign w:val="center"/>
          </w:tcPr>
          <w:p w14:paraId="576AF57C"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RDW</w:t>
            </w:r>
          </w:p>
        </w:tc>
        <w:tc>
          <w:tcPr>
            <w:tcW w:w="7086" w:type="dxa"/>
            <w:vAlign w:val="center"/>
          </w:tcPr>
          <w:p w14:paraId="3D586E8A"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Ramowa Dyrektywa Wodna</w:t>
            </w:r>
          </w:p>
        </w:tc>
      </w:tr>
      <w:tr w:rsidR="00492D5F" w:rsidRPr="002F223F" w14:paraId="327F89D8" w14:textId="77777777" w:rsidTr="002F223F">
        <w:trPr>
          <w:trHeight w:val="397"/>
          <w:jc w:val="center"/>
        </w:trPr>
        <w:tc>
          <w:tcPr>
            <w:tcW w:w="629" w:type="dxa"/>
            <w:vAlign w:val="center"/>
          </w:tcPr>
          <w:p w14:paraId="73488B12" w14:textId="77777777" w:rsidR="00492D5F" w:rsidRPr="002F223F" w:rsidRDefault="00492D5F">
            <w:pPr>
              <w:numPr>
                <w:ilvl w:val="0"/>
                <w:numId w:val="6"/>
              </w:numPr>
              <w:tabs>
                <w:tab w:val="left" w:pos="3119"/>
              </w:tabs>
              <w:suppressAutoHyphens/>
              <w:spacing w:before="40" w:after="40"/>
              <w:ind w:left="0" w:firstLine="0"/>
              <w:contextualSpacing/>
              <w:jc w:val="left"/>
              <w:rPr>
                <w:rFonts w:cstheme="minorHAnsi"/>
                <w:color w:val="auto"/>
                <w:sz w:val="20"/>
                <w:szCs w:val="20"/>
              </w:rPr>
            </w:pPr>
          </w:p>
        </w:tc>
        <w:tc>
          <w:tcPr>
            <w:tcW w:w="1357" w:type="dxa"/>
            <w:vAlign w:val="center"/>
          </w:tcPr>
          <w:p w14:paraId="410C1F62"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RDLP</w:t>
            </w:r>
          </w:p>
        </w:tc>
        <w:tc>
          <w:tcPr>
            <w:tcW w:w="7086" w:type="dxa"/>
            <w:vAlign w:val="center"/>
          </w:tcPr>
          <w:p w14:paraId="091CD762"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Regionalna Dyrekcja Lasów Państwowych</w:t>
            </w:r>
          </w:p>
        </w:tc>
      </w:tr>
      <w:tr w:rsidR="00492D5F" w:rsidRPr="002F223F" w14:paraId="63485DF5" w14:textId="77777777" w:rsidTr="002F223F">
        <w:trPr>
          <w:trHeight w:val="397"/>
          <w:jc w:val="center"/>
        </w:trPr>
        <w:tc>
          <w:tcPr>
            <w:tcW w:w="629" w:type="dxa"/>
            <w:vAlign w:val="center"/>
          </w:tcPr>
          <w:p w14:paraId="61D7E2A2" w14:textId="77777777" w:rsidR="00492D5F" w:rsidRPr="002F223F" w:rsidRDefault="00492D5F">
            <w:pPr>
              <w:numPr>
                <w:ilvl w:val="0"/>
                <w:numId w:val="6"/>
              </w:numPr>
              <w:tabs>
                <w:tab w:val="left" w:pos="3119"/>
              </w:tabs>
              <w:suppressAutoHyphens/>
              <w:spacing w:before="40" w:after="40"/>
              <w:ind w:left="0" w:firstLine="0"/>
              <w:contextualSpacing/>
              <w:jc w:val="left"/>
              <w:rPr>
                <w:rFonts w:cstheme="minorHAnsi"/>
                <w:color w:val="auto"/>
                <w:sz w:val="20"/>
                <w:szCs w:val="20"/>
              </w:rPr>
            </w:pPr>
          </w:p>
        </w:tc>
        <w:tc>
          <w:tcPr>
            <w:tcW w:w="1357" w:type="dxa"/>
            <w:vAlign w:val="center"/>
          </w:tcPr>
          <w:p w14:paraId="321E3F6A"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 xml:space="preserve">RDOŚ </w:t>
            </w:r>
          </w:p>
        </w:tc>
        <w:tc>
          <w:tcPr>
            <w:tcW w:w="7086" w:type="dxa"/>
            <w:vAlign w:val="center"/>
          </w:tcPr>
          <w:p w14:paraId="4D7381D3"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 xml:space="preserve">Regionalna Dyrekcja Ochrony Środowiska </w:t>
            </w:r>
          </w:p>
        </w:tc>
      </w:tr>
      <w:tr w:rsidR="00492D5F" w:rsidRPr="002F223F" w14:paraId="7486DD42" w14:textId="77777777" w:rsidTr="002F223F">
        <w:trPr>
          <w:trHeight w:val="397"/>
          <w:jc w:val="center"/>
        </w:trPr>
        <w:tc>
          <w:tcPr>
            <w:tcW w:w="629" w:type="dxa"/>
            <w:vAlign w:val="center"/>
          </w:tcPr>
          <w:p w14:paraId="6A4965D4" w14:textId="77777777" w:rsidR="00492D5F" w:rsidRPr="002F223F" w:rsidRDefault="00492D5F">
            <w:pPr>
              <w:numPr>
                <w:ilvl w:val="0"/>
                <w:numId w:val="6"/>
              </w:numPr>
              <w:tabs>
                <w:tab w:val="left" w:pos="3119"/>
              </w:tabs>
              <w:suppressAutoHyphens/>
              <w:spacing w:before="40" w:after="40"/>
              <w:ind w:left="0" w:firstLine="0"/>
              <w:contextualSpacing/>
              <w:jc w:val="left"/>
              <w:rPr>
                <w:rFonts w:cstheme="minorHAnsi"/>
                <w:color w:val="auto"/>
                <w:sz w:val="20"/>
                <w:szCs w:val="20"/>
              </w:rPr>
            </w:pPr>
          </w:p>
        </w:tc>
        <w:tc>
          <w:tcPr>
            <w:tcW w:w="1357" w:type="dxa"/>
            <w:vAlign w:val="center"/>
          </w:tcPr>
          <w:p w14:paraId="1CD47073"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RZGW</w:t>
            </w:r>
          </w:p>
        </w:tc>
        <w:tc>
          <w:tcPr>
            <w:tcW w:w="7086" w:type="dxa"/>
            <w:vAlign w:val="center"/>
          </w:tcPr>
          <w:p w14:paraId="1CEABDFA" w14:textId="77777777" w:rsidR="00492D5F" w:rsidRPr="002F223F" w:rsidRDefault="00492D5F" w:rsidP="0065244C">
            <w:pPr>
              <w:tabs>
                <w:tab w:val="left" w:pos="3119"/>
              </w:tabs>
              <w:suppressAutoHyphens/>
              <w:spacing w:before="40" w:after="40"/>
              <w:ind w:firstLine="0"/>
              <w:jc w:val="left"/>
              <w:rPr>
                <w:rFonts w:eastAsia="SimSun" w:cstheme="minorHAnsi"/>
                <w:color w:val="auto"/>
                <w:sz w:val="20"/>
                <w:szCs w:val="20"/>
              </w:rPr>
            </w:pPr>
            <w:r w:rsidRPr="002F223F">
              <w:rPr>
                <w:rFonts w:cstheme="minorHAnsi"/>
                <w:color w:val="000000"/>
                <w:sz w:val="20"/>
                <w:szCs w:val="20"/>
              </w:rPr>
              <w:t>Regionalny Zarząd Gospodarki Wodnej</w:t>
            </w:r>
          </w:p>
        </w:tc>
      </w:tr>
      <w:tr w:rsidR="00492D5F" w:rsidRPr="002F223F" w14:paraId="10C39196" w14:textId="77777777" w:rsidTr="002F223F">
        <w:trPr>
          <w:trHeight w:val="397"/>
          <w:jc w:val="center"/>
        </w:trPr>
        <w:tc>
          <w:tcPr>
            <w:tcW w:w="629" w:type="dxa"/>
            <w:vAlign w:val="center"/>
          </w:tcPr>
          <w:p w14:paraId="74E32B14" w14:textId="77777777" w:rsidR="00492D5F" w:rsidRPr="002F223F" w:rsidRDefault="00492D5F">
            <w:pPr>
              <w:numPr>
                <w:ilvl w:val="0"/>
                <w:numId w:val="6"/>
              </w:numPr>
              <w:tabs>
                <w:tab w:val="left" w:pos="3119"/>
              </w:tabs>
              <w:suppressAutoHyphens/>
              <w:spacing w:before="40" w:after="40"/>
              <w:ind w:left="0" w:firstLine="0"/>
              <w:contextualSpacing/>
              <w:jc w:val="left"/>
              <w:rPr>
                <w:rFonts w:cstheme="minorHAnsi"/>
                <w:color w:val="auto"/>
                <w:sz w:val="20"/>
                <w:szCs w:val="20"/>
              </w:rPr>
            </w:pPr>
          </w:p>
        </w:tc>
        <w:tc>
          <w:tcPr>
            <w:tcW w:w="1357" w:type="dxa"/>
            <w:vAlign w:val="center"/>
          </w:tcPr>
          <w:p w14:paraId="49F89314" w14:textId="77777777" w:rsidR="00492D5F" w:rsidRPr="002F223F" w:rsidRDefault="00492D5F" w:rsidP="0065244C">
            <w:pPr>
              <w:tabs>
                <w:tab w:val="left" w:pos="3119"/>
              </w:tabs>
              <w:suppressAutoHyphens/>
              <w:spacing w:before="40" w:after="40"/>
              <w:ind w:firstLine="0"/>
              <w:jc w:val="left"/>
              <w:rPr>
                <w:rFonts w:cstheme="minorHAnsi"/>
                <w:color w:val="auto"/>
                <w:sz w:val="20"/>
                <w:szCs w:val="20"/>
              </w:rPr>
            </w:pPr>
            <w:r w:rsidRPr="002F223F">
              <w:rPr>
                <w:rFonts w:cstheme="minorHAnsi"/>
                <w:color w:val="000000"/>
                <w:sz w:val="20"/>
                <w:szCs w:val="20"/>
              </w:rPr>
              <w:t xml:space="preserve">SOOŚ </w:t>
            </w:r>
          </w:p>
        </w:tc>
        <w:tc>
          <w:tcPr>
            <w:tcW w:w="7086" w:type="dxa"/>
            <w:vAlign w:val="center"/>
          </w:tcPr>
          <w:p w14:paraId="602F46FF" w14:textId="77777777" w:rsidR="00492D5F" w:rsidRPr="002F223F" w:rsidRDefault="00492D5F" w:rsidP="0065244C">
            <w:pPr>
              <w:tabs>
                <w:tab w:val="left" w:pos="3119"/>
              </w:tabs>
              <w:suppressAutoHyphens/>
              <w:spacing w:before="40" w:after="40"/>
              <w:ind w:firstLine="0"/>
              <w:jc w:val="left"/>
              <w:rPr>
                <w:rFonts w:cstheme="minorHAnsi"/>
                <w:color w:val="auto"/>
                <w:sz w:val="20"/>
                <w:szCs w:val="20"/>
              </w:rPr>
            </w:pPr>
            <w:r w:rsidRPr="002F223F">
              <w:rPr>
                <w:rFonts w:cstheme="minorHAnsi"/>
                <w:color w:val="000000"/>
                <w:sz w:val="20"/>
                <w:szCs w:val="20"/>
              </w:rPr>
              <w:t xml:space="preserve">Strategiczna ocena oddziaływania na środowisko </w:t>
            </w:r>
          </w:p>
        </w:tc>
      </w:tr>
      <w:tr w:rsidR="00492D5F" w:rsidRPr="002F223F" w14:paraId="0E482D79" w14:textId="77777777" w:rsidTr="002F223F">
        <w:trPr>
          <w:trHeight w:val="397"/>
          <w:jc w:val="center"/>
        </w:trPr>
        <w:tc>
          <w:tcPr>
            <w:tcW w:w="629" w:type="dxa"/>
            <w:vAlign w:val="center"/>
          </w:tcPr>
          <w:p w14:paraId="39B4DF04" w14:textId="77777777" w:rsidR="00492D5F" w:rsidRPr="002F223F" w:rsidRDefault="00492D5F">
            <w:pPr>
              <w:numPr>
                <w:ilvl w:val="0"/>
                <w:numId w:val="6"/>
              </w:numPr>
              <w:tabs>
                <w:tab w:val="left" w:pos="3119"/>
              </w:tabs>
              <w:suppressAutoHyphens/>
              <w:spacing w:before="40" w:after="40"/>
              <w:ind w:left="0" w:firstLine="0"/>
              <w:contextualSpacing/>
              <w:jc w:val="left"/>
              <w:rPr>
                <w:rFonts w:cstheme="minorHAnsi"/>
                <w:color w:val="auto"/>
                <w:sz w:val="20"/>
                <w:szCs w:val="20"/>
              </w:rPr>
            </w:pPr>
          </w:p>
        </w:tc>
        <w:tc>
          <w:tcPr>
            <w:tcW w:w="1357" w:type="dxa"/>
            <w:vAlign w:val="center"/>
          </w:tcPr>
          <w:p w14:paraId="6ADC66C8" w14:textId="77777777" w:rsidR="00492D5F" w:rsidRPr="002F223F" w:rsidRDefault="00492D5F" w:rsidP="0065244C">
            <w:pPr>
              <w:tabs>
                <w:tab w:val="left" w:pos="3119"/>
              </w:tabs>
              <w:suppressAutoHyphens/>
              <w:spacing w:before="40" w:after="40"/>
              <w:ind w:firstLine="0"/>
              <w:jc w:val="left"/>
              <w:rPr>
                <w:rFonts w:cstheme="minorHAnsi"/>
                <w:color w:val="auto"/>
                <w:sz w:val="20"/>
                <w:szCs w:val="20"/>
              </w:rPr>
            </w:pPr>
            <w:r w:rsidRPr="002F223F">
              <w:rPr>
                <w:rFonts w:cstheme="minorHAnsi"/>
                <w:color w:val="000000"/>
                <w:sz w:val="20"/>
                <w:szCs w:val="20"/>
              </w:rPr>
              <w:t xml:space="preserve">SPA 2020 </w:t>
            </w:r>
          </w:p>
        </w:tc>
        <w:tc>
          <w:tcPr>
            <w:tcW w:w="7086" w:type="dxa"/>
            <w:vAlign w:val="center"/>
          </w:tcPr>
          <w:p w14:paraId="245FE7B1" w14:textId="77777777" w:rsidR="00492D5F" w:rsidRPr="002F223F" w:rsidRDefault="00492D5F" w:rsidP="0065244C">
            <w:pPr>
              <w:tabs>
                <w:tab w:val="left" w:pos="3119"/>
              </w:tabs>
              <w:suppressAutoHyphens/>
              <w:spacing w:before="40" w:after="40"/>
              <w:ind w:firstLine="0"/>
              <w:jc w:val="left"/>
              <w:rPr>
                <w:rFonts w:cstheme="minorHAnsi"/>
                <w:color w:val="auto"/>
                <w:sz w:val="20"/>
                <w:szCs w:val="20"/>
              </w:rPr>
            </w:pPr>
            <w:r w:rsidRPr="002F223F">
              <w:rPr>
                <w:rFonts w:cstheme="minorHAnsi"/>
                <w:color w:val="000000"/>
                <w:sz w:val="20"/>
                <w:szCs w:val="20"/>
              </w:rPr>
              <w:t xml:space="preserve">Strategiczny plan adaptacji dla sektorów i obszarów wrażliwych na zmiany klimatu do roku 2020 </w:t>
            </w:r>
          </w:p>
        </w:tc>
      </w:tr>
      <w:tr w:rsidR="00492D5F" w:rsidRPr="002F223F" w14:paraId="754813F7" w14:textId="77777777" w:rsidTr="002F223F">
        <w:trPr>
          <w:trHeight w:val="397"/>
          <w:jc w:val="center"/>
        </w:trPr>
        <w:tc>
          <w:tcPr>
            <w:tcW w:w="629" w:type="dxa"/>
            <w:vAlign w:val="center"/>
          </w:tcPr>
          <w:p w14:paraId="020528F8" w14:textId="77777777" w:rsidR="00492D5F" w:rsidRPr="002F223F" w:rsidRDefault="00492D5F">
            <w:pPr>
              <w:numPr>
                <w:ilvl w:val="0"/>
                <w:numId w:val="6"/>
              </w:numPr>
              <w:tabs>
                <w:tab w:val="left" w:pos="3119"/>
              </w:tabs>
              <w:suppressAutoHyphens/>
              <w:spacing w:before="40" w:after="40"/>
              <w:ind w:left="0" w:firstLine="0"/>
              <w:contextualSpacing/>
              <w:jc w:val="left"/>
              <w:rPr>
                <w:rFonts w:cstheme="minorHAnsi"/>
                <w:color w:val="auto"/>
                <w:sz w:val="20"/>
                <w:szCs w:val="20"/>
              </w:rPr>
            </w:pPr>
          </w:p>
        </w:tc>
        <w:tc>
          <w:tcPr>
            <w:tcW w:w="1357" w:type="dxa"/>
            <w:vAlign w:val="center"/>
          </w:tcPr>
          <w:p w14:paraId="1B015370" w14:textId="77777777" w:rsidR="00492D5F" w:rsidRPr="002F223F" w:rsidRDefault="00492D5F" w:rsidP="0065244C">
            <w:pPr>
              <w:tabs>
                <w:tab w:val="left" w:pos="3119"/>
              </w:tabs>
              <w:suppressAutoHyphens/>
              <w:spacing w:before="40" w:after="40"/>
              <w:ind w:firstLine="0"/>
              <w:jc w:val="left"/>
              <w:rPr>
                <w:rFonts w:cstheme="minorHAnsi"/>
                <w:color w:val="auto"/>
                <w:sz w:val="20"/>
                <w:szCs w:val="20"/>
              </w:rPr>
            </w:pPr>
            <w:r w:rsidRPr="002F223F">
              <w:rPr>
                <w:rFonts w:cstheme="minorHAnsi"/>
                <w:color w:val="000000"/>
                <w:sz w:val="20"/>
                <w:szCs w:val="20"/>
              </w:rPr>
              <w:t xml:space="preserve">GIS </w:t>
            </w:r>
          </w:p>
        </w:tc>
        <w:tc>
          <w:tcPr>
            <w:tcW w:w="7086" w:type="dxa"/>
            <w:vAlign w:val="center"/>
          </w:tcPr>
          <w:p w14:paraId="1CEAC303" w14:textId="77777777" w:rsidR="00492D5F" w:rsidRPr="002F223F" w:rsidRDefault="00492D5F" w:rsidP="0065244C">
            <w:pPr>
              <w:tabs>
                <w:tab w:val="left" w:pos="3119"/>
              </w:tabs>
              <w:suppressAutoHyphens/>
              <w:spacing w:before="40" w:after="40"/>
              <w:ind w:firstLine="0"/>
              <w:jc w:val="left"/>
              <w:rPr>
                <w:rFonts w:cstheme="minorHAnsi"/>
                <w:color w:val="auto"/>
                <w:sz w:val="20"/>
                <w:szCs w:val="20"/>
              </w:rPr>
            </w:pPr>
            <w:r w:rsidRPr="002F223F">
              <w:rPr>
                <w:rFonts w:cstheme="minorHAnsi"/>
                <w:color w:val="000000"/>
                <w:sz w:val="20"/>
                <w:szCs w:val="20"/>
              </w:rPr>
              <w:t xml:space="preserve">Systemy Informacji Geograficznej </w:t>
            </w:r>
          </w:p>
        </w:tc>
      </w:tr>
      <w:tr w:rsidR="00492D5F" w:rsidRPr="002F223F" w14:paraId="15E19E4D" w14:textId="77777777" w:rsidTr="002F223F">
        <w:trPr>
          <w:trHeight w:val="397"/>
          <w:jc w:val="center"/>
        </w:trPr>
        <w:tc>
          <w:tcPr>
            <w:tcW w:w="629" w:type="dxa"/>
            <w:vAlign w:val="center"/>
          </w:tcPr>
          <w:p w14:paraId="6932EEAD" w14:textId="77777777" w:rsidR="00492D5F" w:rsidRPr="002F223F" w:rsidRDefault="00492D5F">
            <w:pPr>
              <w:numPr>
                <w:ilvl w:val="0"/>
                <w:numId w:val="6"/>
              </w:numPr>
              <w:tabs>
                <w:tab w:val="left" w:pos="3119"/>
              </w:tabs>
              <w:suppressAutoHyphens/>
              <w:spacing w:before="40" w:after="40"/>
              <w:ind w:left="0" w:firstLine="0"/>
              <w:contextualSpacing/>
              <w:jc w:val="left"/>
              <w:rPr>
                <w:rFonts w:cstheme="minorHAnsi"/>
                <w:color w:val="auto"/>
                <w:sz w:val="20"/>
                <w:szCs w:val="20"/>
              </w:rPr>
            </w:pPr>
          </w:p>
        </w:tc>
        <w:tc>
          <w:tcPr>
            <w:tcW w:w="1357" w:type="dxa"/>
            <w:vAlign w:val="center"/>
          </w:tcPr>
          <w:p w14:paraId="61FB5E1A" w14:textId="77777777" w:rsidR="00492D5F" w:rsidRPr="002F223F" w:rsidRDefault="00492D5F" w:rsidP="0065244C">
            <w:pPr>
              <w:tabs>
                <w:tab w:val="left" w:pos="3119"/>
              </w:tabs>
              <w:suppressAutoHyphens/>
              <w:spacing w:before="40" w:after="40"/>
              <w:ind w:firstLine="0"/>
              <w:jc w:val="left"/>
              <w:rPr>
                <w:rFonts w:cstheme="minorHAnsi"/>
                <w:color w:val="auto"/>
                <w:sz w:val="20"/>
                <w:szCs w:val="20"/>
              </w:rPr>
            </w:pPr>
            <w:r w:rsidRPr="002F223F">
              <w:rPr>
                <w:rFonts w:cstheme="minorHAnsi"/>
                <w:color w:val="000000"/>
                <w:sz w:val="20"/>
                <w:szCs w:val="20"/>
              </w:rPr>
              <w:t>UE</w:t>
            </w:r>
          </w:p>
        </w:tc>
        <w:tc>
          <w:tcPr>
            <w:tcW w:w="7086" w:type="dxa"/>
            <w:vAlign w:val="center"/>
          </w:tcPr>
          <w:p w14:paraId="035603EF" w14:textId="77777777" w:rsidR="00492D5F" w:rsidRPr="002F223F" w:rsidRDefault="00492D5F" w:rsidP="0065244C">
            <w:pPr>
              <w:tabs>
                <w:tab w:val="left" w:pos="3119"/>
              </w:tabs>
              <w:suppressAutoHyphens/>
              <w:spacing w:before="40" w:after="40"/>
              <w:ind w:firstLine="0"/>
              <w:jc w:val="left"/>
              <w:rPr>
                <w:rFonts w:cstheme="minorHAnsi"/>
                <w:color w:val="auto"/>
                <w:sz w:val="20"/>
                <w:szCs w:val="20"/>
              </w:rPr>
            </w:pPr>
            <w:r w:rsidRPr="002F223F">
              <w:rPr>
                <w:rFonts w:cstheme="minorHAnsi"/>
                <w:color w:val="000000"/>
                <w:sz w:val="20"/>
                <w:szCs w:val="20"/>
              </w:rPr>
              <w:t>Unia Europejska</w:t>
            </w:r>
          </w:p>
        </w:tc>
      </w:tr>
      <w:tr w:rsidR="00492D5F" w:rsidRPr="002F223F" w14:paraId="1441BA53" w14:textId="77777777" w:rsidTr="002F223F">
        <w:trPr>
          <w:trHeight w:val="397"/>
          <w:jc w:val="center"/>
        </w:trPr>
        <w:tc>
          <w:tcPr>
            <w:tcW w:w="629" w:type="dxa"/>
            <w:vAlign w:val="center"/>
          </w:tcPr>
          <w:p w14:paraId="0B82A57A" w14:textId="77777777" w:rsidR="00492D5F" w:rsidRPr="002F223F" w:rsidRDefault="00492D5F">
            <w:pPr>
              <w:numPr>
                <w:ilvl w:val="0"/>
                <w:numId w:val="6"/>
              </w:numPr>
              <w:tabs>
                <w:tab w:val="left" w:pos="3119"/>
              </w:tabs>
              <w:suppressAutoHyphens/>
              <w:spacing w:before="40" w:after="40"/>
              <w:ind w:left="0" w:firstLine="0"/>
              <w:contextualSpacing/>
              <w:jc w:val="left"/>
              <w:rPr>
                <w:rFonts w:cstheme="minorHAnsi"/>
                <w:color w:val="auto"/>
                <w:sz w:val="20"/>
                <w:szCs w:val="20"/>
              </w:rPr>
            </w:pPr>
          </w:p>
        </w:tc>
        <w:tc>
          <w:tcPr>
            <w:tcW w:w="1357" w:type="dxa"/>
            <w:vAlign w:val="center"/>
          </w:tcPr>
          <w:p w14:paraId="2E12E0F5" w14:textId="77777777" w:rsidR="00492D5F" w:rsidRPr="002F223F" w:rsidRDefault="00492D5F" w:rsidP="0065244C">
            <w:pPr>
              <w:tabs>
                <w:tab w:val="left" w:pos="3119"/>
              </w:tabs>
              <w:suppressAutoHyphens/>
              <w:spacing w:before="40" w:after="40"/>
              <w:ind w:firstLine="0"/>
              <w:jc w:val="left"/>
              <w:rPr>
                <w:rFonts w:cstheme="minorHAnsi"/>
                <w:color w:val="auto"/>
                <w:sz w:val="20"/>
                <w:szCs w:val="20"/>
              </w:rPr>
            </w:pPr>
            <w:r w:rsidRPr="002F223F">
              <w:rPr>
                <w:rFonts w:cstheme="minorHAnsi"/>
                <w:color w:val="000000"/>
                <w:sz w:val="20"/>
                <w:szCs w:val="20"/>
              </w:rPr>
              <w:t>WFOŚiGW</w:t>
            </w:r>
          </w:p>
        </w:tc>
        <w:tc>
          <w:tcPr>
            <w:tcW w:w="7086" w:type="dxa"/>
            <w:vAlign w:val="center"/>
          </w:tcPr>
          <w:p w14:paraId="254CF437" w14:textId="77777777" w:rsidR="00492D5F" w:rsidRPr="002F223F" w:rsidRDefault="00492D5F" w:rsidP="0065244C">
            <w:pPr>
              <w:tabs>
                <w:tab w:val="left" w:pos="3119"/>
              </w:tabs>
              <w:suppressAutoHyphens/>
              <w:spacing w:before="40" w:after="40"/>
              <w:ind w:firstLine="0"/>
              <w:jc w:val="left"/>
              <w:rPr>
                <w:rFonts w:cstheme="minorHAnsi"/>
                <w:color w:val="auto"/>
                <w:sz w:val="20"/>
                <w:szCs w:val="20"/>
              </w:rPr>
            </w:pPr>
            <w:r w:rsidRPr="002F223F">
              <w:rPr>
                <w:rFonts w:cstheme="minorHAnsi"/>
                <w:color w:val="000000"/>
                <w:sz w:val="20"/>
                <w:szCs w:val="20"/>
              </w:rPr>
              <w:t>Wojewódzki Fundusz Ochrony Środowiska i Gospodarki Wodnej</w:t>
            </w:r>
          </w:p>
        </w:tc>
      </w:tr>
      <w:tr w:rsidR="00492D5F" w:rsidRPr="002F223F" w14:paraId="2B3F4FC4" w14:textId="77777777" w:rsidTr="002F223F">
        <w:trPr>
          <w:trHeight w:val="397"/>
          <w:jc w:val="center"/>
        </w:trPr>
        <w:tc>
          <w:tcPr>
            <w:tcW w:w="629" w:type="dxa"/>
            <w:vAlign w:val="center"/>
          </w:tcPr>
          <w:p w14:paraId="3895BB8C" w14:textId="77777777" w:rsidR="00492D5F" w:rsidRPr="002F223F" w:rsidRDefault="00492D5F">
            <w:pPr>
              <w:numPr>
                <w:ilvl w:val="0"/>
                <w:numId w:val="6"/>
              </w:numPr>
              <w:tabs>
                <w:tab w:val="left" w:pos="3119"/>
              </w:tabs>
              <w:suppressAutoHyphens/>
              <w:spacing w:before="40" w:after="40"/>
              <w:ind w:left="0" w:firstLine="0"/>
              <w:contextualSpacing/>
              <w:jc w:val="left"/>
              <w:rPr>
                <w:rFonts w:cstheme="minorHAnsi"/>
                <w:color w:val="auto"/>
                <w:sz w:val="20"/>
                <w:szCs w:val="20"/>
              </w:rPr>
            </w:pPr>
          </w:p>
        </w:tc>
        <w:tc>
          <w:tcPr>
            <w:tcW w:w="1357" w:type="dxa"/>
            <w:vAlign w:val="center"/>
          </w:tcPr>
          <w:p w14:paraId="6348C8F1" w14:textId="77777777" w:rsidR="00492D5F" w:rsidRPr="002F223F" w:rsidRDefault="00492D5F" w:rsidP="0065244C">
            <w:pPr>
              <w:tabs>
                <w:tab w:val="left" w:pos="3119"/>
              </w:tabs>
              <w:suppressAutoHyphens/>
              <w:spacing w:before="40" w:after="40"/>
              <w:ind w:firstLine="0"/>
              <w:jc w:val="left"/>
              <w:rPr>
                <w:rFonts w:cstheme="minorHAnsi"/>
                <w:color w:val="auto"/>
                <w:sz w:val="20"/>
                <w:szCs w:val="20"/>
              </w:rPr>
            </w:pPr>
            <w:r w:rsidRPr="002F223F">
              <w:rPr>
                <w:rFonts w:cstheme="minorHAnsi"/>
                <w:color w:val="000000"/>
                <w:sz w:val="20"/>
                <w:szCs w:val="20"/>
              </w:rPr>
              <w:t>WIOŚ</w:t>
            </w:r>
          </w:p>
        </w:tc>
        <w:tc>
          <w:tcPr>
            <w:tcW w:w="7086" w:type="dxa"/>
            <w:vAlign w:val="center"/>
          </w:tcPr>
          <w:p w14:paraId="7A51B2A5" w14:textId="77777777" w:rsidR="00492D5F" w:rsidRPr="002F223F" w:rsidRDefault="00492D5F" w:rsidP="0065244C">
            <w:pPr>
              <w:tabs>
                <w:tab w:val="left" w:pos="3119"/>
              </w:tabs>
              <w:suppressAutoHyphens/>
              <w:spacing w:before="40" w:after="40"/>
              <w:ind w:firstLine="0"/>
              <w:jc w:val="left"/>
              <w:rPr>
                <w:rFonts w:cstheme="minorHAnsi"/>
                <w:color w:val="auto"/>
                <w:sz w:val="20"/>
                <w:szCs w:val="20"/>
              </w:rPr>
            </w:pPr>
            <w:r w:rsidRPr="002F223F">
              <w:rPr>
                <w:rFonts w:cstheme="minorHAnsi"/>
                <w:color w:val="000000"/>
                <w:sz w:val="20"/>
                <w:szCs w:val="20"/>
              </w:rPr>
              <w:t xml:space="preserve">Wojewódzki Inspektorat Ochrony Środowiska </w:t>
            </w:r>
          </w:p>
        </w:tc>
      </w:tr>
    </w:tbl>
    <w:p w14:paraId="36E3D45E" w14:textId="77777777" w:rsidR="00492D5F" w:rsidRPr="00655FC7" w:rsidRDefault="00492D5F" w:rsidP="00275137">
      <w:pPr>
        <w:pStyle w:val="Cytat"/>
      </w:pPr>
      <w:bookmarkStart w:id="7" w:name="_Toc47449020"/>
      <w:bookmarkStart w:id="8" w:name="_Toc53390691"/>
      <w:bookmarkStart w:id="9" w:name="_Toc376425319"/>
      <w:bookmarkStart w:id="10" w:name="_Toc21085156"/>
      <w:bookmarkEnd w:id="7"/>
      <w:r w:rsidRPr="00655FC7">
        <w:t>Źródło: opracowanie własne</w:t>
      </w:r>
      <w:r w:rsidRPr="00655FC7">
        <w:br w:type="page"/>
      </w:r>
    </w:p>
    <w:p w14:paraId="5D56DC89" w14:textId="3DC2CB17" w:rsidR="00492D5F" w:rsidRPr="00655FC7" w:rsidRDefault="00492D5F" w:rsidP="00275137">
      <w:pPr>
        <w:rPr>
          <w:rFonts w:eastAsiaTheme="majorEastAsia" w:cstheme="minorHAnsi"/>
          <w:color w:val="auto"/>
          <w:lang w:eastAsia="ar-SA"/>
        </w:rPr>
      </w:pPr>
    </w:p>
    <w:p w14:paraId="68574B0F" w14:textId="77777777" w:rsidR="00492D5F" w:rsidRPr="00655FC7" w:rsidRDefault="00492D5F" w:rsidP="00071BB6">
      <w:pPr>
        <w:pStyle w:val="Nagwek1"/>
        <w:rPr>
          <w:lang w:eastAsia="ar-SA"/>
        </w:rPr>
      </w:pPr>
      <w:bookmarkStart w:id="11" w:name="_Toc177732023"/>
      <w:r w:rsidRPr="00655FC7">
        <w:rPr>
          <w:lang w:eastAsia="ar-SA"/>
        </w:rPr>
        <w:t>Streszczenie</w:t>
      </w:r>
      <w:bookmarkEnd w:id="8"/>
      <w:bookmarkEnd w:id="11"/>
    </w:p>
    <w:p w14:paraId="0E5945F9" w14:textId="118020C9" w:rsidR="00BF1677" w:rsidRPr="00655FC7" w:rsidRDefault="00BF1677" w:rsidP="00492D5F">
      <w:pPr>
        <w:rPr>
          <w:rFonts w:cstheme="minorHAnsi"/>
          <w:color w:val="auto"/>
          <w:lang w:eastAsia="ar-SA"/>
        </w:rPr>
      </w:pPr>
      <w:r w:rsidRPr="00655FC7">
        <w:rPr>
          <w:rFonts w:cstheme="minorHAnsi"/>
          <w:color w:val="auto"/>
          <w:lang w:eastAsia="ar-SA"/>
        </w:rPr>
        <w:t xml:space="preserve">Plan adaptacji do zmian klimatu jest dokumentem strategicznym gminy, będącym odpowiedzią na potrzebę przygotowania miasta na coraz bardziej widoczne i odczuwalne skutki zmian klimatu. </w:t>
      </w:r>
      <w:r w:rsidR="00BA0A6F" w:rsidRPr="00655FC7">
        <w:rPr>
          <w:rFonts w:cstheme="minorHAnsi"/>
          <w:color w:val="auto"/>
          <w:lang w:eastAsia="ar-SA"/>
        </w:rPr>
        <w:t>O</w:t>
      </w:r>
      <w:r w:rsidRPr="00655FC7">
        <w:rPr>
          <w:rFonts w:cstheme="minorHAnsi"/>
          <w:color w:val="auto"/>
          <w:lang w:eastAsia="ar-SA"/>
        </w:rPr>
        <w:t>pracowanie Planu adaptacji do zmian klimatu dla miasta Tarnogród</w:t>
      </w:r>
      <w:r w:rsidR="00BA0A6F" w:rsidRPr="00655FC7">
        <w:rPr>
          <w:rFonts w:cstheme="minorHAnsi"/>
          <w:color w:val="auto"/>
          <w:lang w:eastAsia="ar-SA"/>
        </w:rPr>
        <w:t xml:space="preserve"> </w:t>
      </w:r>
      <w:r w:rsidRPr="00655FC7">
        <w:rPr>
          <w:rFonts w:cstheme="minorHAnsi"/>
          <w:color w:val="auto"/>
          <w:lang w:eastAsia="ar-SA"/>
        </w:rPr>
        <w:t>przełoży się na poprawę świadomości, bezpieczeństwa i komfortu życia mieszkańców całej gminy, w warunkach zmieniającego się klimatu.</w:t>
      </w:r>
    </w:p>
    <w:p w14:paraId="7793083D" w14:textId="77777777" w:rsidR="00511E7F" w:rsidRDefault="00511E7F" w:rsidP="00FD15AF">
      <w:pPr>
        <w:rPr>
          <w:rFonts w:cstheme="minorHAnsi"/>
          <w:color w:val="auto"/>
          <w:lang w:eastAsia="ar-SA"/>
        </w:rPr>
      </w:pPr>
    </w:p>
    <w:p w14:paraId="074A33AE" w14:textId="71161791" w:rsidR="00FD15AF" w:rsidRDefault="00FD15AF" w:rsidP="00FD15AF">
      <w:pPr>
        <w:rPr>
          <w:rFonts w:cstheme="minorHAnsi"/>
          <w:color w:val="auto"/>
          <w:lang w:eastAsia="ar-SA"/>
        </w:rPr>
      </w:pPr>
      <w:r w:rsidRPr="00655FC7">
        <w:rPr>
          <w:rFonts w:cstheme="minorHAnsi"/>
          <w:color w:val="auto"/>
          <w:lang w:eastAsia="ar-SA"/>
        </w:rPr>
        <w:t>Adaptacja miast do zmian klimatu wraz z potrzebą długofalowego, opartego na najnowszych osiągnięciach nauki planowania działań jest uwzględniona w „Krajowej Polityce Miejskiej 2030” oraz „Polityce Ekologicznej Państwa 2030”. Najważniejszym krajowym dokumentem polityki adaptacyjnej jest „</w:t>
      </w:r>
      <w:bookmarkStart w:id="12" w:name="_Hlk161735147"/>
      <w:r w:rsidRPr="00655FC7">
        <w:rPr>
          <w:rFonts w:cstheme="minorHAnsi"/>
          <w:color w:val="auto"/>
          <w:lang w:eastAsia="ar-SA"/>
        </w:rPr>
        <w:t>Strategiczny plan adaptacji dla sektorów i obszarów wrażliwych na zmiany klimatu do roku 2020 z perspektywą do roku 2030</w:t>
      </w:r>
      <w:bookmarkEnd w:id="12"/>
      <w:r w:rsidRPr="00655FC7">
        <w:rPr>
          <w:rFonts w:cstheme="minorHAnsi"/>
          <w:color w:val="auto"/>
          <w:lang w:eastAsia="ar-SA"/>
        </w:rPr>
        <w:t>” (SPA 2020), przyjęty przez Rząd w 2013 r.</w:t>
      </w:r>
    </w:p>
    <w:p w14:paraId="2C87CED2" w14:textId="77777777" w:rsidR="00511E7F" w:rsidRDefault="00511E7F" w:rsidP="00FD15AF">
      <w:pPr>
        <w:rPr>
          <w:rFonts w:cstheme="minorHAnsi"/>
          <w:color w:val="auto"/>
          <w:lang w:eastAsia="ar-SA"/>
        </w:rPr>
      </w:pPr>
    </w:p>
    <w:p w14:paraId="214A6F62" w14:textId="691C4A71" w:rsidR="00511E7F" w:rsidRDefault="00511E7F" w:rsidP="00FD15AF">
      <w:pPr>
        <w:rPr>
          <w:rFonts w:cstheme="minorHAnsi"/>
          <w:color w:val="auto"/>
          <w:lang w:eastAsia="ar-SA"/>
        </w:rPr>
      </w:pPr>
      <w:r>
        <w:rPr>
          <w:rFonts w:cstheme="minorHAnsi"/>
          <w:color w:val="auto"/>
          <w:lang w:eastAsia="ar-SA"/>
        </w:rPr>
        <w:t xml:space="preserve">Niezwykle ważnym aspektem jest również </w:t>
      </w:r>
      <w:r w:rsidR="00B77970">
        <w:rPr>
          <w:rFonts w:cstheme="minorHAnsi"/>
          <w:color w:val="auto"/>
          <w:lang w:eastAsia="ar-SA"/>
        </w:rPr>
        <w:t xml:space="preserve">udział społeczeństwa w przygotowaniu MPA. Partycypację mieszkańców miasta w </w:t>
      </w:r>
      <w:r w:rsidR="00186062">
        <w:rPr>
          <w:rFonts w:cstheme="minorHAnsi"/>
          <w:color w:val="auto"/>
          <w:lang w:eastAsia="ar-SA"/>
        </w:rPr>
        <w:t>opracowaniu oraz organizowane spotkania i warsztaty także zostały opisane w treści projektu oraz w raporcie stanowiącym załącznik do dokumentu.</w:t>
      </w:r>
    </w:p>
    <w:p w14:paraId="6D104F53" w14:textId="77777777" w:rsidR="00511E7F" w:rsidRPr="00655FC7" w:rsidRDefault="00511E7F" w:rsidP="00FD15AF">
      <w:pPr>
        <w:rPr>
          <w:rFonts w:cstheme="minorHAnsi"/>
          <w:color w:val="auto"/>
          <w:lang w:eastAsia="ar-SA"/>
        </w:rPr>
      </w:pPr>
    </w:p>
    <w:p w14:paraId="2FFAB462" w14:textId="6DE3A210" w:rsidR="00492D5F" w:rsidRPr="00655FC7" w:rsidRDefault="00492D5F" w:rsidP="00492D5F">
      <w:pPr>
        <w:rPr>
          <w:rFonts w:cstheme="minorHAnsi"/>
          <w:color w:val="auto"/>
          <w:lang w:eastAsia="ar-SA"/>
        </w:rPr>
      </w:pPr>
      <w:r w:rsidRPr="00655FC7">
        <w:rPr>
          <w:rFonts w:cstheme="minorHAnsi"/>
          <w:color w:val="auto"/>
          <w:lang w:eastAsia="ar-SA"/>
        </w:rPr>
        <w:t xml:space="preserve">W ramach Planu Adaptacji do zmian klimatu oceniono podatność miasta na zmiany klimatu oraz wykonano analizę ryzyka związanego z tymi zmianami. Następnie zaproponowano grupy działań adaptacyjnych: </w:t>
      </w:r>
    </w:p>
    <w:p w14:paraId="3FE6E580" w14:textId="581EA335" w:rsidR="00492D5F" w:rsidRPr="00655FC7" w:rsidRDefault="002F223F">
      <w:pPr>
        <w:numPr>
          <w:ilvl w:val="0"/>
          <w:numId w:val="26"/>
        </w:numPr>
        <w:tabs>
          <w:tab w:val="left" w:pos="3119"/>
        </w:tabs>
        <w:spacing w:line="288" w:lineRule="auto"/>
        <w:contextualSpacing/>
        <w:rPr>
          <w:rFonts w:cstheme="minorHAnsi"/>
          <w:color w:val="auto"/>
        </w:rPr>
      </w:pPr>
      <w:r w:rsidRPr="002F223F">
        <w:rPr>
          <w:rFonts w:cstheme="minorHAnsi"/>
          <w:b/>
          <w:bCs/>
          <w:color w:val="auto"/>
        </w:rPr>
        <w:t>ZIELEŃ</w:t>
      </w:r>
      <w:r w:rsidRPr="002F223F">
        <w:rPr>
          <w:rFonts w:cstheme="minorHAnsi"/>
          <w:color w:val="auto"/>
        </w:rPr>
        <w:t>: rozwój i ochrona terenów zielonych i drzew, zapewnienie odpowiedniego rozwoju ekosystemów</w:t>
      </w:r>
      <w:r w:rsidR="00492D5F" w:rsidRPr="00655FC7">
        <w:rPr>
          <w:rFonts w:cstheme="minorHAnsi"/>
          <w:color w:val="auto"/>
        </w:rPr>
        <w:t>.</w:t>
      </w:r>
    </w:p>
    <w:p w14:paraId="17FF276F" w14:textId="6E710130" w:rsidR="00492D5F" w:rsidRPr="00655FC7" w:rsidRDefault="002F223F">
      <w:pPr>
        <w:numPr>
          <w:ilvl w:val="0"/>
          <w:numId w:val="26"/>
        </w:numPr>
        <w:tabs>
          <w:tab w:val="left" w:pos="3119"/>
        </w:tabs>
        <w:spacing w:line="288" w:lineRule="auto"/>
        <w:contextualSpacing/>
        <w:rPr>
          <w:rFonts w:cstheme="minorHAnsi"/>
          <w:color w:val="auto"/>
        </w:rPr>
      </w:pPr>
      <w:r w:rsidRPr="002F223F">
        <w:rPr>
          <w:rFonts w:cstheme="minorHAnsi"/>
          <w:b/>
          <w:bCs/>
          <w:color w:val="auto"/>
        </w:rPr>
        <w:t>RETENCJA</w:t>
      </w:r>
      <w:r w:rsidRPr="002F223F">
        <w:rPr>
          <w:rFonts w:cstheme="minorHAnsi"/>
          <w:color w:val="auto"/>
        </w:rPr>
        <w:t>: budowa obiektów retencyjnych i wsparcie małej retencji, ograniczenie zużycia wody</w:t>
      </w:r>
      <w:r w:rsidR="00492D5F" w:rsidRPr="00655FC7">
        <w:rPr>
          <w:rFonts w:cstheme="minorHAnsi"/>
          <w:color w:val="auto"/>
        </w:rPr>
        <w:t>.</w:t>
      </w:r>
    </w:p>
    <w:p w14:paraId="32988F30" w14:textId="55D0A523" w:rsidR="00492D5F" w:rsidRPr="00655FC7" w:rsidRDefault="002F223F">
      <w:pPr>
        <w:numPr>
          <w:ilvl w:val="0"/>
          <w:numId w:val="26"/>
        </w:numPr>
        <w:spacing w:line="288" w:lineRule="auto"/>
        <w:contextualSpacing/>
        <w:rPr>
          <w:rFonts w:cstheme="minorHAnsi"/>
          <w:color w:val="auto"/>
        </w:rPr>
      </w:pPr>
      <w:r w:rsidRPr="002F223F">
        <w:rPr>
          <w:rFonts w:cstheme="minorHAnsi"/>
          <w:b/>
          <w:bCs/>
          <w:color w:val="auto"/>
        </w:rPr>
        <w:t>TRANSPORT</w:t>
      </w:r>
      <w:r w:rsidRPr="002F223F">
        <w:rPr>
          <w:rFonts w:cstheme="minorHAnsi"/>
          <w:color w:val="auto"/>
        </w:rPr>
        <w:t>: rozwój i promocja transportu publicznego i rowerowego, ograniczenie wpływu ruchu samochodowego</w:t>
      </w:r>
      <w:r w:rsidR="00492D5F" w:rsidRPr="00655FC7">
        <w:rPr>
          <w:rFonts w:cstheme="minorHAnsi"/>
          <w:color w:val="auto"/>
        </w:rPr>
        <w:t>.</w:t>
      </w:r>
    </w:p>
    <w:p w14:paraId="21B9F151" w14:textId="6A3AD89F" w:rsidR="00492D5F" w:rsidRPr="00655FC7" w:rsidRDefault="002F223F">
      <w:pPr>
        <w:numPr>
          <w:ilvl w:val="0"/>
          <w:numId w:val="26"/>
        </w:numPr>
        <w:tabs>
          <w:tab w:val="left" w:pos="3119"/>
        </w:tabs>
        <w:contextualSpacing/>
        <w:rPr>
          <w:rFonts w:cstheme="minorHAnsi"/>
          <w:color w:val="auto"/>
        </w:rPr>
      </w:pPr>
      <w:r w:rsidRPr="002F223F">
        <w:rPr>
          <w:rFonts w:cstheme="minorHAnsi"/>
          <w:b/>
          <w:bCs/>
          <w:color w:val="auto"/>
        </w:rPr>
        <w:t>POWIETRZE</w:t>
      </w:r>
      <w:r w:rsidRPr="002F223F">
        <w:rPr>
          <w:rFonts w:cstheme="minorHAnsi"/>
          <w:color w:val="auto"/>
        </w:rPr>
        <w:t>: rozwój odnawialnych źródeł energii, poprawa efektywności energetycznej</w:t>
      </w:r>
      <w:r w:rsidR="00492D5F" w:rsidRPr="00655FC7">
        <w:rPr>
          <w:rFonts w:cstheme="minorHAnsi"/>
          <w:color w:val="auto"/>
        </w:rPr>
        <w:t>.</w:t>
      </w:r>
    </w:p>
    <w:p w14:paraId="756B71D6" w14:textId="33A11A54" w:rsidR="00492D5F" w:rsidRPr="00655FC7" w:rsidRDefault="002F223F">
      <w:pPr>
        <w:numPr>
          <w:ilvl w:val="0"/>
          <w:numId w:val="26"/>
        </w:numPr>
        <w:tabs>
          <w:tab w:val="left" w:pos="3119"/>
        </w:tabs>
        <w:spacing w:line="288" w:lineRule="auto"/>
        <w:contextualSpacing/>
        <w:rPr>
          <w:rFonts w:cstheme="minorHAnsi"/>
          <w:color w:val="auto"/>
        </w:rPr>
      </w:pPr>
      <w:r w:rsidRPr="002F223F">
        <w:rPr>
          <w:rFonts w:cstheme="minorHAnsi"/>
          <w:b/>
          <w:bCs/>
          <w:color w:val="auto"/>
        </w:rPr>
        <w:t>BEZPIECZEŃSTWO</w:t>
      </w:r>
      <w:r w:rsidRPr="002F223F">
        <w:rPr>
          <w:rFonts w:cstheme="minorHAnsi"/>
          <w:color w:val="auto"/>
        </w:rPr>
        <w:t>: wzmocnienie służb ratowniczych i usług publicznych, zarządzanie kryzysowy</w:t>
      </w:r>
      <w:r w:rsidR="00492D5F" w:rsidRPr="00655FC7">
        <w:rPr>
          <w:rFonts w:cstheme="minorHAnsi"/>
          <w:color w:val="auto"/>
        </w:rPr>
        <w:t>.</w:t>
      </w:r>
    </w:p>
    <w:p w14:paraId="35FB0E89" w14:textId="1A540E85" w:rsidR="00492D5F" w:rsidRPr="00655FC7" w:rsidRDefault="002F223F">
      <w:pPr>
        <w:numPr>
          <w:ilvl w:val="0"/>
          <w:numId w:val="26"/>
        </w:numPr>
        <w:tabs>
          <w:tab w:val="left" w:pos="3119"/>
        </w:tabs>
        <w:spacing w:line="288" w:lineRule="auto"/>
        <w:contextualSpacing/>
        <w:rPr>
          <w:rFonts w:cstheme="minorHAnsi"/>
          <w:color w:val="auto"/>
        </w:rPr>
      </w:pPr>
      <w:r w:rsidRPr="002F223F">
        <w:rPr>
          <w:rFonts w:cstheme="minorHAnsi"/>
          <w:b/>
          <w:bCs/>
          <w:color w:val="auto"/>
        </w:rPr>
        <w:t>EDUKACJA</w:t>
      </w:r>
      <w:r w:rsidRPr="002F223F">
        <w:rPr>
          <w:rFonts w:cstheme="minorHAnsi"/>
          <w:color w:val="auto"/>
        </w:rPr>
        <w:t>: angażowanie społeczeństwa w działania związanie z ochroną środowiska i klimatu</w:t>
      </w:r>
      <w:r w:rsidR="00492D5F" w:rsidRPr="00655FC7">
        <w:rPr>
          <w:rFonts w:cstheme="minorHAnsi"/>
          <w:color w:val="auto"/>
        </w:rPr>
        <w:t>.</w:t>
      </w:r>
    </w:p>
    <w:p w14:paraId="1829ECD4" w14:textId="77777777" w:rsidR="00492D5F" w:rsidRPr="00655FC7" w:rsidRDefault="00492D5F" w:rsidP="00492D5F">
      <w:pPr>
        <w:ind w:left="720"/>
        <w:contextualSpacing/>
        <w:rPr>
          <w:rFonts w:cstheme="minorHAnsi"/>
          <w:color w:val="auto"/>
        </w:rPr>
      </w:pPr>
    </w:p>
    <w:p w14:paraId="12B74B2F" w14:textId="7809EA34" w:rsidR="00FD15AF" w:rsidRPr="00655FC7" w:rsidRDefault="00492D5F" w:rsidP="00FD15AF">
      <w:pPr>
        <w:rPr>
          <w:rFonts w:cstheme="minorHAnsi"/>
          <w:color w:val="auto"/>
          <w:lang w:eastAsia="ar-SA"/>
        </w:rPr>
      </w:pPr>
      <w:r w:rsidRPr="00655FC7">
        <w:rPr>
          <w:rFonts w:cstheme="minorHAnsi"/>
          <w:color w:val="auto"/>
          <w:lang w:eastAsia="ar-SA"/>
        </w:rPr>
        <w:t>W części końcowej opracowania opisano wdrażanie</w:t>
      </w:r>
      <w:r w:rsidR="00511E7F">
        <w:rPr>
          <w:rFonts w:cstheme="minorHAnsi"/>
          <w:color w:val="auto"/>
          <w:lang w:eastAsia="ar-SA"/>
        </w:rPr>
        <w:t xml:space="preserve"> Miejskiego Planu Adaptacji</w:t>
      </w:r>
      <w:r w:rsidRPr="00655FC7">
        <w:rPr>
          <w:rFonts w:cstheme="minorHAnsi"/>
          <w:color w:val="auto"/>
          <w:lang w:eastAsia="ar-SA"/>
        </w:rPr>
        <w:t>, gdzie wyszczególniono wybrane działania adaptacyjne, możliwe źródła finansowania, monitoring realizacji Planu Adaptacji, ewaluacje realizacji Planu Adaptacji i harmonogram wdrażania Planu Adaptacji. Miejski Plan Adaptacji może być rozszerzany np. poprzez dodawanie dodatkowych projektów do działań adaptacyjnych.</w:t>
      </w:r>
      <w:r w:rsidR="00FD15AF" w:rsidRPr="00655FC7">
        <w:rPr>
          <w:rFonts w:cstheme="minorHAnsi"/>
          <w:color w:val="auto"/>
          <w:lang w:eastAsia="ar-SA"/>
        </w:rPr>
        <w:br w:type="page"/>
      </w:r>
    </w:p>
    <w:p w14:paraId="1DFB5C81" w14:textId="74F60AD1" w:rsidR="00AA52C5" w:rsidRPr="00655FC7" w:rsidRDefault="00AA52C5" w:rsidP="00AA52C5">
      <w:pPr>
        <w:spacing w:line="240" w:lineRule="auto"/>
      </w:pPr>
    </w:p>
    <w:p w14:paraId="4C921688" w14:textId="41C8E406" w:rsidR="00492D5F" w:rsidRPr="00655FC7" w:rsidRDefault="00492D5F" w:rsidP="00071BB6">
      <w:pPr>
        <w:pStyle w:val="Nagwek1"/>
        <w:rPr>
          <w:rFonts w:eastAsia="Times New Roman"/>
          <w14:textOutline w14:w="9525" w14:cap="rnd" w14:cmpd="sng" w14:algn="ctr">
            <w14:noFill/>
            <w14:prstDash w14:val="solid"/>
            <w14:bevel/>
          </w14:textOutline>
        </w:rPr>
      </w:pPr>
      <w:bookmarkStart w:id="13" w:name="_Toc177732024"/>
      <w:r w:rsidRPr="00655FC7">
        <w:rPr>
          <w:rFonts w:eastAsia="Times New Roman"/>
          <w14:textOutline w14:w="9525" w14:cap="rnd" w14:cmpd="sng" w14:algn="ctr">
            <w14:noFill/>
            <w14:prstDash w14:val="solid"/>
            <w14:bevel/>
          </w14:textOutline>
        </w:rPr>
        <w:t>Wstę</w:t>
      </w:r>
      <w:bookmarkEnd w:id="9"/>
      <w:r w:rsidRPr="00655FC7">
        <w:rPr>
          <w:rFonts w:eastAsia="Times New Roman"/>
          <w14:textOutline w14:w="9525" w14:cap="rnd" w14:cmpd="sng" w14:algn="ctr">
            <w14:noFill/>
            <w14:prstDash w14:val="solid"/>
            <w14:bevel/>
          </w14:textOutline>
        </w:rPr>
        <w:t>p</w:t>
      </w:r>
      <w:bookmarkEnd w:id="10"/>
      <w:bookmarkEnd w:id="13"/>
    </w:p>
    <w:p w14:paraId="7BBED4E4" w14:textId="54AAC7F4" w:rsidR="00492D5F" w:rsidRPr="00655FC7" w:rsidRDefault="00492D5F" w:rsidP="00B62479">
      <w:pPr>
        <w:pStyle w:val="Nagwek2"/>
      </w:pPr>
      <w:bookmarkStart w:id="14" w:name="_Toc376425320"/>
      <w:bookmarkStart w:id="15" w:name="_Toc21085157"/>
      <w:bookmarkStart w:id="16" w:name="_Toc177732025"/>
      <w:r w:rsidRPr="00655FC7">
        <w:t>Cel i zakres opracowania</w:t>
      </w:r>
      <w:bookmarkEnd w:id="14"/>
      <w:bookmarkEnd w:id="15"/>
      <w:bookmarkEnd w:id="16"/>
    </w:p>
    <w:p w14:paraId="424F692A" w14:textId="2367843F" w:rsidR="00E86E69" w:rsidRPr="00655FC7" w:rsidRDefault="00492D5F" w:rsidP="00492D5F">
      <w:pPr>
        <w:tabs>
          <w:tab w:val="left" w:pos="3119"/>
        </w:tabs>
        <w:rPr>
          <w:rFonts w:eastAsia="Calibri" w:cstheme="minorHAnsi"/>
          <w:i/>
          <w:color w:val="auto"/>
          <w:lang w:eastAsia="pl-PL"/>
        </w:rPr>
      </w:pPr>
      <w:bookmarkStart w:id="17" w:name="_Toc229472613"/>
      <w:bookmarkStart w:id="18" w:name="_Toc226283422"/>
      <w:r w:rsidRPr="00655FC7">
        <w:rPr>
          <w:rFonts w:eastAsia="Calibri" w:cstheme="minorHAnsi"/>
          <w:i/>
          <w:color w:val="auto"/>
          <w:lang w:eastAsia="pl-PL"/>
        </w:rPr>
        <w:t xml:space="preserve">Plan Adaptacji do zmian klimatu dla Miasta </w:t>
      </w:r>
      <w:r w:rsidR="00E64FCE" w:rsidRPr="00655FC7">
        <w:rPr>
          <w:rFonts w:eastAsia="Calibri" w:cstheme="minorHAnsi"/>
          <w:i/>
          <w:color w:val="auto"/>
          <w:lang w:eastAsia="pl-PL"/>
        </w:rPr>
        <w:t>Tarnogród</w:t>
      </w:r>
      <w:r w:rsidR="00E86E69" w:rsidRPr="00655FC7">
        <w:rPr>
          <w:rFonts w:eastAsia="Calibri" w:cstheme="minorHAnsi"/>
          <w:b/>
          <w:bCs/>
          <w:iCs/>
          <w:color w:val="auto"/>
          <w:lang w:eastAsia="pl-PL"/>
        </w:rPr>
        <w:t xml:space="preserve"> ma na celu przygotowanie miasta na zmiany klimatu, zwiększenie jego odporności oraz podniesienie potencjału do radzenia sobie w sytuacji zmieniających się warunków klimatycznych.</w:t>
      </w:r>
    </w:p>
    <w:p w14:paraId="450D7130" w14:textId="7DE200F4" w:rsidR="00E86E69" w:rsidRPr="00655FC7" w:rsidRDefault="00E86E69" w:rsidP="00E86E69">
      <w:pPr>
        <w:tabs>
          <w:tab w:val="left" w:pos="3119"/>
        </w:tabs>
        <w:rPr>
          <w:rFonts w:eastAsia="Calibri" w:cstheme="minorHAnsi"/>
          <w:color w:val="auto"/>
          <w:lang w:eastAsia="pl-PL"/>
        </w:rPr>
      </w:pPr>
      <w:r w:rsidRPr="00655FC7">
        <w:rPr>
          <w:rFonts w:eastAsia="Calibri" w:cstheme="minorHAnsi"/>
          <w:color w:val="auto"/>
          <w:lang w:eastAsia="pl-PL"/>
        </w:rPr>
        <w:t>MPA jest dokumentem strategiczno-wdrożeniowym i służy skoordynowaniu lokalnych działań i</w:t>
      </w:r>
      <w:r w:rsidR="003157E7" w:rsidRPr="00655FC7">
        <w:rPr>
          <w:rFonts w:eastAsia="Calibri" w:cstheme="minorHAnsi"/>
          <w:color w:val="auto"/>
          <w:lang w:eastAsia="pl-PL"/>
        </w:rPr>
        <w:t> </w:t>
      </w:r>
      <w:r w:rsidRPr="00655FC7">
        <w:rPr>
          <w:rFonts w:eastAsia="Calibri" w:cstheme="minorHAnsi"/>
          <w:color w:val="auto"/>
          <w:lang w:eastAsia="pl-PL"/>
        </w:rPr>
        <w:t>prze</w:t>
      </w:r>
      <w:r w:rsidR="00CD7364" w:rsidRPr="00655FC7">
        <w:rPr>
          <w:rFonts w:eastAsia="Calibri" w:cstheme="minorHAnsi"/>
          <w:color w:val="auto"/>
          <w:lang w:eastAsia="pl-PL"/>
        </w:rPr>
        <w:t>dsięwzięć wiążących się z</w:t>
      </w:r>
      <w:r w:rsidR="003157E7" w:rsidRPr="00655FC7">
        <w:rPr>
          <w:rFonts w:eastAsia="Calibri" w:cstheme="minorHAnsi"/>
          <w:color w:val="auto"/>
          <w:lang w:eastAsia="pl-PL"/>
        </w:rPr>
        <w:t xml:space="preserve"> </w:t>
      </w:r>
      <w:r w:rsidR="00CD7364" w:rsidRPr="00655FC7">
        <w:rPr>
          <w:rFonts w:eastAsia="Calibri" w:cstheme="minorHAnsi"/>
          <w:color w:val="auto"/>
          <w:lang w:eastAsia="pl-PL"/>
        </w:rPr>
        <w:t>minimalizowaniem negatywnych skutków ekonomicznych, społecznych i środowiskowych wynikających ze zmian klimatu, a</w:t>
      </w:r>
      <w:r w:rsidR="003157E7" w:rsidRPr="00655FC7">
        <w:rPr>
          <w:rFonts w:eastAsia="Calibri" w:cstheme="minorHAnsi"/>
          <w:color w:val="auto"/>
          <w:lang w:eastAsia="pl-PL"/>
        </w:rPr>
        <w:t xml:space="preserve"> </w:t>
      </w:r>
      <w:r w:rsidR="00CD7364" w:rsidRPr="00655FC7">
        <w:rPr>
          <w:rFonts w:eastAsia="Calibri" w:cstheme="minorHAnsi"/>
          <w:color w:val="auto"/>
          <w:lang w:eastAsia="pl-PL"/>
        </w:rPr>
        <w:t>podejmowanych przez miasto i</w:t>
      </w:r>
      <w:r w:rsidR="003157E7" w:rsidRPr="00655FC7">
        <w:rPr>
          <w:rFonts w:eastAsia="Calibri" w:cstheme="minorHAnsi"/>
          <w:color w:val="auto"/>
          <w:lang w:eastAsia="pl-PL"/>
        </w:rPr>
        <w:t> </w:t>
      </w:r>
      <w:r w:rsidR="00CD7364" w:rsidRPr="00655FC7">
        <w:rPr>
          <w:rFonts w:eastAsia="Calibri" w:cstheme="minorHAnsi"/>
          <w:color w:val="auto"/>
          <w:lang w:eastAsia="pl-PL"/>
        </w:rPr>
        <w:t>innych partnerów. Plan komplementarny jest z obowiązującymi już strategicznymi, planistycznymi oraz operacyjnymi dokumentami własnymi gminy.</w:t>
      </w:r>
    </w:p>
    <w:p w14:paraId="33C58DD3" w14:textId="77777777" w:rsidR="00492D5F" w:rsidRPr="00655FC7" w:rsidRDefault="00492D5F" w:rsidP="00FA25C5">
      <w:pPr>
        <w:pStyle w:val="Cytat"/>
      </w:pPr>
      <w:r w:rsidRPr="00655FC7">
        <w:rPr>
          <w:noProof/>
        </w:rPr>
        <w:drawing>
          <wp:inline distT="0" distB="0" distL="0" distR="0" wp14:anchorId="7130A72F" wp14:editId="66FCC8A3">
            <wp:extent cx="5771072" cy="828135"/>
            <wp:effectExtent l="0" t="0" r="1270" b="10160"/>
            <wp:docPr id="67" name="Diagram 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4654A00F" w14:textId="3E18DB8F" w:rsidR="00492D5F" w:rsidRPr="00655FC7" w:rsidRDefault="00492D5F" w:rsidP="002D4783">
      <w:pPr>
        <w:tabs>
          <w:tab w:val="left" w:pos="3119"/>
        </w:tabs>
        <w:spacing w:before="240" w:after="120"/>
        <w:ind w:firstLine="0"/>
        <w:jc w:val="center"/>
        <w:rPr>
          <w:rFonts w:cstheme="minorHAnsi"/>
          <w:color w:val="auto"/>
        </w:rPr>
      </w:pPr>
      <w:r w:rsidRPr="00655FC7">
        <w:rPr>
          <w:rFonts w:cstheme="minorHAnsi"/>
          <w:noProof/>
          <w:color w:val="auto"/>
          <w:lang w:eastAsia="en-GB"/>
        </w:rPr>
        <mc:AlternateContent>
          <mc:Choice Requires="wps">
            <w:drawing>
              <wp:anchor distT="0" distB="0" distL="114300" distR="114300" simplePos="0" relativeHeight="251634688" behindDoc="1" locked="0" layoutInCell="1" allowOverlap="1" wp14:anchorId="4B88B5AE" wp14:editId="0948317A">
                <wp:simplePos x="0" y="0"/>
                <wp:positionH relativeFrom="column">
                  <wp:posOffset>4445</wp:posOffset>
                </wp:positionH>
                <wp:positionV relativeFrom="paragraph">
                  <wp:posOffset>98425</wp:posOffset>
                </wp:positionV>
                <wp:extent cx="5760000" cy="477520"/>
                <wp:effectExtent l="0" t="0" r="12700" b="17780"/>
                <wp:wrapNone/>
                <wp:docPr id="8" name="Prostokąt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00" cy="477520"/>
                        </a:xfrm>
                        <a:prstGeom prst="rect">
                          <a:avLst/>
                        </a:prstGeom>
                        <a:solidFill>
                          <a:sysClr val="window" lastClr="FFFFFF">
                            <a:alpha val="90000"/>
                            <a:hueOff val="0"/>
                            <a:satOff val="0"/>
                            <a:lumOff val="0"/>
                            <a:alphaOff val="0"/>
                          </a:sysClr>
                        </a:solidFill>
                        <a:ln w="25400" cap="flat" cmpd="sng" algn="ctr">
                          <a:solidFill>
                            <a:srgbClr val="9BBB59">
                              <a:shade val="80000"/>
                              <a:hueOff val="0"/>
                              <a:satOff val="0"/>
                              <a:lumOff val="0"/>
                              <a:alphaOff val="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rect w14:anchorId="6F5B2493" id="Prostokąt 37" o:spid="_x0000_s1026" style="position:absolute;margin-left:.35pt;margin-top:7.75pt;width:453.55pt;height:37.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" strokecolor="#8ca950" strokeweight="2pt">
                <v:fill opacity="59110f"/>
                <v:path arrowok="t"/>
              </v:rect>
            </w:pict>
          </mc:Fallback>
        </mc:AlternateContent>
      </w:r>
      <w:r w:rsidRPr="00655FC7">
        <w:rPr>
          <w:rFonts w:cstheme="minorHAnsi"/>
          <w:color w:val="auto"/>
        </w:rPr>
        <w:t>W Miejskim Planie Adaptacji opracowano następujące cele szczegółowe, służące realizacji celu nadrzędnego</w:t>
      </w:r>
      <w:r w:rsidR="00762EA2" w:rsidRPr="00655FC7">
        <w:rPr>
          <w:rFonts w:cstheme="minorHAnsi"/>
          <w:color w:val="auto"/>
        </w:rPr>
        <w:t>, zgodne z dokumentem SPA2020</w:t>
      </w:r>
      <w:r w:rsidRPr="00655FC7">
        <w:rPr>
          <w:rFonts w:cstheme="minorHAnsi"/>
          <w:color w:val="auto"/>
        </w:rPr>
        <w:t>:</w:t>
      </w:r>
    </w:p>
    <w:p w14:paraId="378D2C7A" w14:textId="77777777" w:rsidR="00492D5F" w:rsidRPr="00655FC7" w:rsidRDefault="00492D5F" w:rsidP="00FA25C5">
      <w:pPr>
        <w:pStyle w:val="Cytat"/>
        <w:rPr>
          <w:lang w:eastAsia="pl-PL"/>
        </w:rPr>
      </w:pPr>
      <w:r w:rsidRPr="00655FC7">
        <w:rPr>
          <w:noProof/>
        </w:rPr>
        <w:drawing>
          <wp:inline distT="0" distB="0" distL="0" distR="0" wp14:anchorId="0965D739" wp14:editId="1C270EAD">
            <wp:extent cx="5528931" cy="4136065"/>
            <wp:effectExtent l="0" t="0" r="15240" b="0"/>
            <wp:docPr id="68" name="Diagram 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5F7B2FD4" w14:textId="38A0F35B" w:rsidR="008F478A" w:rsidRPr="00655FC7" w:rsidRDefault="00E038F5" w:rsidP="00762EA2">
      <w:pPr>
        <w:tabs>
          <w:tab w:val="left" w:pos="3119"/>
        </w:tabs>
        <w:spacing w:line="240" w:lineRule="auto"/>
        <w:ind w:firstLine="0"/>
        <w:jc w:val="center"/>
        <w:rPr>
          <w:rFonts w:eastAsia="Calibri" w:cstheme="minorHAnsi"/>
          <w:color w:val="auto"/>
          <w:sz w:val="20"/>
          <w:szCs w:val="20"/>
          <w:lang w:eastAsia="pl-PL"/>
        </w:rPr>
      </w:pPr>
      <w:r w:rsidRPr="00655FC7">
        <w:rPr>
          <w:rFonts w:eastAsia="Calibri" w:cstheme="minorHAnsi"/>
          <w:color w:val="auto"/>
          <w:sz w:val="20"/>
          <w:szCs w:val="20"/>
          <w:lang w:eastAsia="pl-PL"/>
        </w:rPr>
        <w:t xml:space="preserve">Opracowano zgodnie ze </w:t>
      </w:r>
      <w:r w:rsidR="00762EA2" w:rsidRPr="00655FC7">
        <w:rPr>
          <w:rFonts w:eastAsia="Calibri" w:cstheme="minorHAnsi"/>
          <w:color w:val="auto"/>
          <w:sz w:val="20"/>
          <w:szCs w:val="20"/>
          <w:lang w:eastAsia="pl-PL"/>
        </w:rPr>
        <w:t>Strategiczny</w:t>
      </w:r>
      <w:r w:rsidRPr="00655FC7">
        <w:rPr>
          <w:rFonts w:eastAsia="Calibri" w:cstheme="minorHAnsi"/>
          <w:color w:val="auto"/>
          <w:sz w:val="20"/>
          <w:szCs w:val="20"/>
          <w:lang w:eastAsia="pl-PL"/>
        </w:rPr>
        <w:t>m</w:t>
      </w:r>
      <w:r w:rsidR="00762EA2" w:rsidRPr="00655FC7">
        <w:rPr>
          <w:rFonts w:eastAsia="Calibri" w:cstheme="minorHAnsi"/>
          <w:color w:val="auto"/>
          <w:sz w:val="20"/>
          <w:szCs w:val="20"/>
          <w:lang w:eastAsia="pl-PL"/>
        </w:rPr>
        <w:t xml:space="preserve"> plan</w:t>
      </w:r>
      <w:r w:rsidRPr="00655FC7">
        <w:rPr>
          <w:rFonts w:eastAsia="Calibri" w:cstheme="minorHAnsi"/>
          <w:color w:val="auto"/>
          <w:sz w:val="20"/>
          <w:szCs w:val="20"/>
          <w:lang w:eastAsia="pl-PL"/>
        </w:rPr>
        <w:t>em</w:t>
      </w:r>
      <w:r w:rsidR="00762EA2" w:rsidRPr="00655FC7">
        <w:rPr>
          <w:rFonts w:eastAsia="Calibri" w:cstheme="minorHAnsi"/>
          <w:color w:val="auto"/>
          <w:sz w:val="20"/>
          <w:szCs w:val="20"/>
          <w:lang w:eastAsia="pl-PL"/>
        </w:rPr>
        <w:t xml:space="preserve"> adaptacji dla sektorów i obszarów wrażliwych na zmiany klimatu do roku 2020 z perspektywą do roku 2030</w:t>
      </w:r>
    </w:p>
    <w:p w14:paraId="3DF013AB" w14:textId="3819A3FC" w:rsidR="00492D5F" w:rsidRPr="00655FC7" w:rsidRDefault="00492D5F" w:rsidP="00492D5F">
      <w:pPr>
        <w:tabs>
          <w:tab w:val="left" w:pos="3119"/>
        </w:tabs>
        <w:rPr>
          <w:rFonts w:cstheme="minorHAnsi"/>
          <w:color w:val="auto"/>
        </w:rPr>
      </w:pPr>
      <w:r w:rsidRPr="00655FC7">
        <w:rPr>
          <w:rFonts w:eastAsia="Calibri" w:cstheme="minorHAnsi"/>
          <w:color w:val="auto"/>
          <w:lang w:eastAsia="pl-PL"/>
        </w:rPr>
        <w:lastRenderedPageBreak/>
        <w:t xml:space="preserve">Najważniejszym krajowym dokumentem stanowiącym podstawę opracowania Miejskiego Planu Adaptacji jest </w:t>
      </w:r>
      <w:r w:rsidRPr="00655FC7">
        <w:rPr>
          <w:rFonts w:eastAsia="Calibri" w:cstheme="minorHAnsi"/>
          <w:i/>
          <w:color w:val="auto"/>
          <w:lang w:eastAsia="pl-PL"/>
        </w:rPr>
        <w:t xml:space="preserve">Strategiczny plan adaptacji dla sektorów i obszarów wrażliwych na zmiany klimatu do roku 2020 z perspektywą do roku 2030 (SPA 2020). </w:t>
      </w:r>
      <w:r w:rsidRPr="00655FC7">
        <w:rPr>
          <w:rFonts w:eastAsia="Calibri" w:cstheme="minorHAnsi"/>
          <w:color w:val="auto"/>
          <w:lang w:eastAsia="pl-PL"/>
        </w:rPr>
        <w:t xml:space="preserve">Dokument ten </w:t>
      </w:r>
      <w:r w:rsidRPr="00655FC7">
        <w:rPr>
          <w:rFonts w:cstheme="minorHAnsi"/>
          <w:color w:val="auto"/>
        </w:rPr>
        <w:t>wskazuje cele i kierunki działań adaptacyjnych, które należy podjąć w najbardziej wrażliwych sektorach i obszarach: gospodarce wodnej, rolnictwie, leśnictwie, różnorodności biologicznej i obszarach prawnie chronionych, zdrowiu, energetyce, budownictwie, transporcie, obszarach górskich, strefie wybrzeża, gospodarce przestrzennej i obszarach zurbanizowanych.</w:t>
      </w:r>
    </w:p>
    <w:p w14:paraId="3E2F6EAC" w14:textId="77777777" w:rsidR="00492D5F" w:rsidRPr="00655FC7" w:rsidRDefault="00492D5F" w:rsidP="00492D5F">
      <w:pPr>
        <w:tabs>
          <w:tab w:val="left" w:pos="3119"/>
        </w:tabs>
        <w:rPr>
          <w:rFonts w:eastAsia="Calibri" w:cstheme="minorHAnsi"/>
          <w:color w:val="auto"/>
          <w:lang w:eastAsia="pl-PL"/>
        </w:rPr>
      </w:pPr>
    </w:p>
    <w:p w14:paraId="324CC283" w14:textId="0BE440C4" w:rsidR="001C664A" w:rsidRPr="00655FC7" w:rsidRDefault="005F29B2" w:rsidP="000648FB">
      <w:pPr>
        <w:tabs>
          <w:tab w:val="left" w:pos="3119"/>
        </w:tabs>
        <w:ind w:firstLine="0"/>
        <w:rPr>
          <w:rFonts w:eastAsia="Calibri" w:cstheme="minorHAnsi"/>
          <w:color w:val="auto"/>
          <w:lang w:eastAsia="pl-PL"/>
        </w:rPr>
      </w:pPr>
      <w:r>
        <w:rPr>
          <w:rFonts w:eastAsia="Calibri" w:cstheme="minorHAnsi"/>
          <w:noProof/>
          <w:color w:val="auto"/>
          <w:lang w:eastAsia="pl-PL"/>
        </w:rPr>
        <w:drawing>
          <wp:inline distT="0" distB="0" distL="0" distR="0" wp14:anchorId="4E956496" wp14:editId="3CA40801">
            <wp:extent cx="5486400" cy="1688523"/>
            <wp:effectExtent l="95250" t="57150" r="57150" b="121285"/>
            <wp:docPr id="180343686" name="Diagram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3CB5975F" w14:textId="1446BEE6" w:rsidR="00492D5F" w:rsidRPr="00655FC7" w:rsidRDefault="00492D5F" w:rsidP="00B62479">
      <w:pPr>
        <w:pStyle w:val="Nagwek2"/>
      </w:pPr>
      <w:bookmarkStart w:id="19" w:name="_Toc177732026"/>
      <w:bookmarkEnd w:id="17"/>
      <w:bookmarkEnd w:id="18"/>
      <w:r w:rsidRPr="00655FC7">
        <w:t>Powiązanie Planu Adaptacji z dokumentami strategicznymi</w:t>
      </w:r>
      <w:r w:rsidRPr="00655FC7">
        <w:rPr>
          <w:vertAlign w:val="superscript"/>
        </w:rPr>
        <w:footnoteReference w:id="1"/>
      </w:r>
      <w:bookmarkEnd w:id="19"/>
    </w:p>
    <w:p w14:paraId="1D7CFE04" w14:textId="4AB4CF71" w:rsidR="00492D5F" w:rsidRPr="00655FC7" w:rsidRDefault="00492D5F" w:rsidP="00492D5F">
      <w:pPr>
        <w:tabs>
          <w:tab w:val="left" w:pos="3119"/>
        </w:tabs>
        <w:rPr>
          <w:rFonts w:eastAsia="Calibri" w:cstheme="minorHAnsi"/>
          <w:color w:val="auto"/>
        </w:rPr>
      </w:pPr>
      <w:r w:rsidRPr="00655FC7">
        <w:rPr>
          <w:rFonts w:eastAsia="Calibri" w:cstheme="minorHAnsi"/>
          <w:i/>
          <w:color w:val="auto"/>
        </w:rPr>
        <w:t xml:space="preserve">Miejski Plan Adaptacji do zmian klimatu dla Miasta </w:t>
      </w:r>
      <w:r w:rsidR="003157E7" w:rsidRPr="00655FC7">
        <w:rPr>
          <w:rFonts w:eastAsia="Calibri" w:cstheme="minorHAnsi"/>
          <w:i/>
          <w:color w:val="auto"/>
        </w:rPr>
        <w:t>Tarnogród</w:t>
      </w:r>
      <w:r w:rsidRPr="00655FC7">
        <w:rPr>
          <w:rFonts w:eastAsia="Calibri" w:cstheme="minorHAnsi"/>
          <w:i/>
          <w:color w:val="auto"/>
        </w:rPr>
        <w:t xml:space="preserve"> </w:t>
      </w:r>
      <w:r w:rsidRPr="00655FC7">
        <w:rPr>
          <w:rFonts w:eastAsia="Calibri" w:cstheme="minorHAnsi"/>
          <w:color w:val="auto"/>
        </w:rPr>
        <w:t>zgodny jest z dokumentami wyższego szczebla, tj. dokumentami europejskimi, krajowymi, wojewódzkimi</w:t>
      </w:r>
      <w:r w:rsidR="001C664A" w:rsidRPr="00655FC7">
        <w:rPr>
          <w:rFonts w:eastAsia="Calibri" w:cstheme="minorHAnsi"/>
          <w:color w:val="auto"/>
        </w:rPr>
        <w:t>,</w:t>
      </w:r>
      <w:r w:rsidRPr="00655FC7">
        <w:rPr>
          <w:rFonts w:eastAsia="Calibri" w:cstheme="minorHAnsi"/>
          <w:color w:val="auto"/>
        </w:rPr>
        <w:t xml:space="preserve"> powiatowymi oraz gminnymi. Dokument uwzględnia także założenia określone w innych dokumentach lokalnych.</w:t>
      </w:r>
      <w:bookmarkStart w:id="20" w:name="_Toc43986368"/>
      <w:bookmarkStart w:id="21" w:name="_Toc44058902"/>
      <w:bookmarkStart w:id="22" w:name="_Toc43986369"/>
      <w:bookmarkStart w:id="23" w:name="_Toc44058903"/>
      <w:bookmarkStart w:id="24" w:name="_Toc43986370"/>
      <w:bookmarkStart w:id="25" w:name="_Toc44058904"/>
      <w:bookmarkStart w:id="26" w:name="_Toc43986371"/>
      <w:bookmarkStart w:id="27" w:name="_Toc44058905"/>
      <w:bookmarkStart w:id="28" w:name="_Toc432495649"/>
      <w:bookmarkStart w:id="29" w:name="_Toc345864310"/>
      <w:bookmarkStart w:id="30" w:name="_Toc340565189"/>
      <w:bookmarkStart w:id="31" w:name="_Toc340558362"/>
      <w:bookmarkStart w:id="32" w:name="_Toc21085165"/>
      <w:bookmarkEnd w:id="20"/>
      <w:bookmarkEnd w:id="21"/>
      <w:bookmarkEnd w:id="22"/>
      <w:bookmarkEnd w:id="23"/>
      <w:bookmarkEnd w:id="24"/>
      <w:bookmarkEnd w:id="25"/>
      <w:bookmarkEnd w:id="26"/>
      <w:bookmarkEnd w:id="27"/>
    </w:p>
    <w:p w14:paraId="5F29A582" w14:textId="77777777" w:rsidR="00492D5F" w:rsidRPr="00655FC7" w:rsidRDefault="00492D5F" w:rsidP="00492D5F">
      <w:pPr>
        <w:tabs>
          <w:tab w:val="left" w:pos="3119"/>
        </w:tabs>
        <w:rPr>
          <w:rFonts w:eastAsia="Calibri" w:cstheme="minorHAnsi"/>
          <w:color w:val="auto"/>
        </w:rPr>
      </w:pPr>
    </w:p>
    <w:p w14:paraId="5BBF660F" w14:textId="50DD7C95" w:rsidR="00492D5F" w:rsidRPr="00655FC7" w:rsidRDefault="00492D5F" w:rsidP="00761441">
      <w:pPr>
        <w:pStyle w:val="Nagwek3"/>
      </w:pPr>
      <w:bookmarkStart w:id="33" w:name="_Toc177732027"/>
      <w:r w:rsidRPr="00655FC7">
        <w:t>Dokumenty międzynarodowe</w:t>
      </w:r>
      <w:bookmarkEnd w:id="33"/>
    </w:p>
    <w:bookmarkEnd w:id="28"/>
    <w:bookmarkEnd w:id="29"/>
    <w:bookmarkEnd w:id="30"/>
    <w:bookmarkEnd w:id="31"/>
    <w:bookmarkEnd w:id="32"/>
    <w:p w14:paraId="58BB34A0" w14:textId="77777777" w:rsidR="00492D5F" w:rsidRPr="00655FC7" w:rsidRDefault="00492D5F" w:rsidP="00C20390">
      <w:pPr>
        <w:pStyle w:val="Nagwek4"/>
      </w:pPr>
      <w:r w:rsidRPr="00655FC7">
        <w:t>Międzynarodowa ochrona środowiska – Globalny Program Działań Szczytu Ziemi: Agenda 21</w:t>
      </w:r>
    </w:p>
    <w:p w14:paraId="20DEBC89" w14:textId="18091F40" w:rsidR="00492D5F" w:rsidRPr="00655FC7" w:rsidRDefault="00492D5F" w:rsidP="00492D5F">
      <w:pPr>
        <w:rPr>
          <w:rFonts w:cstheme="minorHAnsi"/>
        </w:rPr>
      </w:pPr>
      <w:r w:rsidRPr="00655FC7">
        <w:rPr>
          <w:rFonts w:cstheme="minorHAnsi"/>
        </w:rPr>
        <w:t xml:space="preserve">Jeden z najważniejszych programów międzynarodowych dotyczących zrównoważonego rozwoju ludzkości i ochrony zasobów środowiska naturalnego. Przewiduje on działania </w:t>
      </w:r>
      <w:r w:rsidRPr="00655FC7">
        <w:rPr>
          <w:rFonts w:cstheme="minorHAnsi"/>
        </w:rPr>
        <w:br/>
        <w:t>na poziomie globalnym, narodowym i lokalnym</w:t>
      </w:r>
      <w:r w:rsidR="005E2881" w:rsidRPr="00655FC7">
        <w:rPr>
          <w:rFonts w:cstheme="minorHAnsi"/>
        </w:rPr>
        <w:t>,</w:t>
      </w:r>
      <w:r w:rsidRPr="00655FC7">
        <w:rPr>
          <w:rFonts w:cstheme="minorHAnsi"/>
        </w:rPr>
        <w:t xml:space="preserve"> prowadzone w celu koordynacji wysiłków w rozwiązywaniu problemów światowej ekologii i polityki rozwoju. Program dotyczy wszystkich dziedzin życia, w których człowiek oddziałuje na środowisko, wśród których ważnym punktem jest również ochrona atmosfery (przeciwdziałanie efektowi cieplarnianemu etc.) będącymi również przedmiotem rozważań Miejskiego Planu Adaptacji do zmian klimatu.</w:t>
      </w:r>
    </w:p>
    <w:p w14:paraId="1BF3A884" w14:textId="77777777" w:rsidR="00492D5F" w:rsidRPr="00655FC7" w:rsidRDefault="00492D5F" w:rsidP="00492D5F">
      <w:pPr>
        <w:rPr>
          <w:rFonts w:cstheme="minorHAnsi"/>
        </w:rPr>
      </w:pPr>
    </w:p>
    <w:p w14:paraId="6D949423" w14:textId="77777777" w:rsidR="00492D5F" w:rsidRPr="00655FC7" w:rsidRDefault="00492D5F" w:rsidP="00C20390">
      <w:pPr>
        <w:pStyle w:val="Nagwek4"/>
      </w:pPr>
      <w:r w:rsidRPr="00655FC7">
        <w:t xml:space="preserve">Strategia Unii Europejskiej w zakresie przystosowania się do zmiany klimatu </w:t>
      </w:r>
    </w:p>
    <w:p w14:paraId="7803E7CA" w14:textId="77777777" w:rsidR="00492D5F" w:rsidRPr="00655FC7" w:rsidRDefault="00492D5F" w:rsidP="00492D5F">
      <w:pPr>
        <w:tabs>
          <w:tab w:val="left" w:pos="3119"/>
        </w:tabs>
        <w:rPr>
          <w:rFonts w:cstheme="minorHAnsi"/>
          <w:color w:val="auto"/>
        </w:rPr>
      </w:pPr>
      <w:r w:rsidRPr="00655FC7">
        <w:rPr>
          <w:rFonts w:cstheme="minorHAnsi"/>
          <w:color w:val="auto"/>
        </w:rPr>
        <w:t>Dnia 24 lutego 2021 r. Komisja Europejska przyjęła nową Strategię Unii Europejskiej w zakresie przystosowania się do zmiany klimatu [COM (2021) 82 final], w której nakreślono, jak przygotować się na nieuniknione skutki tej zmiany</w:t>
      </w:r>
      <w:r w:rsidRPr="00655FC7">
        <w:rPr>
          <w:rFonts w:cstheme="minorHAnsi"/>
          <w:color w:val="auto"/>
          <w:vertAlign w:val="superscript"/>
        </w:rPr>
        <w:footnoteReference w:id="2"/>
      </w:r>
      <w:r w:rsidRPr="00655FC7">
        <w:rPr>
          <w:rFonts w:cstheme="minorHAnsi"/>
          <w:color w:val="auto"/>
        </w:rPr>
        <w:t>.</w:t>
      </w:r>
    </w:p>
    <w:p w14:paraId="48E031EF" w14:textId="77777777" w:rsidR="00492D5F" w:rsidRPr="00655FC7" w:rsidRDefault="00492D5F" w:rsidP="00492D5F">
      <w:pPr>
        <w:tabs>
          <w:tab w:val="left" w:pos="3119"/>
        </w:tabs>
        <w:rPr>
          <w:rFonts w:cstheme="minorHAnsi"/>
          <w:color w:val="auto"/>
        </w:rPr>
      </w:pPr>
      <w:r w:rsidRPr="00655FC7">
        <w:rPr>
          <w:rFonts w:cstheme="minorHAnsi"/>
          <w:color w:val="auto"/>
        </w:rPr>
        <w:lastRenderedPageBreak/>
        <w:t>Nowa Strategia UE w zakresie przystosowania się do zmiany klimatu wytycza ścieżkę dla większych ambicji dotyczących odporności na zmianę klimatu: w 2050 r. unijne społeczeństwo będzie odporne na zmianę klimatu i w pełni przystosowane do nieuniknionych skutków zmiany klimatu. Z tego powodu przystosowanie się do zmiany klimatu stanowi integralną część Europejskiego Zielonego Ładu i jego wymiaru zewnętrznego, a także jest mocno zakorzenione w proponowanym Europejskim prawie o klimacie. Celem nowej Strategii UE jest intensyfikacja działań w całej gospodarce i całym społeczeństwie, aby przybliżyć je do realizacji wizji odporności na zmiany klimatu na 2050 r., przy jednoczesnym zwiększeniu synergii z innymi obszarami polityki, takimi jak różnorodność biologiczna</w:t>
      </w:r>
      <w:r w:rsidRPr="00655FC7">
        <w:rPr>
          <w:rFonts w:cstheme="minorHAnsi"/>
          <w:color w:val="auto"/>
          <w:vertAlign w:val="superscript"/>
        </w:rPr>
        <w:footnoteReference w:id="3"/>
      </w:r>
      <w:r w:rsidRPr="00655FC7">
        <w:rPr>
          <w:rFonts w:cstheme="minorHAnsi"/>
          <w:color w:val="auto"/>
        </w:rPr>
        <w:t>.</w:t>
      </w:r>
    </w:p>
    <w:p w14:paraId="5BE879E9" w14:textId="77777777" w:rsidR="00492D5F" w:rsidRPr="00655FC7" w:rsidRDefault="00492D5F" w:rsidP="00492D5F">
      <w:pPr>
        <w:tabs>
          <w:tab w:val="left" w:pos="3119"/>
        </w:tabs>
        <w:rPr>
          <w:rFonts w:cstheme="minorHAnsi"/>
          <w:color w:val="auto"/>
        </w:rPr>
      </w:pPr>
    </w:p>
    <w:p w14:paraId="0099C28E" w14:textId="77777777" w:rsidR="00492D5F" w:rsidRPr="00655FC7" w:rsidRDefault="00492D5F" w:rsidP="00C20390">
      <w:pPr>
        <w:pStyle w:val="Nagwek4"/>
      </w:pPr>
      <w:r w:rsidRPr="00655FC7">
        <w:t>Zrównoważona Europa 2030 - Polityka, strategia i przepisy UE dotyczące celów środowiskowych oraz celów w dziedzinie energii i klimatu do 2030 roku</w:t>
      </w:r>
    </w:p>
    <w:p w14:paraId="25C96C12" w14:textId="77777777" w:rsidR="00492D5F" w:rsidRPr="00655FC7" w:rsidRDefault="00492D5F" w:rsidP="00492D5F">
      <w:pPr>
        <w:rPr>
          <w:rFonts w:cstheme="minorHAnsi"/>
        </w:rPr>
      </w:pPr>
      <w:r w:rsidRPr="00655FC7">
        <w:rPr>
          <w:rFonts w:cstheme="minorHAnsi"/>
        </w:rPr>
        <w:t xml:space="preserve">Kluczowe cele na 2030 r. zawarte w Dokumencie </w:t>
      </w:r>
      <w:r w:rsidRPr="00655FC7">
        <w:rPr>
          <w:rFonts w:cstheme="minorHAnsi"/>
          <w:i/>
        </w:rPr>
        <w:t xml:space="preserve">Zrównoważona Europa </w:t>
      </w:r>
      <w:r w:rsidRPr="00655FC7">
        <w:rPr>
          <w:rFonts w:cstheme="minorHAnsi"/>
        </w:rPr>
        <w:t>to:</w:t>
      </w:r>
    </w:p>
    <w:p w14:paraId="3B43C801" w14:textId="77777777" w:rsidR="00492D5F" w:rsidRPr="00655FC7" w:rsidRDefault="00492D5F">
      <w:pPr>
        <w:numPr>
          <w:ilvl w:val="0"/>
          <w:numId w:val="21"/>
        </w:numPr>
        <w:contextualSpacing/>
        <w:rPr>
          <w:rFonts w:cstheme="minorHAnsi"/>
        </w:rPr>
      </w:pPr>
      <w:r w:rsidRPr="00655FC7">
        <w:rPr>
          <w:rFonts w:cstheme="minorHAnsi"/>
        </w:rPr>
        <w:t>Co najmniej 40% redukcja emisji gazów cieplarnianych (od poziomów z 1990 r.);</w:t>
      </w:r>
    </w:p>
    <w:p w14:paraId="325CAF0F" w14:textId="77777777" w:rsidR="00492D5F" w:rsidRPr="00655FC7" w:rsidRDefault="00492D5F">
      <w:pPr>
        <w:numPr>
          <w:ilvl w:val="0"/>
          <w:numId w:val="21"/>
        </w:numPr>
        <w:contextualSpacing/>
        <w:rPr>
          <w:rFonts w:cstheme="minorHAnsi"/>
        </w:rPr>
      </w:pPr>
      <w:r w:rsidRPr="00655FC7">
        <w:rPr>
          <w:rFonts w:cstheme="minorHAnsi"/>
        </w:rPr>
        <w:t>Co najmniej 32% udział energii odnawialnej;</w:t>
      </w:r>
    </w:p>
    <w:p w14:paraId="28B4A8C5" w14:textId="77777777" w:rsidR="00492D5F" w:rsidRPr="00655FC7" w:rsidRDefault="00492D5F">
      <w:pPr>
        <w:numPr>
          <w:ilvl w:val="0"/>
          <w:numId w:val="21"/>
        </w:numPr>
        <w:spacing w:after="240"/>
        <w:contextualSpacing/>
        <w:rPr>
          <w:rFonts w:cstheme="minorHAnsi"/>
        </w:rPr>
      </w:pPr>
      <w:r w:rsidRPr="00655FC7">
        <w:rPr>
          <w:rFonts w:cstheme="minorHAnsi"/>
        </w:rPr>
        <w:t>Co najmniej 32,5% poprawa efektywności energetycznej.</w:t>
      </w:r>
    </w:p>
    <w:p w14:paraId="35BB4AA2" w14:textId="77777777" w:rsidR="00492D5F" w:rsidRPr="00655FC7" w:rsidRDefault="00492D5F" w:rsidP="00492D5F">
      <w:pPr>
        <w:tabs>
          <w:tab w:val="left" w:pos="3119"/>
        </w:tabs>
        <w:rPr>
          <w:rFonts w:cstheme="minorHAnsi"/>
          <w:color w:val="auto"/>
        </w:rPr>
      </w:pPr>
      <w:r w:rsidRPr="00655FC7">
        <w:rPr>
          <w:rFonts w:cstheme="minorHAnsi"/>
          <w:color w:val="auto"/>
        </w:rPr>
        <w:t>Działania adaptacyjne zaproponowane w Miejskim Planie Adaptacji do zmian klimatu spełnią również w części przypadków (tj. działania z zakresu odnawialnych źródeł energii) role mitygacyjne (łagodzenia zmian klimatu, redukcji gazów cieplarnianych itd.).</w:t>
      </w:r>
    </w:p>
    <w:p w14:paraId="6D2B041D" w14:textId="77777777" w:rsidR="00492D5F" w:rsidRPr="00655FC7" w:rsidRDefault="00492D5F" w:rsidP="00492D5F">
      <w:pPr>
        <w:rPr>
          <w:rFonts w:cstheme="minorHAnsi"/>
        </w:rPr>
      </w:pPr>
    </w:p>
    <w:p w14:paraId="2649AF84" w14:textId="77777777" w:rsidR="00492D5F" w:rsidRPr="00655FC7" w:rsidRDefault="00492D5F" w:rsidP="00761441">
      <w:pPr>
        <w:pStyle w:val="Nagwek3"/>
      </w:pPr>
      <w:bookmarkStart w:id="34" w:name="_Toc177732028"/>
      <w:r w:rsidRPr="00655FC7">
        <w:t>Dokumenty krajowe</w:t>
      </w:r>
      <w:bookmarkEnd w:id="34"/>
    </w:p>
    <w:p w14:paraId="73DF32D7" w14:textId="77777777" w:rsidR="00492D5F" w:rsidRPr="00655FC7" w:rsidRDefault="00492D5F">
      <w:pPr>
        <w:keepNext/>
        <w:keepLines/>
        <w:numPr>
          <w:ilvl w:val="3"/>
          <w:numId w:val="28"/>
        </w:numPr>
        <w:ind w:left="1146" w:hanging="862"/>
        <w:outlineLvl w:val="3"/>
        <w:rPr>
          <w:rFonts w:eastAsia="Times New Roman" w:cstheme="minorHAnsi"/>
          <w:b/>
          <w:bCs/>
          <w:i/>
          <w:iCs/>
          <w:color w:val="auto"/>
          <w:lang w:eastAsia="pl-PL"/>
        </w:rPr>
      </w:pPr>
      <w:r w:rsidRPr="00655FC7">
        <w:rPr>
          <w:rFonts w:eastAsia="Times New Roman" w:cstheme="minorHAnsi"/>
          <w:b/>
          <w:bCs/>
          <w:i/>
          <w:iCs/>
          <w:color w:val="auto"/>
          <w:lang w:eastAsia="pl-PL"/>
        </w:rPr>
        <w:t>Strategiczny Plan Adaptacji dla sektorów i obszarów wrażliwych na zmiany klimatu do roku 2020 z perspektywą do roku 2030 (SPA 2020)</w:t>
      </w:r>
    </w:p>
    <w:p w14:paraId="54AE64C8" w14:textId="696A8F93" w:rsidR="00492D5F" w:rsidRPr="00655FC7" w:rsidRDefault="00492D5F" w:rsidP="00492D5F">
      <w:pPr>
        <w:tabs>
          <w:tab w:val="left" w:pos="3119"/>
        </w:tabs>
        <w:rPr>
          <w:rFonts w:eastAsia="Times New Roman" w:cstheme="minorHAnsi"/>
          <w:color w:val="auto"/>
          <w:szCs w:val="20"/>
          <w:lang w:eastAsia="pl-PL"/>
        </w:rPr>
      </w:pPr>
      <w:r w:rsidRPr="00655FC7">
        <w:rPr>
          <w:rFonts w:eastAsia="Times New Roman" w:cstheme="minorHAnsi"/>
          <w:i/>
          <w:color w:val="auto"/>
          <w:szCs w:val="20"/>
          <w:lang w:eastAsia="pl-PL"/>
        </w:rPr>
        <w:t xml:space="preserve">Miejski Plan Adaptacji do zmian klimatu dla Miasta </w:t>
      </w:r>
      <w:r w:rsidR="003157E7" w:rsidRPr="00655FC7">
        <w:rPr>
          <w:rFonts w:eastAsia="Times New Roman" w:cstheme="minorHAnsi"/>
          <w:i/>
          <w:color w:val="auto"/>
          <w:szCs w:val="20"/>
          <w:lang w:eastAsia="pl-PL"/>
        </w:rPr>
        <w:t>Tarnogród</w:t>
      </w:r>
      <w:r w:rsidRPr="00655FC7">
        <w:rPr>
          <w:rFonts w:eastAsia="Times New Roman" w:cstheme="minorHAnsi"/>
          <w:i/>
          <w:color w:val="auto"/>
          <w:szCs w:val="20"/>
          <w:lang w:eastAsia="pl-PL"/>
        </w:rPr>
        <w:t xml:space="preserve"> </w:t>
      </w:r>
      <w:r w:rsidRPr="00655FC7">
        <w:rPr>
          <w:rFonts w:eastAsia="Times New Roman" w:cstheme="minorHAnsi"/>
          <w:color w:val="auto"/>
          <w:szCs w:val="20"/>
          <w:lang w:eastAsia="pl-PL"/>
        </w:rPr>
        <w:t xml:space="preserve">wynika z dokumentu: </w:t>
      </w:r>
      <w:r w:rsidRPr="00655FC7">
        <w:rPr>
          <w:rFonts w:eastAsia="Times New Roman" w:cstheme="minorHAnsi"/>
          <w:i/>
          <w:color w:val="auto"/>
          <w:szCs w:val="20"/>
          <w:lang w:eastAsia="pl-PL"/>
        </w:rPr>
        <w:t xml:space="preserve">Strategiczny Plan Adaptacji dla sektorów i obszarów wrażliwych na zmiany klimatu do roku 2020 z perspektywą do roku 2030 (SPA 2020). </w:t>
      </w:r>
      <w:r w:rsidRPr="00655FC7">
        <w:rPr>
          <w:rFonts w:eastAsia="Times New Roman" w:cstheme="minorHAnsi"/>
          <w:color w:val="auto"/>
          <w:szCs w:val="20"/>
          <w:lang w:eastAsia="pl-PL"/>
        </w:rPr>
        <w:t xml:space="preserve">Została w nim wykazana ogólna informacja na temat przewidywanych zmian klimatu dla Polski oraz potrzebę przedsięwzięcia kroków w celu adaptacji miast. </w:t>
      </w:r>
    </w:p>
    <w:p w14:paraId="415D1E1B" w14:textId="77777777" w:rsidR="00492D5F" w:rsidRPr="00655FC7" w:rsidRDefault="00492D5F" w:rsidP="00492D5F">
      <w:pPr>
        <w:rPr>
          <w:rFonts w:cstheme="minorHAnsi"/>
          <w:lang w:eastAsia="pl-PL"/>
        </w:rPr>
      </w:pPr>
    </w:p>
    <w:p w14:paraId="2C58B64B" w14:textId="77777777" w:rsidR="00492D5F" w:rsidRPr="00655FC7" w:rsidRDefault="00492D5F" w:rsidP="00492D5F">
      <w:pPr>
        <w:tabs>
          <w:tab w:val="left" w:pos="3119"/>
        </w:tabs>
        <w:rPr>
          <w:rFonts w:eastAsia="Times New Roman" w:cstheme="minorHAnsi"/>
          <w:color w:val="auto"/>
          <w:szCs w:val="20"/>
          <w:lang w:eastAsia="pl-PL"/>
        </w:rPr>
      </w:pPr>
      <w:r w:rsidRPr="00655FC7">
        <w:rPr>
          <w:rFonts w:eastAsia="Times New Roman" w:cstheme="minorHAnsi"/>
          <w:color w:val="auto"/>
          <w:szCs w:val="20"/>
          <w:lang w:eastAsia="pl-PL"/>
        </w:rPr>
        <w:t>Wśród wymienionych w SPA 2020 sektorów i obszarów najbardziej wrażliwych na zmiany klimatu znalazły się obszary zurbanizowane. Wynika to z dużej gęstości zaludnienia, znaczenia miast w rozwoju funkcji gospodarczych, politycznych, administracyjnych, kulturowych i społecznych całego państwa, a także występowania specyficznych zagrożeń miejskich. Dla obszarów zurbanizowanych szczególne zagrożenie stanowią zjawiska i procesy spowodowane zmianą temperatury, zjawiska ekstremalne (takie jak nawalne deszcze powodujące lokalne podtopienia, susza czy zaburzenia cyrkulacji powietrza powodujące wzmożoną koncentrację zanieczyszczeń).</w:t>
      </w:r>
    </w:p>
    <w:p w14:paraId="625635D5" w14:textId="77777777" w:rsidR="00492D5F" w:rsidRPr="00655FC7" w:rsidRDefault="00492D5F" w:rsidP="00492D5F">
      <w:pPr>
        <w:tabs>
          <w:tab w:val="left" w:pos="3119"/>
        </w:tabs>
        <w:rPr>
          <w:rFonts w:cstheme="minorHAnsi"/>
          <w:color w:val="auto"/>
        </w:rPr>
      </w:pPr>
    </w:p>
    <w:p w14:paraId="205C1D5F" w14:textId="6E54D559" w:rsidR="00492D5F" w:rsidRPr="00655FC7" w:rsidRDefault="00492D5F" w:rsidP="00492D5F">
      <w:pPr>
        <w:tabs>
          <w:tab w:val="left" w:pos="3119"/>
        </w:tabs>
        <w:rPr>
          <w:rFonts w:eastAsia="Times New Roman" w:cstheme="minorHAnsi"/>
          <w:color w:val="auto"/>
          <w:szCs w:val="20"/>
          <w:lang w:eastAsia="pl-PL"/>
        </w:rPr>
      </w:pPr>
      <w:r w:rsidRPr="00655FC7">
        <w:rPr>
          <w:rFonts w:eastAsia="Times New Roman" w:cstheme="minorHAnsi"/>
          <w:color w:val="auto"/>
          <w:szCs w:val="20"/>
          <w:lang w:eastAsia="pl-PL"/>
        </w:rPr>
        <w:t xml:space="preserve">SPA 2020 wypełnia zapisy </w:t>
      </w:r>
      <w:r w:rsidRPr="00655FC7">
        <w:rPr>
          <w:rFonts w:eastAsia="Times New Roman" w:cstheme="minorHAnsi"/>
          <w:i/>
          <w:color w:val="auto"/>
          <w:szCs w:val="20"/>
          <w:lang w:eastAsia="pl-PL"/>
        </w:rPr>
        <w:t xml:space="preserve">Białej księgi. Adaptacja do zmian klimatu: europejskie ramy działania. </w:t>
      </w:r>
      <w:r w:rsidRPr="00655FC7">
        <w:rPr>
          <w:rFonts w:eastAsia="Times New Roman" w:cstheme="minorHAnsi"/>
          <w:color w:val="auto"/>
          <w:szCs w:val="20"/>
          <w:lang w:eastAsia="pl-PL"/>
        </w:rPr>
        <w:t xml:space="preserve">Dokument ten jest odpowiedzią Unii Europejskiej na dokument </w:t>
      </w:r>
      <w:r w:rsidRPr="00655FC7">
        <w:rPr>
          <w:rFonts w:eastAsia="Times New Roman" w:cstheme="minorHAnsi"/>
          <w:i/>
          <w:color w:val="auto"/>
          <w:szCs w:val="20"/>
          <w:lang w:eastAsia="pl-PL"/>
        </w:rPr>
        <w:t xml:space="preserve">Program działań z Nairobi w sprawie oddziaływania, wrażliwości i adaptacji do zamian klimatu </w:t>
      </w:r>
      <w:r w:rsidRPr="00655FC7">
        <w:rPr>
          <w:rFonts w:eastAsia="Times New Roman" w:cstheme="minorHAnsi"/>
          <w:color w:val="auto"/>
          <w:szCs w:val="20"/>
          <w:lang w:eastAsia="pl-PL"/>
        </w:rPr>
        <w:t>przyjętego w 2006 r. podczas obrad Ramowej Konwencji Narodów Zjednoczonych w sprawie zmian klimatu (UNFCCC).</w:t>
      </w:r>
    </w:p>
    <w:p w14:paraId="08DF9C0F" w14:textId="77777777" w:rsidR="00492D5F" w:rsidRPr="00655FC7" w:rsidRDefault="00492D5F" w:rsidP="00492D5F">
      <w:pPr>
        <w:tabs>
          <w:tab w:val="left" w:pos="3119"/>
        </w:tabs>
        <w:rPr>
          <w:rFonts w:eastAsia="Times New Roman" w:cstheme="minorHAnsi"/>
          <w:color w:val="auto"/>
          <w:szCs w:val="20"/>
          <w:lang w:eastAsia="pl-PL"/>
        </w:rPr>
      </w:pPr>
    </w:p>
    <w:p w14:paraId="05729710" w14:textId="614E6C69" w:rsidR="00492D5F" w:rsidRPr="00655FC7" w:rsidRDefault="00492D5F" w:rsidP="00C20390">
      <w:pPr>
        <w:pStyle w:val="Nagwek4"/>
      </w:pPr>
      <w:r w:rsidRPr="00655FC7">
        <w:lastRenderedPageBreak/>
        <w:t>Strategia na rzecz Odpowiedzialnego Rozwoju</w:t>
      </w:r>
    </w:p>
    <w:p w14:paraId="1819E95A" w14:textId="77777777" w:rsidR="00492D5F" w:rsidRPr="00655FC7" w:rsidRDefault="00492D5F" w:rsidP="00492D5F">
      <w:pPr>
        <w:tabs>
          <w:tab w:val="left" w:pos="3119"/>
        </w:tabs>
        <w:rPr>
          <w:rFonts w:eastAsia="Times New Roman" w:cstheme="minorHAnsi"/>
          <w:color w:val="auto"/>
          <w:szCs w:val="20"/>
          <w:lang w:eastAsia="pl-PL"/>
        </w:rPr>
      </w:pPr>
      <w:r w:rsidRPr="00655FC7">
        <w:rPr>
          <w:rFonts w:eastAsia="Times New Roman" w:cstheme="minorHAnsi"/>
          <w:color w:val="auto"/>
          <w:szCs w:val="20"/>
          <w:lang w:eastAsia="pl-PL"/>
        </w:rPr>
        <w:t>W Strategii zawarto rekomendacje dla polityk publicznych. Stanowiła ona też podstawę dla zmian w systemie zarządzania rozwojem oraz aktualizacji lub sporządzenia nowych dokumentów strategicznych takich jak np. strategie zintegrowane i programy rozwoju.</w:t>
      </w:r>
    </w:p>
    <w:p w14:paraId="3519DF70" w14:textId="77777777" w:rsidR="00492D5F" w:rsidRPr="00655FC7" w:rsidRDefault="00492D5F" w:rsidP="00492D5F">
      <w:pPr>
        <w:tabs>
          <w:tab w:val="left" w:pos="3119"/>
        </w:tabs>
        <w:rPr>
          <w:rFonts w:eastAsia="Times New Roman" w:cstheme="minorHAnsi"/>
          <w:color w:val="auto"/>
          <w:szCs w:val="20"/>
          <w:lang w:eastAsia="pl-PL"/>
        </w:rPr>
      </w:pPr>
    </w:p>
    <w:p w14:paraId="3C9D98F0" w14:textId="18A1F0B5" w:rsidR="00492D5F" w:rsidRPr="00655FC7" w:rsidRDefault="00492D5F" w:rsidP="00492D5F">
      <w:pPr>
        <w:tabs>
          <w:tab w:val="left" w:pos="3119"/>
        </w:tabs>
        <w:rPr>
          <w:rFonts w:eastAsia="Times New Roman" w:cstheme="minorHAnsi"/>
          <w:color w:val="auto"/>
          <w:szCs w:val="20"/>
          <w:lang w:eastAsia="pl-PL"/>
        </w:rPr>
      </w:pPr>
      <w:r w:rsidRPr="00655FC7">
        <w:rPr>
          <w:rFonts w:eastAsia="Times New Roman" w:cstheme="minorHAnsi"/>
          <w:color w:val="auto"/>
          <w:szCs w:val="20"/>
          <w:lang w:eastAsia="pl-PL"/>
        </w:rPr>
        <w:t>Strategia określa podstawowe uwarunkowania, cele i kierunki rozwoju kraju w wymiarze społecznym, gospodarczym, regionalnym i przestrzennym w perspektywie roku 2030. SOR przedstawia nowy model rozwoju – rozwój odpowiedzialny oraz społecznie i terytorialnie zrównoważony. Jest on oparty o indywidualny potencjał terytorialny, inwestycje, innowacje, rozwój, eksport oraz wysoko przetworzone produkty. Nowy model rozwoju zakłada odchodzenie od dotychczasowego wspierania wszystkich sektorów/branż na rzecz wspierania sektorów strategicznych, mogących stać się motorami polskiej gospodarki. Jego fundamentalnym wyzwaniem jest przebudowanie modelu gospodarczego tak, żeby służył on całemu społeczeństwu</w:t>
      </w:r>
      <w:r w:rsidRPr="00655FC7">
        <w:rPr>
          <w:rFonts w:eastAsia="Times New Roman" w:cstheme="minorHAnsi"/>
          <w:color w:val="auto"/>
          <w:szCs w:val="20"/>
          <w:vertAlign w:val="superscript"/>
          <w:lang w:eastAsia="pl-PL"/>
        </w:rPr>
        <w:footnoteReference w:id="4"/>
      </w:r>
      <w:r w:rsidRPr="00655FC7">
        <w:rPr>
          <w:rFonts w:eastAsia="Times New Roman" w:cstheme="minorHAnsi"/>
          <w:color w:val="auto"/>
          <w:szCs w:val="20"/>
          <w:lang w:eastAsia="pl-PL"/>
        </w:rPr>
        <w:t>.</w:t>
      </w:r>
    </w:p>
    <w:p w14:paraId="7B3AC87A" w14:textId="77777777" w:rsidR="00492D5F" w:rsidRPr="00655FC7" w:rsidRDefault="00492D5F" w:rsidP="00492D5F">
      <w:pPr>
        <w:tabs>
          <w:tab w:val="left" w:pos="3119"/>
        </w:tabs>
        <w:ind w:left="720" w:firstLine="0"/>
        <w:contextualSpacing/>
        <w:rPr>
          <w:rFonts w:eastAsia="Times New Roman" w:cstheme="minorHAnsi"/>
          <w:color w:val="auto"/>
          <w:szCs w:val="20"/>
          <w:lang w:eastAsia="pl-PL"/>
        </w:rPr>
      </w:pPr>
    </w:p>
    <w:p w14:paraId="1929EF67" w14:textId="01AAF7CF" w:rsidR="00492D5F" w:rsidRPr="00655FC7" w:rsidRDefault="00492D5F" w:rsidP="00C20390">
      <w:pPr>
        <w:pStyle w:val="Nagwek4"/>
        <w:rPr>
          <w:rFonts w:eastAsia="Times New Roman"/>
        </w:rPr>
      </w:pPr>
      <w:r w:rsidRPr="00655FC7">
        <w:rPr>
          <w:rFonts w:eastAsia="Times New Roman"/>
        </w:rPr>
        <w:t>Krajowa Polityka Miejska 2030</w:t>
      </w:r>
    </w:p>
    <w:p w14:paraId="78D1F84A" w14:textId="77777777" w:rsidR="00492D5F" w:rsidRPr="00655FC7" w:rsidRDefault="00492D5F" w:rsidP="00492D5F">
      <w:pPr>
        <w:tabs>
          <w:tab w:val="left" w:pos="3119"/>
        </w:tabs>
        <w:rPr>
          <w:rFonts w:cstheme="minorHAnsi"/>
          <w:color w:val="auto"/>
        </w:rPr>
      </w:pPr>
      <w:r w:rsidRPr="00655FC7">
        <w:rPr>
          <w:rFonts w:cstheme="minorHAnsi"/>
          <w:color w:val="auto"/>
        </w:rPr>
        <w:t>Dokument diagnozuje najważniejsze wyzwania rozwojowe miast i ich obszarów funkcjonalnych. Zakres tematyczny wyzwań wpisuje się jednocześnie w debatę europejską i megatrendy rozwoju obszarów zurbanizowanych, których bieżąca analiza pozwala lepiej planować przyszłe działania.</w:t>
      </w:r>
    </w:p>
    <w:p w14:paraId="2A2F1FBA" w14:textId="77777777" w:rsidR="00492D5F" w:rsidRPr="00655FC7" w:rsidRDefault="00492D5F" w:rsidP="00492D5F">
      <w:pPr>
        <w:tabs>
          <w:tab w:val="left" w:pos="3119"/>
        </w:tabs>
        <w:rPr>
          <w:rFonts w:cstheme="minorHAnsi"/>
          <w:color w:val="auto"/>
        </w:rPr>
      </w:pPr>
    </w:p>
    <w:p w14:paraId="6CE0EB2C" w14:textId="77777777" w:rsidR="00492D5F" w:rsidRPr="00655FC7" w:rsidRDefault="00492D5F" w:rsidP="00492D5F">
      <w:pPr>
        <w:tabs>
          <w:tab w:val="left" w:pos="3119"/>
        </w:tabs>
        <w:rPr>
          <w:rFonts w:cstheme="minorHAnsi"/>
          <w:color w:val="auto"/>
        </w:rPr>
      </w:pPr>
      <w:r w:rsidRPr="00655FC7">
        <w:rPr>
          <w:rFonts w:cstheme="minorHAnsi"/>
          <w:color w:val="auto"/>
        </w:rPr>
        <w:t>KPM 2030 formułuje rozwiązania i określa planowane działania administracji rządowej w zakresie prawnym, finansowym oraz organizacyjnym na rzecz zrównoważonego rozwoju miast i miejskich obszarów funkcjonalnych. Dokument jest jednocześnie służebny wobec władz samorządowych i społeczności lokalnych – wyposaża je w narzędzia i możliwości do sprawczego działania</w:t>
      </w:r>
      <w:r w:rsidRPr="00655FC7">
        <w:rPr>
          <w:rFonts w:cstheme="minorHAnsi"/>
          <w:color w:val="auto"/>
          <w:vertAlign w:val="superscript"/>
        </w:rPr>
        <w:footnoteReference w:id="5"/>
      </w:r>
      <w:r w:rsidRPr="00655FC7">
        <w:rPr>
          <w:rFonts w:cstheme="minorHAnsi"/>
          <w:color w:val="auto"/>
        </w:rPr>
        <w:t>.</w:t>
      </w:r>
    </w:p>
    <w:p w14:paraId="0BAAF791" w14:textId="77777777" w:rsidR="00492D5F" w:rsidRPr="00655FC7" w:rsidRDefault="00492D5F" w:rsidP="00492D5F">
      <w:pPr>
        <w:tabs>
          <w:tab w:val="left" w:pos="3119"/>
        </w:tabs>
        <w:rPr>
          <w:rFonts w:cstheme="minorHAnsi"/>
          <w:color w:val="auto"/>
        </w:rPr>
      </w:pPr>
    </w:p>
    <w:p w14:paraId="38E81D77" w14:textId="77777777" w:rsidR="00492D5F" w:rsidRPr="00655FC7" w:rsidRDefault="00492D5F" w:rsidP="00C20390">
      <w:pPr>
        <w:pStyle w:val="Nagwek4"/>
        <w:rPr>
          <w:rFonts w:eastAsia="Times New Roman"/>
        </w:rPr>
      </w:pPr>
      <w:r w:rsidRPr="00655FC7">
        <w:rPr>
          <w:rFonts w:eastAsia="Times New Roman"/>
        </w:rPr>
        <w:t>Krajowy plan na rzecz energii i klimatu na lata 2021-2030</w:t>
      </w:r>
    </w:p>
    <w:p w14:paraId="3BBF2304" w14:textId="77777777" w:rsidR="00492D5F" w:rsidRPr="00655FC7" w:rsidRDefault="00492D5F" w:rsidP="00492D5F">
      <w:pPr>
        <w:ind w:firstLine="0"/>
        <w:rPr>
          <w:rFonts w:eastAsia="Times New Roman" w:cstheme="minorHAnsi"/>
          <w:color w:val="auto"/>
          <w:szCs w:val="24"/>
          <w:lang w:eastAsia="pl-PL"/>
        </w:rPr>
      </w:pPr>
      <w:r w:rsidRPr="00655FC7">
        <w:rPr>
          <w:rFonts w:eastAsia="Times New Roman" w:cstheme="minorHAnsi"/>
          <w:color w:val="auto"/>
          <w:szCs w:val="24"/>
          <w:lang w:eastAsia="pl-PL"/>
        </w:rPr>
        <w:t>Krajowy plan na rzecz energii i klimatu na lata 2021-2030 wyznacza następujące cele klimatyczno-energetyczne na 2030 r.:</w:t>
      </w:r>
    </w:p>
    <w:p w14:paraId="2EAF208E" w14:textId="77777777" w:rsidR="00492D5F" w:rsidRPr="00655FC7" w:rsidRDefault="00492D5F">
      <w:pPr>
        <w:numPr>
          <w:ilvl w:val="0"/>
          <w:numId w:val="4"/>
        </w:numPr>
        <w:ind w:left="567"/>
        <w:contextualSpacing/>
        <w:rPr>
          <w:rFonts w:cstheme="minorHAnsi"/>
        </w:rPr>
      </w:pPr>
      <w:r w:rsidRPr="00655FC7">
        <w:rPr>
          <w:rFonts w:cstheme="minorHAnsi"/>
        </w:rPr>
        <w:t>7% redukcji emisji gazów cieplarnianych w sektorach nieobjętych systemem ETS w porównaniu do poziomu w roku 2005,</w:t>
      </w:r>
    </w:p>
    <w:p w14:paraId="0F80A1BC" w14:textId="77777777" w:rsidR="00492D5F" w:rsidRPr="00655FC7" w:rsidRDefault="00492D5F">
      <w:pPr>
        <w:numPr>
          <w:ilvl w:val="0"/>
          <w:numId w:val="4"/>
        </w:numPr>
        <w:ind w:left="567"/>
        <w:contextualSpacing/>
        <w:rPr>
          <w:rFonts w:cstheme="minorHAnsi"/>
        </w:rPr>
      </w:pPr>
      <w:r w:rsidRPr="00655FC7">
        <w:rPr>
          <w:rFonts w:cstheme="minorHAnsi"/>
        </w:rPr>
        <w:t>21-23% udziału OZE w finalnym zużyciu energii brutto (cel 23% będzie możliwy do osiągnięcia w sytuacji przyznania Polsce dodatkowych środków unijnych, w tym przeznaczonych na sprawiedliwą transformację), uwzględniając:</w:t>
      </w:r>
    </w:p>
    <w:p w14:paraId="54C95AF9" w14:textId="77777777" w:rsidR="00492D5F" w:rsidRPr="00655FC7" w:rsidRDefault="00492D5F">
      <w:pPr>
        <w:numPr>
          <w:ilvl w:val="1"/>
          <w:numId w:val="4"/>
        </w:numPr>
        <w:contextualSpacing/>
        <w:rPr>
          <w:rFonts w:cstheme="minorHAnsi"/>
        </w:rPr>
      </w:pPr>
      <w:r w:rsidRPr="00655FC7">
        <w:rPr>
          <w:rFonts w:cstheme="minorHAnsi"/>
        </w:rPr>
        <w:t>14% udziału OZE w transporcie,</w:t>
      </w:r>
    </w:p>
    <w:p w14:paraId="4BB3ECB4" w14:textId="77777777" w:rsidR="00492D5F" w:rsidRPr="00655FC7" w:rsidRDefault="00492D5F">
      <w:pPr>
        <w:numPr>
          <w:ilvl w:val="1"/>
          <w:numId w:val="4"/>
        </w:numPr>
        <w:contextualSpacing/>
        <w:rPr>
          <w:rFonts w:cstheme="minorHAnsi"/>
        </w:rPr>
      </w:pPr>
      <w:r w:rsidRPr="00655FC7">
        <w:rPr>
          <w:rFonts w:cstheme="minorHAnsi"/>
        </w:rPr>
        <w:t>roczny wzrost udziału OZE w ciepłownictwie i chłodnictwie o 1,1 pkt. proc. średniorocznie,</w:t>
      </w:r>
    </w:p>
    <w:p w14:paraId="508CA4F5" w14:textId="77777777" w:rsidR="00492D5F" w:rsidRPr="00655FC7" w:rsidRDefault="00492D5F">
      <w:pPr>
        <w:numPr>
          <w:ilvl w:val="0"/>
          <w:numId w:val="23"/>
        </w:numPr>
        <w:contextualSpacing/>
        <w:rPr>
          <w:rFonts w:cstheme="minorHAnsi"/>
        </w:rPr>
      </w:pPr>
      <w:r w:rsidRPr="00655FC7">
        <w:rPr>
          <w:rFonts w:cstheme="minorHAnsi"/>
        </w:rPr>
        <w:t>wzrost efektywności energetycznej o 23% w porównaniu z prognozami PRIMES2007,</w:t>
      </w:r>
    </w:p>
    <w:p w14:paraId="3EA1369A" w14:textId="77777777" w:rsidR="00492D5F" w:rsidRPr="00655FC7" w:rsidRDefault="00492D5F">
      <w:pPr>
        <w:numPr>
          <w:ilvl w:val="0"/>
          <w:numId w:val="23"/>
        </w:numPr>
        <w:contextualSpacing/>
        <w:rPr>
          <w:rFonts w:cstheme="minorHAnsi"/>
        </w:rPr>
      </w:pPr>
      <w:r w:rsidRPr="00655FC7">
        <w:rPr>
          <w:rFonts w:cstheme="minorHAnsi"/>
        </w:rPr>
        <w:t>redukcję do 56-60% udziału węgla w produkcji energii elektrycznej.</w:t>
      </w:r>
    </w:p>
    <w:p w14:paraId="49B8857D" w14:textId="77777777" w:rsidR="00492D5F" w:rsidRPr="00655FC7" w:rsidRDefault="00492D5F" w:rsidP="00492D5F">
      <w:pPr>
        <w:contextualSpacing/>
        <w:rPr>
          <w:rFonts w:cstheme="minorHAnsi"/>
        </w:rPr>
      </w:pPr>
    </w:p>
    <w:p w14:paraId="6DED05F2" w14:textId="77777777" w:rsidR="00492D5F" w:rsidRPr="00655FC7" w:rsidRDefault="00492D5F" w:rsidP="00C20390">
      <w:pPr>
        <w:pStyle w:val="Nagwek4"/>
      </w:pPr>
      <w:r w:rsidRPr="00655FC7">
        <w:t>Długookresowa Strategia Rozwoju Kraju. Polska 2030. Trzecia Fala Nowoczesności</w:t>
      </w:r>
    </w:p>
    <w:p w14:paraId="3909FD67" w14:textId="77777777" w:rsidR="00492D5F" w:rsidRPr="00655FC7" w:rsidRDefault="00492D5F" w:rsidP="00492D5F">
      <w:pPr>
        <w:rPr>
          <w:rFonts w:cstheme="minorHAnsi"/>
          <w:color w:val="auto"/>
          <w:shd w:val="clear" w:color="auto" w:fill="FFFFFF"/>
        </w:rPr>
      </w:pPr>
      <w:r w:rsidRPr="00655FC7">
        <w:rPr>
          <w:rFonts w:cstheme="minorHAnsi"/>
          <w:color w:val="auto"/>
          <w:shd w:val="clear" w:color="auto" w:fill="FFFFFF"/>
        </w:rPr>
        <w:t xml:space="preserve">Wśród celów </w:t>
      </w:r>
      <w:r w:rsidRPr="00655FC7">
        <w:rPr>
          <w:rFonts w:cstheme="minorHAnsi"/>
          <w:i/>
          <w:color w:val="auto"/>
          <w:shd w:val="clear" w:color="auto" w:fill="FFFFFF"/>
        </w:rPr>
        <w:t xml:space="preserve">Długookresowej Strategii Rozwoju Kraju Polska 2030 </w:t>
      </w:r>
      <w:r w:rsidRPr="00655FC7">
        <w:rPr>
          <w:rFonts w:cstheme="minorHAnsi"/>
          <w:color w:val="auto"/>
          <w:shd w:val="clear" w:color="auto" w:fill="FFFFFF"/>
        </w:rPr>
        <w:t>można wymienić m.in</w:t>
      </w:r>
      <w:r w:rsidRPr="00655FC7">
        <w:rPr>
          <w:rFonts w:cstheme="minorHAnsi"/>
          <w:i/>
          <w:color w:val="auto"/>
          <w:shd w:val="clear" w:color="auto" w:fill="FFFFFF"/>
        </w:rPr>
        <w:t xml:space="preserve">. </w:t>
      </w:r>
      <w:r w:rsidRPr="00655FC7">
        <w:rPr>
          <w:rFonts w:cstheme="minorHAnsi"/>
          <w:color w:val="auto"/>
          <w:shd w:val="clear" w:color="auto" w:fill="FFFFFF"/>
        </w:rPr>
        <w:t xml:space="preserve">„Zapewnienie bezpieczeństwa energetycznego oraz ochrona i poprawa stanu środowiska” (cel 7) oraz </w:t>
      </w:r>
      <w:r w:rsidRPr="00655FC7">
        <w:rPr>
          <w:rFonts w:cstheme="minorHAnsi"/>
          <w:color w:val="auto"/>
          <w:shd w:val="clear" w:color="auto" w:fill="FFFFFF"/>
        </w:rPr>
        <w:lastRenderedPageBreak/>
        <w:t>„Wzmocnienie mechanizmów terytorialnego równoważenia rozwoju dla rozwijania i pełnego wykorzystania potencjałów regionalnych” (cel 8). Działania te są również przedmiotem Miejskiego Planu Adaptacji do zmian klimatu.</w:t>
      </w:r>
    </w:p>
    <w:p w14:paraId="4F4B2A77" w14:textId="77777777" w:rsidR="00492D5F" w:rsidRPr="00655FC7" w:rsidRDefault="00492D5F" w:rsidP="00492D5F">
      <w:pPr>
        <w:rPr>
          <w:rFonts w:cstheme="minorHAnsi"/>
          <w:color w:val="auto"/>
          <w:shd w:val="clear" w:color="auto" w:fill="FFFFFF"/>
        </w:rPr>
      </w:pPr>
    </w:p>
    <w:p w14:paraId="11A8ED1A" w14:textId="77777777" w:rsidR="00492D5F" w:rsidRPr="00655FC7" w:rsidRDefault="00492D5F" w:rsidP="00C20390">
      <w:pPr>
        <w:pStyle w:val="Nagwek4"/>
        <w:rPr>
          <w:rFonts w:eastAsia="Times New Roman"/>
        </w:rPr>
      </w:pPr>
      <w:r w:rsidRPr="00655FC7">
        <w:rPr>
          <w:rFonts w:eastAsia="Times New Roman"/>
        </w:rPr>
        <w:t>Polityka ekologiczna państwa 2030</w:t>
      </w:r>
    </w:p>
    <w:p w14:paraId="189CB811" w14:textId="77777777" w:rsidR="00492D5F" w:rsidRPr="00655FC7" w:rsidRDefault="00492D5F" w:rsidP="00492D5F">
      <w:pPr>
        <w:rPr>
          <w:rFonts w:eastAsia="Times New Roman" w:cstheme="minorHAnsi"/>
          <w:color w:val="auto"/>
          <w:szCs w:val="24"/>
          <w:lang w:eastAsia="pl-PL"/>
        </w:rPr>
      </w:pPr>
      <w:r w:rsidRPr="00655FC7">
        <w:rPr>
          <w:rFonts w:eastAsia="Times New Roman" w:cstheme="minorHAnsi"/>
          <w:color w:val="auto"/>
          <w:szCs w:val="24"/>
          <w:lang w:eastAsia="pl-PL"/>
        </w:rPr>
        <w:t>W systemie dokumentów strategicznych PEP2030 stanowi doprecyzowanie i operacjonalizację zapisów Strategii na rzecz Odpowiedzialnego Rozwoju do roku 2020 (z perspektywą do 2030 r.). W związku z powyższym, cel główny PEP2030, tj. rozwój potencjału środowiska na rzecz obywateli i przedsiębiorców, został przeniesiony wprost ze Strategii na rzecz Odpowiedzialnego Rozwoju do roku 2020 (z perspektywą do 2030 r.) i jest on również przedmiotem rozważań Miejskiego Planu Adaptacji do zmian klimatu.</w:t>
      </w:r>
    </w:p>
    <w:p w14:paraId="4F4E31CD" w14:textId="77777777" w:rsidR="00492D5F" w:rsidRPr="00655FC7" w:rsidRDefault="00492D5F" w:rsidP="00492D5F">
      <w:pPr>
        <w:rPr>
          <w:rFonts w:cstheme="minorHAnsi"/>
          <w:color w:val="auto"/>
          <w:shd w:val="clear" w:color="auto" w:fill="FFFFFF"/>
        </w:rPr>
      </w:pPr>
    </w:p>
    <w:p w14:paraId="05D96635" w14:textId="77777777" w:rsidR="00492D5F" w:rsidRPr="00655FC7" w:rsidRDefault="00492D5F" w:rsidP="00C20390">
      <w:pPr>
        <w:pStyle w:val="Nagwek4"/>
        <w:rPr>
          <w:rFonts w:eastAsia="Times New Roman"/>
        </w:rPr>
      </w:pPr>
      <w:r w:rsidRPr="00655FC7">
        <w:rPr>
          <w:rFonts w:eastAsia="Times New Roman"/>
        </w:rPr>
        <w:t>Strategia „Sprawne i Nowoczesne Państwo 2030”</w:t>
      </w:r>
    </w:p>
    <w:p w14:paraId="0032C5D7" w14:textId="6968C5DF" w:rsidR="00492D5F" w:rsidRPr="00655FC7" w:rsidRDefault="00492D5F" w:rsidP="00492D5F">
      <w:pPr>
        <w:rPr>
          <w:rFonts w:eastAsia="Times New Roman" w:cstheme="minorHAnsi"/>
          <w:color w:val="auto"/>
          <w:szCs w:val="24"/>
          <w:lang w:eastAsia="pl-PL"/>
        </w:rPr>
      </w:pPr>
      <w:r w:rsidRPr="00655FC7">
        <w:rPr>
          <w:rFonts w:eastAsia="Times New Roman" w:cstheme="minorHAnsi"/>
          <w:color w:val="auto"/>
          <w:szCs w:val="24"/>
          <w:lang w:eastAsia="pl-PL"/>
        </w:rPr>
        <w:t>Strategia jest dokumentem, którego głównego celem jest sprawne i nowoczesne państwo służące obywatelom, środowisku oraz gospodarce, który wpisuje się w działania realizujące cel szczegółowy III SOR: Skuteczne państwo i instytucje służące wzrostowi oraz włączeniu społecznemu i gospodarczemu. Zagadnienia te zajmują również istotne miejsce w Miejskim Planie Adaptacj</w:t>
      </w:r>
      <w:r w:rsidR="00A96C7A" w:rsidRPr="00655FC7">
        <w:rPr>
          <w:rFonts w:eastAsia="Times New Roman" w:cstheme="minorHAnsi"/>
          <w:color w:val="auto"/>
          <w:szCs w:val="24"/>
          <w:lang w:eastAsia="pl-PL"/>
        </w:rPr>
        <w:t>i</w:t>
      </w:r>
      <w:r w:rsidRPr="00655FC7">
        <w:rPr>
          <w:rFonts w:eastAsia="Times New Roman" w:cstheme="minorHAnsi"/>
          <w:color w:val="auto"/>
          <w:szCs w:val="24"/>
          <w:lang w:eastAsia="pl-PL"/>
        </w:rPr>
        <w:t xml:space="preserve"> do zmian klimatu.</w:t>
      </w:r>
    </w:p>
    <w:p w14:paraId="36DC80A1" w14:textId="77777777" w:rsidR="00492D5F" w:rsidRPr="00655FC7" w:rsidRDefault="00492D5F" w:rsidP="00492D5F">
      <w:pPr>
        <w:rPr>
          <w:rFonts w:eastAsia="Times New Roman" w:cstheme="minorHAnsi"/>
          <w:color w:val="auto"/>
          <w:szCs w:val="24"/>
          <w:lang w:eastAsia="pl-PL"/>
        </w:rPr>
      </w:pPr>
    </w:p>
    <w:p w14:paraId="443F6AD2" w14:textId="77777777" w:rsidR="00492D5F" w:rsidRPr="00655FC7" w:rsidRDefault="00492D5F" w:rsidP="00C20390">
      <w:pPr>
        <w:pStyle w:val="Nagwek4"/>
        <w:rPr>
          <w:rFonts w:eastAsia="Times New Roman"/>
        </w:rPr>
      </w:pPr>
      <w:r w:rsidRPr="00655FC7">
        <w:rPr>
          <w:rFonts w:eastAsia="Times New Roman"/>
        </w:rPr>
        <w:t>Strategia Zrównoważonego Rozwoju Transportu do 2030 roku</w:t>
      </w:r>
    </w:p>
    <w:p w14:paraId="4FF1C358" w14:textId="77777777" w:rsidR="00492D5F" w:rsidRPr="00655FC7" w:rsidRDefault="00492D5F" w:rsidP="00492D5F">
      <w:pPr>
        <w:spacing w:line="240" w:lineRule="auto"/>
        <w:contextualSpacing/>
        <w:rPr>
          <w:rFonts w:cstheme="minorHAnsi"/>
        </w:rPr>
      </w:pPr>
      <w:r w:rsidRPr="00655FC7">
        <w:rPr>
          <w:rFonts w:cstheme="minorHAnsi"/>
        </w:rPr>
        <w:t>Wśród kierunków interwencji Strategii Zrównoważonego Rozwoju Transportu mających połączenie z Miejskim Planem Adaptacja do zmian klimatu należy wymienić przede wszystkim:</w:t>
      </w:r>
    </w:p>
    <w:p w14:paraId="08DFE4A2" w14:textId="77777777" w:rsidR="00492D5F" w:rsidRPr="00655FC7" w:rsidRDefault="00492D5F">
      <w:pPr>
        <w:numPr>
          <w:ilvl w:val="0"/>
          <w:numId w:val="22"/>
        </w:numPr>
        <w:spacing w:line="240" w:lineRule="auto"/>
        <w:contextualSpacing/>
        <w:rPr>
          <w:rFonts w:cstheme="minorHAnsi"/>
        </w:rPr>
      </w:pPr>
      <w:r w:rsidRPr="00655FC7">
        <w:rPr>
          <w:rFonts w:cstheme="minorHAnsi"/>
        </w:rPr>
        <w:t>Kierunek interwencji 3: zmiany w indywidualnej i zbiorowej mobilności.</w:t>
      </w:r>
    </w:p>
    <w:p w14:paraId="1052D047" w14:textId="77777777" w:rsidR="00492D5F" w:rsidRPr="00655FC7" w:rsidRDefault="00492D5F">
      <w:pPr>
        <w:numPr>
          <w:ilvl w:val="0"/>
          <w:numId w:val="22"/>
        </w:numPr>
        <w:contextualSpacing/>
        <w:rPr>
          <w:rFonts w:cstheme="minorHAnsi"/>
          <w:color w:val="auto"/>
          <w:shd w:val="clear" w:color="auto" w:fill="FFFFFF"/>
        </w:rPr>
      </w:pPr>
      <w:r w:rsidRPr="00655FC7">
        <w:rPr>
          <w:rFonts w:eastAsia="Times New Roman" w:cstheme="minorHAnsi"/>
          <w:color w:val="auto"/>
          <w:szCs w:val="24"/>
          <w:lang w:eastAsia="pl-PL"/>
        </w:rPr>
        <w:t>Kierunek interwencji 5: ograniczanie negatywnego wpływu transportu na środowisko.</w:t>
      </w:r>
    </w:p>
    <w:p w14:paraId="540CFAD3" w14:textId="77777777" w:rsidR="00492D5F" w:rsidRPr="00655FC7" w:rsidRDefault="00492D5F" w:rsidP="00492D5F">
      <w:pPr>
        <w:rPr>
          <w:rFonts w:cstheme="minorHAnsi"/>
          <w:color w:val="auto"/>
          <w:shd w:val="clear" w:color="auto" w:fill="FFFFFF"/>
        </w:rPr>
      </w:pPr>
    </w:p>
    <w:p w14:paraId="2DF90884" w14:textId="77777777" w:rsidR="00492D5F" w:rsidRPr="00655FC7" w:rsidRDefault="00492D5F" w:rsidP="00C20390">
      <w:pPr>
        <w:pStyle w:val="Nagwek4"/>
        <w:rPr>
          <w:shd w:val="clear" w:color="auto" w:fill="FFFFFF"/>
        </w:rPr>
      </w:pPr>
      <w:r w:rsidRPr="00655FC7">
        <w:rPr>
          <w:shd w:val="clear" w:color="auto" w:fill="FFFFFF"/>
        </w:rPr>
        <w:t>Krajowa Strategia Rozwoju Regionalnego 2030</w:t>
      </w:r>
    </w:p>
    <w:p w14:paraId="45C86CDF" w14:textId="77777777" w:rsidR="00492D5F" w:rsidRPr="00655FC7" w:rsidRDefault="00492D5F" w:rsidP="00492D5F">
      <w:pPr>
        <w:rPr>
          <w:rFonts w:cstheme="minorHAnsi"/>
          <w:color w:val="auto"/>
          <w:shd w:val="clear" w:color="auto" w:fill="FFFFFF"/>
        </w:rPr>
      </w:pPr>
      <w:r w:rsidRPr="00655FC7">
        <w:rPr>
          <w:rFonts w:cstheme="minorHAnsi"/>
          <w:color w:val="auto"/>
          <w:shd w:val="clear" w:color="auto" w:fill="FFFFFF"/>
        </w:rPr>
        <w:t>Krajowa Strategia Rozwoju Regionalnego 2030 wyznacza m.in. następujące cele mające odniesienie do adaptacji do zmian klimatu:</w:t>
      </w:r>
    </w:p>
    <w:p w14:paraId="35057457" w14:textId="77777777" w:rsidR="00492D5F" w:rsidRPr="00655FC7" w:rsidRDefault="00492D5F" w:rsidP="00492D5F">
      <w:pPr>
        <w:rPr>
          <w:rFonts w:cstheme="minorHAnsi"/>
          <w:color w:val="auto"/>
          <w:shd w:val="clear" w:color="auto" w:fill="FFFFFF"/>
        </w:rPr>
      </w:pPr>
      <w:r w:rsidRPr="00655FC7">
        <w:rPr>
          <w:rFonts w:cstheme="minorHAnsi"/>
          <w:color w:val="auto"/>
          <w:shd w:val="clear" w:color="auto" w:fill="FFFFFF"/>
        </w:rPr>
        <w:t>Cel 1. Zwiększenie spójności rozwoju kraju w wymiarze społecznym, gospodarczym, środowiskowym i przestrzennym</w:t>
      </w:r>
    </w:p>
    <w:p w14:paraId="2D4CF277" w14:textId="77777777" w:rsidR="00492D5F" w:rsidRPr="00655FC7" w:rsidRDefault="00492D5F" w:rsidP="00492D5F">
      <w:pPr>
        <w:rPr>
          <w:rFonts w:cstheme="minorHAnsi"/>
          <w:color w:val="auto"/>
          <w:shd w:val="clear" w:color="auto" w:fill="FFFFFF"/>
        </w:rPr>
      </w:pPr>
      <w:r w:rsidRPr="00655FC7">
        <w:rPr>
          <w:rFonts w:cstheme="minorHAnsi"/>
          <w:color w:val="auto"/>
          <w:shd w:val="clear" w:color="auto" w:fill="FFFFFF"/>
        </w:rPr>
        <w:t>Cel 2. Wzmacnianie regionalnych przewag konkurencyjnych</w:t>
      </w:r>
    </w:p>
    <w:p w14:paraId="7BFE964B" w14:textId="77777777" w:rsidR="00492D5F" w:rsidRPr="00655FC7" w:rsidRDefault="00492D5F" w:rsidP="00492D5F">
      <w:pPr>
        <w:rPr>
          <w:rFonts w:cstheme="minorHAnsi"/>
          <w:color w:val="auto"/>
          <w:shd w:val="clear" w:color="auto" w:fill="FFFFFF"/>
        </w:rPr>
      </w:pPr>
    </w:p>
    <w:p w14:paraId="70D8BDFE" w14:textId="77777777" w:rsidR="00492D5F" w:rsidRPr="00655FC7" w:rsidRDefault="00492D5F" w:rsidP="00C20390">
      <w:pPr>
        <w:pStyle w:val="Nagwek4"/>
        <w:rPr>
          <w:rFonts w:eastAsia="Times New Roman"/>
        </w:rPr>
      </w:pPr>
      <w:bookmarkStart w:id="35" w:name="_Toc427756409"/>
      <w:bookmarkStart w:id="36" w:name="_Toc427833883"/>
      <w:bookmarkStart w:id="37" w:name="_Toc428441736"/>
      <w:bookmarkStart w:id="38" w:name="_Toc432077749"/>
      <w:bookmarkStart w:id="39" w:name="_Toc432495661"/>
      <w:r w:rsidRPr="00655FC7">
        <w:rPr>
          <w:rFonts w:eastAsia="Times New Roman"/>
        </w:rPr>
        <w:t xml:space="preserve"> Polityka energetyczna Polski do 2040 roku</w:t>
      </w:r>
      <w:bookmarkEnd w:id="35"/>
      <w:bookmarkEnd w:id="36"/>
      <w:bookmarkEnd w:id="37"/>
      <w:bookmarkEnd w:id="38"/>
      <w:bookmarkEnd w:id="39"/>
    </w:p>
    <w:p w14:paraId="45FDB821" w14:textId="77777777" w:rsidR="00492D5F" w:rsidRPr="00655FC7" w:rsidRDefault="00492D5F" w:rsidP="00492D5F">
      <w:pPr>
        <w:rPr>
          <w:rFonts w:cstheme="minorHAnsi"/>
          <w:color w:val="auto"/>
          <w:shd w:val="clear" w:color="auto" w:fill="FFFFFF"/>
        </w:rPr>
      </w:pPr>
      <w:r w:rsidRPr="00655FC7">
        <w:rPr>
          <w:rFonts w:eastAsia="Times New Roman" w:cstheme="minorHAnsi"/>
          <w:color w:val="auto"/>
          <w:szCs w:val="24"/>
          <w:shd w:val="clear" w:color="auto" w:fill="FFFFFF"/>
          <w:lang w:eastAsia="pl-PL"/>
        </w:rPr>
        <w:t xml:space="preserve">Ze względu na istotny wpływ sektora energetyki na zmiany klimatu ważnym dokumentem w tym obszarze jest Polityka Energetyczna Polski do 2040 r. (PEP 2040). Dokument jest mapą drogową rozwoju sektora energetycznego w Polsce. </w:t>
      </w:r>
      <w:r w:rsidRPr="00655FC7">
        <w:rPr>
          <w:rFonts w:eastAsia="Times New Roman" w:cstheme="minorHAnsi"/>
          <w:color w:val="auto"/>
          <w:szCs w:val="24"/>
          <w:lang w:eastAsia="pl-PL"/>
        </w:rPr>
        <w:t>Celem polityki energetycznej państwa jest: bezpieczeństwo energetyczne, przy zapewnieniu konkurencyjności gospodarki, efektywności energetycznej i zmniejszenia oddziaływania sektora energii na środowisko, przy optymalnym wykorzystaniu własnych zasobów energetycznych.</w:t>
      </w:r>
      <w:r w:rsidRPr="00655FC7">
        <w:rPr>
          <w:rFonts w:cstheme="minorHAnsi"/>
          <w:color w:val="auto"/>
          <w:shd w:val="clear" w:color="auto" w:fill="FFFFFF"/>
        </w:rPr>
        <w:t xml:space="preserve"> </w:t>
      </w:r>
    </w:p>
    <w:p w14:paraId="318D9165" w14:textId="77777777" w:rsidR="00492D5F" w:rsidRPr="00655FC7" w:rsidRDefault="00492D5F" w:rsidP="00492D5F">
      <w:pPr>
        <w:rPr>
          <w:rFonts w:cstheme="minorHAnsi"/>
          <w:color w:val="auto"/>
          <w:shd w:val="clear" w:color="auto" w:fill="FFFFFF"/>
        </w:rPr>
      </w:pPr>
    </w:p>
    <w:p w14:paraId="1F0FAD81" w14:textId="77777777" w:rsidR="00492D5F" w:rsidRPr="00655FC7" w:rsidRDefault="00492D5F" w:rsidP="00C20390">
      <w:pPr>
        <w:pStyle w:val="Nagwek4"/>
      </w:pPr>
      <w:r w:rsidRPr="00655FC7">
        <w:t>Krajowy Plan Odbudowy (KPO)</w:t>
      </w:r>
    </w:p>
    <w:p w14:paraId="377FF13A" w14:textId="77777777" w:rsidR="00492D5F" w:rsidRPr="00655FC7" w:rsidRDefault="00492D5F" w:rsidP="00492D5F">
      <w:pPr>
        <w:rPr>
          <w:rFonts w:cstheme="minorHAnsi"/>
          <w:color w:val="auto"/>
        </w:rPr>
      </w:pPr>
      <w:r w:rsidRPr="00655FC7">
        <w:rPr>
          <w:rFonts w:cstheme="minorHAnsi"/>
          <w:color w:val="auto"/>
        </w:rPr>
        <w:t xml:space="preserve">Projekt Krajowego Planu Odbudowy i Zwiększania Odporności (KPO) jest dokumentem programowym określającym cele związane z odbudową i tworzeniem odporności społeczno-gospodarczej Polski po kryzysie wywołanym pandemią COVID-19 oraz służące ich realizacji reformy strukturalne i inwestycje. Dokument stanowi podstawę ubiegania się o wsparcie z europejskiego </w:t>
      </w:r>
      <w:r w:rsidRPr="00655FC7">
        <w:rPr>
          <w:rFonts w:cstheme="minorHAnsi"/>
          <w:color w:val="auto"/>
        </w:rPr>
        <w:lastRenderedPageBreak/>
        <w:t>Instrumentu na rzecz Odbudowy i Zwiększania Odporności (Recovery and Resilience Facility – RRF). Horyzont czasowy realizacji dokumentu zamyka się z końcem sierpnia 2026 r.</w:t>
      </w:r>
    </w:p>
    <w:p w14:paraId="4255FCDC" w14:textId="77777777" w:rsidR="00492D5F" w:rsidRPr="00655FC7" w:rsidRDefault="00492D5F" w:rsidP="00492D5F">
      <w:pPr>
        <w:tabs>
          <w:tab w:val="left" w:pos="3119"/>
        </w:tabs>
        <w:rPr>
          <w:rFonts w:cstheme="minorHAnsi"/>
          <w:color w:val="auto"/>
        </w:rPr>
      </w:pPr>
      <w:r w:rsidRPr="00655FC7">
        <w:rPr>
          <w:rFonts w:cstheme="minorHAnsi"/>
          <w:color w:val="auto"/>
        </w:rPr>
        <w:t>Realizacja KPO służy promowaniu spójności gospodarczej, społecznej i terytorialnej poprzez zwiększenie odporności, gotowości na wypadek sytuacji kryzysowych, zdolności dostosowawczych i potencjału wzrostu gospodarczego, łagodzeniu społecznych i gospodarczych skutków kryzysu, w szczególności dla kobiet (realizując w ten sposób cele Europejskiego Filara Praw socjalnych), wspieraniu zielonej transformacji, przyczynianiu się do realizacji unijnych celów w zakresie klimatu oraz transformacji cyfrowej. W ten sposób interwencje realizowane w KPO wspierają cele UE w zakresie wzrostu konwergencji społeczno-gospodarczej, odbudowy i promowania zrównoważonego wzrostu gospodarczego i integracji gospodarczej UE, a także tworzenia wysokiej jakości miejsc pracy oraz strategicznej autonomii Unii i otwartej gospodarki, generującej europejską wartość dodaną.</w:t>
      </w:r>
    </w:p>
    <w:p w14:paraId="77D26600" w14:textId="77777777" w:rsidR="00492D5F" w:rsidRPr="00655FC7" w:rsidRDefault="00492D5F" w:rsidP="00492D5F">
      <w:pPr>
        <w:tabs>
          <w:tab w:val="left" w:pos="3119"/>
        </w:tabs>
        <w:rPr>
          <w:rFonts w:cstheme="minorHAnsi"/>
          <w:color w:val="auto"/>
        </w:rPr>
      </w:pPr>
      <w:r w:rsidRPr="00655FC7">
        <w:rPr>
          <w:rFonts w:cstheme="minorHAnsi"/>
          <w:color w:val="auto"/>
        </w:rPr>
        <w:t xml:space="preserve">KPO koncentruje swoje działania na sześciu europejskich filarach odpowiedzi na kryzys i budowy odporności: </w:t>
      </w:r>
    </w:p>
    <w:p w14:paraId="5DA00549" w14:textId="77777777" w:rsidR="00492D5F" w:rsidRPr="00655FC7" w:rsidRDefault="00492D5F">
      <w:pPr>
        <w:numPr>
          <w:ilvl w:val="2"/>
          <w:numId w:val="5"/>
        </w:numPr>
        <w:tabs>
          <w:tab w:val="left" w:pos="3119"/>
        </w:tabs>
        <w:ind w:left="567"/>
        <w:contextualSpacing/>
        <w:rPr>
          <w:rFonts w:cstheme="minorHAnsi"/>
          <w:color w:val="auto"/>
        </w:rPr>
      </w:pPr>
      <w:r w:rsidRPr="00655FC7">
        <w:rPr>
          <w:rFonts w:cstheme="minorHAnsi"/>
          <w:color w:val="auto"/>
        </w:rPr>
        <w:t xml:space="preserve">zielona transformacja, </w:t>
      </w:r>
    </w:p>
    <w:p w14:paraId="5EF7A1F3" w14:textId="77777777" w:rsidR="00492D5F" w:rsidRPr="00655FC7" w:rsidRDefault="00492D5F">
      <w:pPr>
        <w:numPr>
          <w:ilvl w:val="2"/>
          <w:numId w:val="5"/>
        </w:numPr>
        <w:tabs>
          <w:tab w:val="left" w:pos="3119"/>
        </w:tabs>
        <w:ind w:left="567"/>
        <w:contextualSpacing/>
        <w:rPr>
          <w:rFonts w:cstheme="minorHAnsi"/>
          <w:color w:val="auto"/>
        </w:rPr>
      </w:pPr>
      <w:r w:rsidRPr="00655FC7">
        <w:rPr>
          <w:rFonts w:cstheme="minorHAnsi"/>
          <w:color w:val="auto"/>
        </w:rPr>
        <w:t>transformacja cyfrowa,</w:t>
      </w:r>
    </w:p>
    <w:p w14:paraId="5D0CDEB6" w14:textId="77777777" w:rsidR="00492D5F" w:rsidRPr="00655FC7" w:rsidRDefault="00492D5F">
      <w:pPr>
        <w:numPr>
          <w:ilvl w:val="2"/>
          <w:numId w:val="5"/>
        </w:numPr>
        <w:tabs>
          <w:tab w:val="left" w:pos="3119"/>
        </w:tabs>
        <w:ind w:left="567"/>
        <w:contextualSpacing/>
        <w:rPr>
          <w:rFonts w:cstheme="minorHAnsi"/>
          <w:color w:val="auto"/>
        </w:rPr>
      </w:pPr>
      <w:r w:rsidRPr="00655FC7">
        <w:rPr>
          <w:rFonts w:cstheme="minorHAnsi"/>
          <w:color w:val="auto"/>
        </w:rPr>
        <w:t xml:space="preserve">inteligentny i trwały wzrost sprzyjający włączeniu społecznemu, </w:t>
      </w:r>
    </w:p>
    <w:p w14:paraId="51C8DA7C" w14:textId="77777777" w:rsidR="00492D5F" w:rsidRPr="00655FC7" w:rsidRDefault="00492D5F">
      <w:pPr>
        <w:numPr>
          <w:ilvl w:val="2"/>
          <w:numId w:val="5"/>
        </w:numPr>
        <w:tabs>
          <w:tab w:val="left" w:pos="3119"/>
        </w:tabs>
        <w:ind w:left="567"/>
        <w:contextualSpacing/>
        <w:rPr>
          <w:rFonts w:cstheme="minorHAnsi"/>
          <w:color w:val="auto"/>
        </w:rPr>
      </w:pPr>
      <w:r w:rsidRPr="00655FC7">
        <w:rPr>
          <w:rFonts w:cstheme="minorHAnsi"/>
          <w:color w:val="auto"/>
        </w:rPr>
        <w:t xml:space="preserve">spójność społeczna i terytorialna, </w:t>
      </w:r>
    </w:p>
    <w:p w14:paraId="2172B63E" w14:textId="77777777" w:rsidR="00492D5F" w:rsidRPr="00655FC7" w:rsidRDefault="00492D5F">
      <w:pPr>
        <w:numPr>
          <w:ilvl w:val="2"/>
          <w:numId w:val="5"/>
        </w:numPr>
        <w:tabs>
          <w:tab w:val="left" w:pos="3119"/>
        </w:tabs>
        <w:ind w:left="567"/>
        <w:contextualSpacing/>
        <w:rPr>
          <w:rFonts w:cstheme="minorHAnsi"/>
          <w:color w:val="auto"/>
        </w:rPr>
      </w:pPr>
      <w:r w:rsidRPr="00655FC7">
        <w:rPr>
          <w:rFonts w:cstheme="minorHAnsi"/>
          <w:color w:val="auto"/>
        </w:rPr>
        <w:t xml:space="preserve">opieka zdrowotna oraz odporność gospodarcza, społeczna i instytucjonalna, </w:t>
      </w:r>
    </w:p>
    <w:p w14:paraId="48C63147" w14:textId="77777777" w:rsidR="00492D5F" w:rsidRPr="00655FC7" w:rsidRDefault="00492D5F" w:rsidP="00297203">
      <w:r w:rsidRPr="00655FC7">
        <w:t>polityki na rzecz następnego pokolenia, takie jak edukacja i umiejętności.</w:t>
      </w:r>
      <w:r w:rsidRPr="00655FC7">
        <w:cr/>
      </w:r>
    </w:p>
    <w:p w14:paraId="762A01D2" w14:textId="77777777" w:rsidR="00492D5F" w:rsidRPr="00655FC7" w:rsidRDefault="00492D5F" w:rsidP="00761441">
      <w:pPr>
        <w:pStyle w:val="Nagwek3"/>
      </w:pPr>
      <w:bookmarkStart w:id="40" w:name="_Toc177732029"/>
      <w:r w:rsidRPr="00655FC7">
        <w:t>Dokumenty regionalne i lokalne</w:t>
      </w:r>
      <w:bookmarkEnd w:id="40"/>
    </w:p>
    <w:p w14:paraId="4494C143" w14:textId="73B12D55" w:rsidR="00492D5F" w:rsidRPr="00655FC7" w:rsidRDefault="00492D5F" w:rsidP="00492D5F">
      <w:pPr>
        <w:tabs>
          <w:tab w:val="left" w:pos="3119"/>
        </w:tabs>
        <w:ind w:firstLine="851"/>
        <w:rPr>
          <w:rFonts w:cstheme="minorHAnsi"/>
          <w:color w:val="auto"/>
          <w:lang w:eastAsia="pl-PL"/>
        </w:rPr>
      </w:pPr>
      <w:r w:rsidRPr="00655FC7">
        <w:rPr>
          <w:rFonts w:cstheme="minorHAnsi"/>
          <w:color w:val="auto"/>
          <w:lang w:eastAsia="pl-PL"/>
        </w:rPr>
        <w:t>Wśród dokumentów na szczeblu regionalnym</w:t>
      </w:r>
      <w:r w:rsidR="00EF6230" w:rsidRPr="00655FC7">
        <w:rPr>
          <w:rFonts w:cstheme="minorHAnsi"/>
          <w:color w:val="auto"/>
          <w:lang w:eastAsia="pl-PL"/>
        </w:rPr>
        <w:t>,</w:t>
      </w:r>
      <w:r w:rsidRPr="00655FC7">
        <w:rPr>
          <w:rFonts w:cstheme="minorHAnsi"/>
          <w:color w:val="auto"/>
          <w:lang w:eastAsia="pl-PL"/>
        </w:rPr>
        <w:t xml:space="preserve"> potrzebnych do diagnozy podatności miasta oraz opracowania Planu Adaptacji do zmian klimatu</w:t>
      </w:r>
      <w:r w:rsidR="00EF6230" w:rsidRPr="00655FC7">
        <w:rPr>
          <w:rFonts w:cstheme="minorHAnsi"/>
          <w:color w:val="auto"/>
          <w:lang w:eastAsia="pl-PL"/>
        </w:rPr>
        <w:t>,</w:t>
      </w:r>
      <w:r w:rsidRPr="00655FC7">
        <w:rPr>
          <w:rFonts w:cstheme="minorHAnsi"/>
          <w:color w:val="auto"/>
          <w:lang w:eastAsia="pl-PL"/>
        </w:rPr>
        <w:t xml:space="preserve"> należy wymienić dokumenty zaprezentowane w poniższych podpunktach.</w:t>
      </w:r>
    </w:p>
    <w:p w14:paraId="19C6F771" w14:textId="77777777" w:rsidR="00492D5F" w:rsidRPr="00655FC7" w:rsidRDefault="00492D5F" w:rsidP="00492D5F">
      <w:pPr>
        <w:tabs>
          <w:tab w:val="left" w:pos="3119"/>
        </w:tabs>
        <w:rPr>
          <w:rFonts w:cstheme="minorHAnsi"/>
          <w:color w:val="auto"/>
          <w:lang w:eastAsia="pl-PL"/>
        </w:rPr>
      </w:pPr>
    </w:p>
    <w:p w14:paraId="010F6433" w14:textId="72FC839A" w:rsidR="00492D5F" w:rsidRPr="00655FC7" w:rsidRDefault="00492D5F" w:rsidP="00C20390">
      <w:pPr>
        <w:pStyle w:val="Nagwek4"/>
      </w:pPr>
      <w:r w:rsidRPr="00655FC7">
        <w:t xml:space="preserve">Program ochrony środowiska dla województwa </w:t>
      </w:r>
      <w:r w:rsidR="008D4440" w:rsidRPr="00655FC7">
        <w:t>lubuskiego</w:t>
      </w:r>
      <w:r w:rsidRPr="00655FC7">
        <w:t xml:space="preserve"> </w:t>
      </w:r>
      <w:r w:rsidR="000A5E45" w:rsidRPr="00655FC7">
        <w:t>2030</w:t>
      </w:r>
    </w:p>
    <w:p w14:paraId="4683AA34" w14:textId="2AFE6C56" w:rsidR="00492D5F" w:rsidRPr="00655FC7" w:rsidRDefault="00492D5F" w:rsidP="00492D5F">
      <w:pPr>
        <w:rPr>
          <w:rFonts w:cstheme="minorHAnsi"/>
          <w:color w:val="auto"/>
          <w:lang w:eastAsia="pl-PL"/>
        </w:rPr>
      </w:pPr>
      <w:r w:rsidRPr="00655FC7">
        <w:rPr>
          <w:rFonts w:cstheme="minorHAnsi"/>
          <w:color w:val="auto"/>
          <w:lang w:eastAsia="pl-PL"/>
        </w:rPr>
        <w:t xml:space="preserve">Program ochrony środowiska dla województwa </w:t>
      </w:r>
      <w:r w:rsidR="00931CEC" w:rsidRPr="00655FC7">
        <w:rPr>
          <w:rFonts w:cstheme="minorHAnsi"/>
          <w:color w:val="auto"/>
          <w:lang w:eastAsia="pl-PL"/>
        </w:rPr>
        <w:t>lubuskiego</w:t>
      </w:r>
      <w:r w:rsidRPr="00655FC7">
        <w:rPr>
          <w:rFonts w:cstheme="minorHAnsi"/>
          <w:color w:val="auto"/>
          <w:lang w:eastAsia="pl-PL"/>
        </w:rPr>
        <w:t xml:space="preserve"> </w:t>
      </w:r>
      <w:r w:rsidR="008D2B15" w:rsidRPr="00655FC7">
        <w:rPr>
          <w:rFonts w:cstheme="minorHAnsi"/>
          <w:color w:val="auto"/>
          <w:lang w:eastAsia="pl-PL"/>
        </w:rPr>
        <w:t>2030</w:t>
      </w:r>
      <w:r w:rsidRPr="00655FC7">
        <w:rPr>
          <w:rFonts w:cstheme="minorHAnsi"/>
          <w:color w:val="auto"/>
          <w:lang w:eastAsia="pl-PL"/>
        </w:rPr>
        <w:t xml:space="preserve"> </w:t>
      </w:r>
      <w:r w:rsidR="00931CEC" w:rsidRPr="00655FC7">
        <w:rPr>
          <w:rFonts w:cstheme="minorHAnsi"/>
          <w:color w:val="auto"/>
          <w:lang w:eastAsia="pl-PL"/>
        </w:rPr>
        <w:t>stanowi politykę ekologiczną województwa lubelskiego z uwzględnieniem zagadnień związanych z adaptacją do zmian klimatu, nadzwyczajnych zagrożeń środowiska, działań edukacyjnych oraz monitoringu środowiska</w:t>
      </w:r>
      <w:r w:rsidRPr="00655FC7">
        <w:rPr>
          <w:rFonts w:cstheme="minorHAnsi"/>
          <w:color w:val="auto"/>
          <w:lang w:eastAsia="pl-PL"/>
        </w:rPr>
        <w:t xml:space="preserve">. </w:t>
      </w:r>
      <w:r w:rsidR="00931CEC" w:rsidRPr="00655FC7">
        <w:t>Celem programu jest podniesienie poziomu ochrony przed skutkami zmian klimatu oraz zagrożeń naturalnych (m.in. zgodnie z kierunkami działań zapisanymi w „Strategicznym Planie Adaptacji dla sektorów i obszarów wrażliwych na zmiany klimatu do roku 2020 z perspektywą do roku 2030” oraz Polityce Ekologicznej Państwa 2030.</w:t>
      </w:r>
    </w:p>
    <w:p w14:paraId="44257724" w14:textId="77777777" w:rsidR="00492D5F" w:rsidRPr="00655FC7" w:rsidRDefault="00492D5F" w:rsidP="00492D5F">
      <w:pPr>
        <w:rPr>
          <w:rFonts w:cstheme="minorHAnsi"/>
          <w:color w:val="auto"/>
          <w:lang w:eastAsia="pl-PL"/>
        </w:rPr>
      </w:pPr>
    </w:p>
    <w:p w14:paraId="6C5874BF" w14:textId="74BB5490" w:rsidR="00492D5F" w:rsidRPr="00655FC7" w:rsidRDefault="00492D5F" w:rsidP="00C20390">
      <w:pPr>
        <w:pStyle w:val="Nagwek4"/>
      </w:pPr>
      <w:r w:rsidRPr="00655FC7">
        <w:t xml:space="preserve">Strategia Rozwoju Województwa </w:t>
      </w:r>
      <w:r w:rsidR="00EF6230" w:rsidRPr="00655FC7">
        <w:t>Lubelskiego</w:t>
      </w:r>
      <w:r w:rsidR="00931CEC" w:rsidRPr="00655FC7">
        <w:t xml:space="preserve"> do 2030 roku</w:t>
      </w:r>
    </w:p>
    <w:p w14:paraId="0FD9439A" w14:textId="51A80B07" w:rsidR="00407A12" w:rsidRPr="00655FC7" w:rsidRDefault="00407A12" w:rsidP="00EB2C3E">
      <w:pPr>
        <w:rPr>
          <w:rFonts w:cstheme="minorHAnsi"/>
          <w:color w:val="auto"/>
          <w:lang w:eastAsia="pl-PL"/>
        </w:rPr>
      </w:pPr>
      <w:r w:rsidRPr="00655FC7">
        <w:rPr>
          <w:rFonts w:cstheme="minorHAnsi"/>
          <w:color w:val="auto"/>
          <w:lang w:eastAsia="pl-PL"/>
        </w:rPr>
        <w:t xml:space="preserve">Dokument wyznacza kluczowe długoterminowe cele i kierunki rozwoju województwa lubelskiego i jest głównym dokumentem umożliwiającym racjonalne organizowanie działań i prowadzenie skoordynowanej polityki rozwoju w horyzoncie czasowym objętym </w:t>
      </w:r>
      <w:r w:rsidRPr="00655FC7">
        <w:rPr>
          <w:rFonts w:cstheme="minorHAnsi"/>
          <w:i/>
          <w:iCs/>
          <w:color w:val="auto"/>
          <w:lang w:eastAsia="pl-PL"/>
        </w:rPr>
        <w:t>Strategią</w:t>
      </w:r>
      <w:r w:rsidRPr="00655FC7">
        <w:rPr>
          <w:rFonts w:cstheme="minorHAnsi"/>
          <w:color w:val="auto"/>
          <w:lang w:eastAsia="pl-PL"/>
        </w:rPr>
        <w:t>. Jest jednocześnie tzw. dokumentem matką, stanowiącym obligatoryjne odniesienie i wskazanie dla dokumentów regionalnych o charakterze sektorowym i operacyjnym. Strategia formułuje wizję rozwoju regionu, wskazuje cele i kierunki działań, które samorząd regionalny zgodnie z kompetencjami samodzielnie podejmuje.</w:t>
      </w:r>
    </w:p>
    <w:p w14:paraId="1883A6F8" w14:textId="1BF9A14C" w:rsidR="00492D5F" w:rsidRPr="00655FC7" w:rsidRDefault="00492D5F" w:rsidP="00492D5F">
      <w:pPr>
        <w:rPr>
          <w:rFonts w:cstheme="minorHAnsi"/>
          <w:color w:val="auto"/>
          <w:lang w:eastAsia="pl-PL"/>
        </w:rPr>
      </w:pPr>
    </w:p>
    <w:p w14:paraId="0B78CBB8" w14:textId="3CC0C009" w:rsidR="000D0F8A" w:rsidRPr="00655FC7" w:rsidRDefault="000D0F8A" w:rsidP="000D0F8A">
      <w:pPr>
        <w:pStyle w:val="Nagwek4"/>
      </w:pPr>
      <w:bookmarkStart w:id="41" w:name="_Hlk156288740"/>
      <w:r w:rsidRPr="00655FC7">
        <w:lastRenderedPageBreak/>
        <w:t>Program Ochrony Środowiska dla Powiatu Biłgorajskiego na lata 2018-2021 z perspektywą do roku 2025</w:t>
      </w:r>
    </w:p>
    <w:bookmarkEnd w:id="41"/>
    <w:p w14:paraId="1F357C14" w14:textId="36BBE8FB" w:rsidR="000D0F8A" w:rsidRPr="00655FC7" w:rsidRDefault="00775F76" w:rsidP="000D0F8A">
      <w:r w:rsidRPr="00655FC7">
        <w:t>Programy Ochrony Środowiska powinny stanowić podstawę funkcjonowania systemu zarządzania środowiskiem i być spójne ze wszystkimi dokumentami dotyczącymi zagadnień ochrony środowiska na szczeblu danej JST. Opracowanie oraz uchwalenie dokumentu przyczynią się do zrównoważonego rozwoju powiatu biłgorajskiego, uwzględniając pierwszorzędnie kwestie związane z ochroną środowiska. Opracowanie zawiera analizę stanu środowiska naturalnego na terenie powiatu, na podstawie której określono cele, kierunki i zadania wynikające z zagrożeń i problemów dla poszczególnych obszarów interwencji.</w:t>
      </w:r>
    </w:p>
    <w:p w14:paraId="0567CF56" w14:textId="77777777" w:rsidR="00775F76" w:rsidRPr="00655FC7" w:rsidRDefault="00775F76" w:rsidP="000D0F8A"/>
    <w:p w14:paraId="30497712" w14:textId="31516BAC" w:rsidR="00492D5F" w:rsidRPr="00655FC7" w:rsidRDefault="00386345" w:rsidP="00C20390">
      <w:pPr>
        <w:pStyle w:val="Nagwek4"/>
      </w:pPr>
      <w:r w:rsidRPr="00655FC7">
        <w:t>Strategia terytorialna Partnerstwa Gmin Powiatu Biłgorajskiego dla rozwoju gospodarczego</w:t>
      </w:r>
    </w:p>
    <w:p w14:paraId="1BEC5D79" w14:textId="4306DB92" w:rsidR="00367C26" w:rsidRPr="00655FC7" w:rsidRDefault="00386345" w:rsidP="00367C26">
      <w:pPr>
        <w:rPr>
          <w:rFonts w:cstheme="minorHAnsi"/>
        </w:rPr>
      </w:pPr>
      <w:r w:rsidRPr="00655FC7">
        <w:rPr>
          <w:rFonts w:cstheme="minorHAnsi"/>
        </w:rPr>
        <w:t>Strategia terytorialna IIT Partnerstwa „Gminy Powiatu Biłgorajskiego dla rozwoju gospodarczego” to odpowiedź na problemy, potrzeby rozwojowe, wyzwania i szanse wskazane w przeprowadzonej diagnozie obszaru Partnerstwa. Strategia i proces jej przygotowywania są zgodne z ustawą z dnia 28</w:t>
      </w:r>
      <w:r w:rsidR="00EF6230" w:rsidRPr="00655FC7">
        <w:rPr>
          <w:rFonts w:cstheme="minorHAnsi"/>
        </w:rPr>
        <w:t> </w:t>
      </w:r>
      <w:r w:rsidRPr="00655FC7">
        <w:rPr>
          <w:rFonts w:cstheme="minorHAnsi"/>
        </w:rPr>
        <w:t xml:space="preserve">kwietnia 2022 roku o zasadach realizacji zadań finansowanych ze środków europejskich w perspektywie finansowej 2021–2027. </w:t>
      </w:r>
      <w:r w:rsidRPr="00655FC7">
        <w:rPr>
          <w:sz w:val="23"/>
          <w:szCs w:val="23"/>
        </w:rPr>
        <w:t>Strategia zawiera m.in. syntezę diagnozy, cele strategiczne, do których Partnerstwo dąży oraz odpowiadające im kierunki działań, wskaźniki, listę projektów wraz z informacją o ich wyborze, źródła finansowania i opis systemu wdrażania oraz informacje o udziale interesariuszy w poszczególnych etapach procesu strategicznego</w:t>
      </w:r>
      <w:r w:rsidR="00367C26" w:rsidRPr="00655FC7">
        <w:rPr>
          <w:rFonts w:cstheme="minorHAnsi"/>
        </w:rPr>
        <w:t>.</w:t>
      </w:r>
    </w:p>
    <w:p w14:paraId="2D43AF39" w14:textId="77777777" w:rsidR="00492D5F" w:rsidRPr="00655FC7" w:rsidRDefault="00492D5F" w:rsidP="00492D5F">
      <w:pPr>
        <w:rPr>
          <w:rFonts w:cstheme="minorHAnsi"/>
        </w:rPr>
      </w:pPr>
    </w:p>
    <w:p w14:paraId="563BE887" w14:textId="4FA96189" w:rsidR="00492D5F" w:rsidRPr="00F62180" w:rsidRDefault="00FF3CB0" w:rsidP="00C20390">
      <w:pPr>
        <w:pStyle w:val="Nagwek4"/>
      </w:pPr>
      <w:r w:rsidRPr="00F62180">
        <w:rPr>
          <w:rFonts w:eastAsia="Calibri"/>
        </w:rPr>
        <w:t>Lokalny</w:t>
      </w:r>
      <w:r w:rsidR="00492D5F" w:rsidRPr="00F62180">
        <w:rPr>
          <w:rFonts w:eastAsia="Calibri"/>
        </w:rPr>
        <w:t xml:space="preserve"> Program Rewitalizacji Gminy </w:t>
      </w:r>
      <w:r w:rsidRPr="00F62180">
        <w:rPr>
          <w:rFonts w:eastAsia="Calibri"/>
        </w:rPr>
        <w:t>Tarnogród</w:t>
      </w:r>
      <w:r w:rsidR="00492D5F" w:rsidRPr="00F62180">
        <w:rPr>
          <w:rFonts w:eastAsia="Calibri"/>
        </w:rPr>
        <w:t xml:space="preserve"> na lata 201</w:t>
      </w:r>
      <w:r w:rsidRPr="00F62180">
        <w:rPr>
          <w:rFonts w:eastAsia="Calibri"/>
        </w:rPr>
        <w:t>6</w:t>
      </w:r>
      <w:r w:rsidR="00492D5F" w:rsidRPr="00F62180">
        <w:rPr>
          <w:rFonts w:eastAsia="Calibri"/>
        </w:rPr>
        <w:t>–202</w:t>
      </w:r>
      <w:r w:rsidR="005972B1" w:rsidRPr="00F62180">
        <w:rPr>
          <w:rFonts w:eastAsia="Calibri"/>
        </w:rPr>
        <w:t>2</w:t>
      </w:r>
    </w:p>
    <w:p w14:paraId="3B760508" w14:textId="2C102160" w:rsidR="00021C5E" w:rsidRPr="00F62180" w:rsidRDefault="00F54D81" w:rsidP="00F54D81">
      <w:pPr>
        <w:rPr>
          <w:rFonts w:cstheme="minorHAnsi"/>
        </w:rPr>
      </w:pPr>
      <w:r w:rsidRPr="00F62180">
        <w:rPr>
          <w:rFonts w:cstheme="minorHAnsi"/>
        </w:rPr>
        <w:t xml:space="preserve">Jest to </w:t>
      </w:r>
      <w:r w:rsidRPr="00F62180">
        <w:rPr>
          <w:rFonts w:ascii="Calibri" w:eastAsia="Calibri" w:hAnsi="Calibri" w:cs="Calibri"/>
        </w:rPr>
        <w:t>program działań w sferze społecznej oraz gospodarczej lub przestrzenno-funkcjonalnej lub technicznej lub środowiskowej, zmierzający do wyprowadzenia obszarów rewitalizacji ze stanu kryzysowego oraz stworzenia warunków do ich zrównoważonego rozwoju, stanowiący narzędzie planowania, koordynowania i integrowania różnorodnych aktywności w ramach rewitalizacji.</w:t>
      </w:r>
    </w:p>
    <w:p w14:paraId="2666E05F" w14:textId="008B24BF" w:rsidR="002E0DCB" w:rsidRPr="00F62180" w:rsidRDefault="002E0DCB" w:rsidP="002E0DCB">
      <w:pPr>
        <w:rPr>
          <w:rFonts w:ascii="Calibri" w:eastAsia="Calibri" w:hAnsi="Calibri" w:cs="Calibri"/>
        </w:rPr>
      </w:pPr>
      <w:r w:rsidRPr="00F62180">
        <w:rPr>
          <w:rFonts w:ascii="Calibri" w:eastAsia="Calibri" w:hAnsi="Calibri" w:cs="Calibri"/>
        </w:rPr>
        <w:t>Lokalny Program Rewitalizacji dla Gminy Tarnogród na lata 2016-2022 składa się z następujących kluczowych elementów.</w:t>
      </w:r>
    </w:p>
    <w:p w14:paraId="1F832EB3" w14:textId="6EF085BA" w:rsidR="002E0DCB" w:rsidRPr="00F62180" w:rsidRDefault="0004164F">
      <w:pPr>
        <w:pStyle w:val="Akapitzlist"/>
        <w:numPr>
          <w:ilvl w:val="0"/>
          <w:numId w:val="42"/>
        </w:numPr>
        <w:rPr>
          <w:rFonts w:cstheme="minorHAnsi"/>
        </w:rPr>
      </w:pPr>
      <w:r w:rsidRPr="00F62180">
        <w:rPr>
          <w:rFonts w:cstheme="minorHAnsi"/>
        </w:rPr>
        <w:t>opis powiązań programu rewitalizacji z dokumentami strategicznymi i planistycznymi gminy;</w:t>
      </w:r>
    </w:p>
    <w:p w14:paraId="39C05297" w14:textId="177A0ACC" w:rsidR="002E0DCB" w:rsidRPr="00F62180" w:rsidRDefault="0004164F">
      <w:pPr>
        <w:pStyle w:val="Akapitzlist"/>
        <w:numPr>
          <w:ilvl w:val="0"/>
          <w:numId w:val="42"/>
        </w:numPr>
        <w:rPr>
          <w:rFonts w:cstheme="minorHAnsi"/>
        </w:rPr>
      </w:pPr>
      <w:r w:rsidRPr="00F62180">
        <w:rPr>
          <w:rFonts w:cstheme="minorHAnsi"/>
        </w:rPr>
        <w:t>diagnoza czynników i zjawisk kryzysowych oraz skala i charakter potrzeb rewitalizacyjnych;</w:t>
      </w:r>
    </w:p>
    <w:p w14:paraId="64BBDAD9" w14:textId="12B6163B" w:rsidR="002E0DCB" w:rsidRPr="00F62180" w:rsidRDefault="0004164F">
      <w:pPr>
        <w:pStyle w:val="Akapitzlist"/>
        <w:numPr>
          <w:ilvl w:val="0"/>
          <w:numId w:val="42"/>
        </w:numPr>
        <w:rPr>
          <w:rFonts w:cstheme="minorHAnsi"/>
        </w:rPr>
      </w:pPr>
      <w:r w:rsidRPr="00F62180">
        <w:rPr>
          <w:rFonts w:cstheme="minorHAnsi"/>
        </w:rPr>
        <w:t>zasięg przestrzenny obszaru rewitalizacji;</w:t>
      </w:r>
    </w:p>
    <w:p w14:paraId="1AA0E609" w14:textId="5F0BAB1E" w:rsidR="002E0DCB" w:rsidRPr="00F62180" w:rsidRDefault="0004164F">
      <w:pPr>
        <w:pStyle w:val="Akapitzlist"/>
        <w:numPr>
          <w:ilvl w:val="0"/>
          <w:numId w:val="42"/>
        </w:numPr>
        <w:rPr>
          <w:rFonts w:cstheme="minorHAnsi"/>
        </w:rPr>
      </w:pPr>
      <w:r w:rsidRPr="00F62180">
        <w:rPr>
          <w:rFonts w:cstheme="minorHAnsi"/>
        </w:rPr>
        <w:t>wizja stanu obszaru po przeprowadzeniu rewitalizacji oraz cele rewitalizacji i odpowiadające zidentyfikowanym potrzebom rewitalizacyjnym kierunku działań mających na celu eliminację lub ograniczenie negatywnych zjawisk;</w:t>
      </w:r>
    </w:p>
    <w:p w14:paraId="58A8D3B5" w14:textId="1D812F9D" w:rsidR="002E0DCB" w:rsidRPr="00F62180" w:rsidRDefault="0004164F">
      <w:pPr>
        <w:pStyle w:val="Akapitzlist"/>
        <w:numPr>
          <w:ilvl w:val="0"/>
          <w:numId w:val="42"/>
        </w:numPr>
        <w:rPr>
          <w:rFonts w:cstheme="minorHAnsi"/>
        </w:rPr>
      </w:pPr>
      <w:r w:rsidRPr="00F62180">
        <w:rPr>
          <w:rFonts w:cstheme="minorHAnsi"/>
        </w:rPr>
        <w:t>lista planowanych, podstawowych projektów i przedsięwzięć rewitalizacyjnych, charakterystyka pozostałych rodzajów przedsięwzięć rewitalizacyjnych realizujących kierunki działań, mających na celu eliminację lub ograniczenie negatywnych zjawisk powodujących sytuację kryzysową; mechaniczny zapewnienia komplementarności między poszczególnymi projektami/przedsięwzięciami rewitalizacyjnymi oraz pomiędzy działaniami różnych podmiotów i funduszy na obszarze objętym programem rewitalizacji; indykatywne ramy finansowe w odniesieniu do przedsięwzięć rewitalizacyjnych, z indykatywnymi wielkościami środków finansowych z różnych źródeł;</w:t>
      </w:r>
    </w:p>
    <w:p w14:paraId="1EBD3440" w14:textId="44DA7BEF" w:rsidR="0004164F" w:rsidRPr="00F62180" w:rsidRDefault="0004164F">
      <w:pPr>
        <w:pStyle w:val="Akapitzlist"/>
        <w:numPr>
          <w:ilvl w:val="0"/>
          <w:numId w:val="42"/>
        </w:numPr>
        <w:rPr>
          <w:rFonts w:cstheme="minorHAnsi"/>
        </w:rPr>
      </w:pPr>
      <w:r w:rsidRPr="00F62180">
        <w:rPr>
          <w:rFonts w:cstheme="minorHAnsi"/>
        </w:rPr>
        <w:lastRenderedPageBreak/>
        <w:t>system realizacji (wdrażania) programu rewitalizacji oraz mechanizmy włączenia mieszkańców, przedsiębiorców i innych podmiotów i grup aktywnych na terenie gminy w procesie rewitalizacji;</w:t>
      </w:r>
    </w:p>
    <w:p w14:paraId="7ADC4713" w14:textId="3F8B9525" w:rsidR="0004164F" w:rsidRPr="00F62180" w:rsidRDefault="0004164F">
      <w:pPr>
        <w:pStyle w:val="Akapitzlist"/>
        <w:numPr>
          <w:ilvl w:val="0"/>
          <w:numId w:val="42"/>
        </w:numPr>
        <w:rPr>
          <w:rFonts w:cstheme="minorHAnsi"/>
        </w:rPr>
      </w:pPr>
      <w:r w:rsidRPr="00F62180">
        <w:rPr>
          <w:rFonts w:cstheme="minorHAnsi"/>
        </w:rPr>
        <w:t>system monitoringu i oceny skuteczności działań i system wprowadzania modyfikacji w reakcji na zmiany w otoczeniu programu.</w:t>
      </w:r>
    </w:p>
    <w:p w14:paraId="2E02F56E" w14:textId="77777777" w:rsidR="002E0DCB" w:rsidRPr="00655FC7" w:rsidRDefault="002E0DCB" w:rsidP="00021C5E">
      <w:pPr>
        <w:rPr>
          <w:rFonts w:cstheme="minorHAnsi"/>
        </w:rPr>
      </w:pPr>
    </w:p>
    <w:p w14:paraId="6781ABF7" w14:textId="654D0C8B" w:rsidR="001901E1" w:rsidRPr="00655FC7" w:rsidRDefault="001901E1" w:rsidP="00C20390">
      <w:pPr>
        <w:pStyle w:val="Nagwek4"/>
        <w:rPr>
          <w:rFonts w:eastAsia="Calibri"/>
        </w:rPr>
      </w:pPr>
      <w:r w:rsidRPr="00655FC7">
        <w:rPr>
          <w:rFonts w:eastAsia="Calibri"/>
        </w:rPr>
        <w:t>Strategia Rozwoju Gminy Tarnogród na lata 2016-2022</w:t>
      </w:r>
    </w:p>
    <w:p w14:paraId="5633AF06" w14:textId="5440667A" w:rsidR="001901E1" w:rsidRPr="00655FC7" w:rsidRDefault="001901E1" w:rsidP="001901E1">
      <w:pPr>
        <w:rPr>
          <w:lang w:eastAsia="pl-PL"/>
        </w:rPr>
      </w:pPr>
      <w:r w:rsidRPr="00655FC7">
        <w:rPr>
          <w:lang w:eastAsia="pl-PL"/>
        </w:rPr>
        <w:t>Strategia określa cele programowe na lata 2016-2022 oraz wyznacza działania strategiczne zmierzające do osiągnięcia maksymalnych korzyści z wykorzystania potencjału gospodarczego gminy. Dokument ten stanowi plan systemowego działania niezbędny w długofalowym procesie zarządzania gminą w oparciu o szanse i zagrożenia płynące ze stale zmieniającego się otoczenia oraz z uwzględnieniem atutów i słabości wewnętrznego potencjału gminy. Posiadanie strategii rozwoju jest niezbędnym elementem prowadzenia efektywnego zarządzania gminą. Ponadto przedstawienie kompleksowej koncepcji rozwoju gminy stanowi istotny element obniżający ryzyko dla potencjalnych inwestorów.</w:t>
      </w:r>
    </w:p>
    <w:p w14:paraId="1E534721" w14:textId="77777777" w:rsidR="001901E1" w:rsidRPr="00655FC7" w:rsidRDefault="001901E1" w:rsidP="001901E1">
      <w:pPr>
        <w:rPr>
          <w:lang w:eastAsia="pl-PL"/>
        </w:rPr>
      </w:pPr>
    </w:p>
    <w:p w14:paraId="2815E93E" w14:textId="77777777" w:rsidR="001901E1" w:rsidRPr="00655FC7" w:rsidRDefault="001901E1" w:rsidP="001901E1">
      <w:pPr>
        <w:pStyle w:val="Nagwek4"/>
      </w:pPr>
      <w:r w:rsidRPr="00655FC7">
        <w:t>Plan Gospodarki Niskoemisyjnej dla Gminy Tarnogród</w:t>
      </w:r>
    </w:p>
    <w:p w14:paraId="6BA1B0A2" w14:textId="6909A544" w:rsidR="001901E1" w:rsidRPr="00655FC7" w:rsidRDefault="001901E1" w:rsidP="001901E1">
      <w:pPr>
        <w:rPr>
          <w:lang w:eastAsia="pl-PL"/>
        </w:rPr>
      </w:pPr>
      <w:r w:rsidRPr="00655FC7">
        <w:rPr>
          <w:lang w:eastAsia="pl-PL"/>
        </w:rPr>
        <w:t>Plan gospodarki niskoemisyjnej dla Gminy Tarnogród do roku 2020 to dokument przyczyniający się do osiągnięcia celów określonych w pakiecie klimatyczno-energetycznym do roku 2020 tj.: redukcji emisji gazów cieplarnianych, zwiększenia udziału energii pochodzącej ze źródeł odnawialnych, redukcji zużycia energii finalnej, które będą realizowane poprzez podniesienie efektywności energetycznej, a także do popraw</w:t>
      </w:r>
      <w:r w:rsidR="00BE67AD" w:rsidRPr="00655FC7">
        <w:rPr>
          <w:lang w:eastAsia="pl-PL"/>
        </w:rPr>
        <w:t>y</w:t>
      </w:r>
      <w:r w:rsidRPr="00655FC7">
        <w:rPr>
          <w:lang w:eastAsia="pl-PL"/>
        </w:rPr>
        <w:t xml:space="preserve"> jakości powietrza.</w:t>
      </w:r>
    </w:p>
    <w:p w14:paraId="35023123" w14:textId="134E136B" w:rsidR="001901E1" w:rsidRPr="00655FC7" w:rsidRDefault="001901E1" w:rsidP="001901E1">
      <w:pPr>
        <w:rPr>
          <w:lang w:eastAsia="pl-PL"/>
        </w:rPr>
      </w:pPr>
      <w:r w:rsidRPr="00655FC7">
        <w:rPr>
          <w:lang w:eastAsia="pl-PL"/>
        </w:rPr>
        <w:t xml:space="preserve">Celem głównym Planu jest </w:t>
      </w:r>
      <w:r w:rsidR="00BE67AD" w:rsidRPr="00655FC7">
        <w:rPr>
          <w:lang w:eastAsia="pl-PL"/>
        </w:rPr>
        <w:t>p</w:t>
      </w:r>
      <w:r w:rsidRPr="00655FC7">
        <w:rPr>
          <w:lang w:eastAsia="pl-PL"/>
        </w:rPr>
        <w:t>oprawa jakości środowiska naturalnego Gminy Tarnogród poprzez:</w:t>
      </w:r>
    </w:p>
    <w:p w14:paraId="3023CFFA" w14:textId="77777777" w:rsidR="001901E1" w:rsidRPr="00655FC7" w:rsidRDefault="001901E1">
      <w:pPr>
        <w:pStyle w:val="Akapitzlist"/>
        <w:numPr>
          <w:ilvl w:val="0"/>
          <w:numId w:val="43"/>
        </w:numPr>
        <w:rPr>
          <w:lang w:eastAsia="pl-PL"/>
        </w:rPr>
      </w:pPr>
      <w:r w:rsidRPr="00655FC7">
        <w:rPr>
          <w:lang w:eastAsia="pl-PL"/>
        </w:rPr>
        <w:t>redukcję emisji CO</w:t>
      </w:r>
      <w:r w:rsidRPr="00655FC7">
        <w:rPr>
          <w:vertAlign w:val="subscript"/>
          <w:lang w:eastAsia="pl-PL"/>
        </w:rPr>
        <w:t>2</w:t>
      </w:r>
      <w:r w:rsidRPr="00655FC7">
        <w:rPr>
          <w:lang w:eastAsia="pl-PL"/>
        </w:rPr>
        <w:t xml:space="preserve"> w roku 2020 w stosunku do roku bazowego o 8%,</w:t>
      </w:r>
    </w:p>
    <w:p w14:paraId="68EE6F80" w14:textId="26387238" w:rsidR="001901E1" w:rsidRPr="00655FC7" w:rsidRDefault="001901E1">
      <w:pPr>
        <w:pStyle w:val="Akapitzlist"/>
        <w:numPr>
          <w:ilvl w:val="0"/>
          <w:numId w:val="43"/>
        </w:numPr>
        <w:rPr>
          <w:lang w:eastAsia="pl-PL"/>
        </w:rPr>
      </w:pPr>
      <w:r w:rsidRPr="00655FC7">
        <w:rPr>
          <w:lang w:eastAsia="pl-PL"/>
        </w:rPr>
        <w:t>wzrost wykorzystania odnawialnych źródeł energii w ogólnym bilansie w roku</w:t>
      </w:r>
      <w:r w:rsidR="00BE67AD" w:rsidRPr="00655FC7">
        <w:rPr>
          <w:lang w:eastAsia="pl-PL"/>
        </w:rPr>
        <w:t>,</w:t>
      </w:r>
    </w:p>
    <w:p w14:paraId="1E387EDB" w14:textId="77777777" w:rsidR="001901E1" w:rsidRPr="00655FC7" w:rsidRDefault="001901E1">
      <w:pPr>
        <w:pStyle w:val="Akapitzlist"/>
        <w:numPr>
          <w:ilvl w:val="0"/>
          <w:numId w:val="43"/>
        </w:numPr>
        <w:rPr>
          <w:lang w:eastAsia="pl-PL"/>
        </w:rPr>
      </w:pPr>
      <w:r w:rsidRPr="00655FC7">
        <w:rPr>
          <w:lang w:eastAsia="pl-PL"/>
        </w:rPr>
        <w:t>docelowym 2020 o 6,53% w stosunku do roku bazowego,</w:t>
      </w:r>
    </w:p>
    <w:p w14:paraId="78676CF9" w14:textId="77777777" w:rsidR="001901E1" w:rsidRPr="00655FC7" w:rsidRDefault="001901E1">
      <w:pPr>
        <w:pStyle w:val="Akapitzlist"/>
        <w:numPr>
          <w:ilvl w:val="0"/>
          <w:numId w:val="43"/>
        </w:numPr>
        <w:rPr>
          <w:lang w:eastAsia="pl-PL"/>
        </w:rPr>
      </w:pPr>
      <w:r w:rsidRPr="00655FC7">
        <w:rPr>
          <w:lang w:eastAsia="pl-PL"/>
        </w:rPr>
        <w:t>redukcję energii finalnej w roku 2020 w stosunku do roku bazowego o 6%.</w:t>
      </w:r>
    </w:p>
    <w:p w14:paraId="6AEF822D" w14:textId="77777777" w:rsidR="00492D5F" w:rsidRPr="00655FC7" w:rsidRDefault="00492D5F" w:rsidP="00492D5F">
      <w:pPr>
        <w:suppressAutoHyphens/>
        <w:rPr>
          <w:rFonts w:cstheme="minorHAnsi"/>
        </w:rPr>
      </w:pPr>
    </w:p>
    <w:p w14:paraId="0161E692" w14:textId="36286B39" w:rsidR="00492D5F" w:rsidRPr="00655FC7" w:rsidRDefault="00492D5F" w:rsidP="00C20390">
      <w:pPr>
        <w:pStyle w:val="Nagwek4"/>
        <w:rPr>
          <w:rFonts w:eastAsia="Calibri"/>
        </w:rPr>
      </w:pPr>
      <w:r w:rsidRPr="00655FC7">
        <w:rPr>
          <w:rFonts w:eastAsia="Calibri"/>
        </w:rPr>
        <w:t xml:space="preserve">Studium uwarunkowań i kierunków zagospodarowania przestrzennego </w:t>
      </w:r>
      <w:r w:rsidR="00186792" w:rsidRPr="00655FC7">
        <w:rPr>
          <w:rFonts w:eastAsia="Calibri"/>
        </w:rPr>
        <w:t xml:space="preserve">gminy </w:t>
      </w:r>
      <w:r w:rsidR="00A006BF" w:rsidRPr="00655FC7">
        <w:rPr>
          <w:rFonts w:eastAsia="Calibri"/>
        </w:rPr>
        <w:t>Tarnogród</w:t>
      </w:r>
    </w:p>
    <w:p w14:paraId="23D72A02" w14:textId="0D875454" w:rsidR="00492D5F" w:rsidRPr="00655FC7" w:rsidRDefault="00A006BF" w:rsidP="00186792">
      <w:pPr>
        <w:suppressAutoHyphens/>
        <w:spacing w:after="200"/>
        <w:rPr>
          <w:rFonts w:cstheme="minorHAnsi"/>
        </w:rPr>
      </w:pPr>
      <w:r w:rsidRPr="00655FC7">
        <w:rPr>
          <w:rFonts w:cstheme="minorHAnsi"/>
        </w:rPr>
        <w:t xml:space="preserve">Studium jest dokumentem planistycznym określającym politykę zagospodarowania przestrzennego gminy sporządzanym dla jej całego obszaru. Pełni ono rolę koordynacyjną </w:t>
      </w:r>
      <w:r w:rsidR="007D1498" w:rsidRPr="00655FC7">
        <w:rPr>
          <w:rFonts w:cstheme="minorHAnsi"/>
        </w:rPr>
        <w:t>w</w:t>
      </w:r>
      <w:r w:rsidR="00330C51" w:rsidRPr="00655FC7">
        <w:rPr>
          <w:rFonts w:cstheme="minorHAnsi"/>
        </w:rPr>
        <w:t> </w:t>
      </w:r>
      <w:r w:rsidRPr="00655FC7">
        <w:rPr>
          <w:rFonts w:cstheme="minorHAnsi"/>
        </w:rPr>
        <w:t>programowaniu i rozwoju miasta ustalonego w Strategii rozwoju miasta i gminy, a także przy sporządzeniu wieloletnich planów inwestycyjnych</w:t>
      </w:r>
      <w:r w:rsidR="00330C51" w:rsidRPr="00655FC7">
        <w:rPr>
          <w:rFonts w:cstheme="minorHAnsi"/>
        </w:rPr>
        <w:t xml:space="preserve"> i miejscowych planów zagospodarowania przestrzennego.</w:t>
      </w:r>
    </w:p>
    <w:p w14:paraId="107366B2" w14:textId="48AC8B15" w:rsidR="00492D5F" w:rsidRPr="00655FC7" w:rsidRDefault="00492D5F" w:rsidP="00B62479">
      <w:pPr>
        <w:pStyle w:val="Nagwek2"/>
      </w:pPr>
      <w:bookmarkStart w:id="42" w:name="_Toc177732030"/>
      <w:r w:rsidRPr="00655FC7">
        <w:t>Metoda opracowania Planu Adaptacji</w:t>
      </w:r>
      <w:bookmarkEnd w:id="42"/>
    </w:p>
    <w:p w14:paraId="36378315" w14:textId="5D7F6F6F" w:rsidR="00492D5F" w:rsidRPr="00655FC7" w:rsidRDefault="00492D5F" w:rsidP="00E552BD">
      <w:pPr>
        <w:tabs>
          <w:tab w:val="left" w:pos="3119"/>
        </w:tabs>
        <w:rPr>
          <w:rFonts w:cstheme="minorHAnsi"/>
          <w:color w:val="auto"/>
        </w:rPr>
      </w:pPr>
      <w:r w:rsidRPr="00655FC7">
        <w:rPr>
          <w:rFonts w:cstheme="minorHAnsi"/>
          <w:color w:val="auto"/>
        </w:rPr>
        <w:t xml:space="preserve">Plan Adaptacji do zmian klimatu </w:t>
      </w:r>
      <w:r w:rsidR="00330C51" w:rsidRPr="00655FC7">
        <w:rPr>
          <w:rFonts w:cstheme="minorHAnsi"/>
          <w:color w:val="auto"/>
        </w:rPr>
        <w:t xml:space="preserve">opracowywany jest </w:t>
      </w:r>
      <w:r w:rsidRPr="00655FC7">
        <w:rPr>
          <w:rFonts w:cstheme="minorHAnsi"/>
          <w:color w:val="auto"/>
        </w:rPr>
        <w:t>według jednolitej metody opisanej w</w:t>
      </w:r>
      <w:r w:rsidR="00330C51" w:rsidRPr="00655FC7">
        <w:rPr>
          <w:rFonts w:cstheme="minorHAnsi"/>
          <w:color w:val="auto"/>
        </w:rPr>
        <w:t> </w:t>
      </w:r>
      <w:r w:rsidRPr="00655FC7">
        <w:rPr>
          <w:rFonts w:cstheme="minorHAnsi"/>
          <w:i/>
          <w:color w:val="auto"/>
        </w:rPr>
        <w:t>Podręczniku adaptacji dla miast, wytyczne do przygotowania Miejskiego Planu Adaptacji do zmian klimatu.</w:t>
      </w:r>
      <w:r w:rsidR="004655D7" w:rsidRPr="00655FC7">
        <w:rPr>
          <w:rFonts w:cstheme="minorHAnsi"/>
          <w:i/>
          <w:color w:val="auto"/>
        </w:rPr>
        <w:t xml:space="preserve"> Aktualizacja 2023.</w:t>
      </w:r>
      <w:r w:rsidRPr="00655FC7">
        <w:rPr>
          <w:rFonts w:cstheme="minorHAnsi"/>
          <w:i/>
          <w:color w:val="auto"/>
        </w:rPr>
        <w:t xml:space="preserve"> </w:t>
      </w:r>
      <w:r w:rsidRPr="00655FC7">
        <w:rPr>
          <w:rFonts w:cstheme="minorHAnsi"/>
          <w:color w:val="auto"/>
        </w:rPr>
        <w:t>Zgodnie z</w:t>
      </w:r>
      <w:r w:rsidR="00330C51" w:rsidRPr="00655FC7">
        <w:rPr>
          <w:rFonts w:cstheme="minorHAnsi"/>
          <w:color w:val="auto"/>
        </w:rPr>
        <w:t xml:space="preserve"> </w:t>
      </w:r>
      <w:r w:rsidRPr="00655FC7">
        <w:rPr>
          <w:rFonts w:cstheme="minorHAnsi"/>
          <w:color w:val="auto"/>
        </w:rPr>
        <w:t xml:space="preserve">wymienionymi wytycznymi </w:t>
      </w:r>
      <w:r w:rsidR="00330C51" w:rsidRPr="00655FC7">
        <w:rPr>
          <w:rFonts w:cstheme="minorHAnsi"/>
          <w:color w:val="auto"/>
        </w:rPr>
        <w:t>n</w:t>
      </w:r>
      <w:r w:rsidR="00E552BD" w:rsidRPr="00655FC7">
        <w:rPr>
          <w:rFonts w:cstheme="minorHAnsi"/>
          <w:color w:val="auto"/>
        </w:rPr>
        <w:t>a cykl adaptacji do zmian klimatu składa się sześć etapów, które przedstawiono na schemacie. Każdy etap dostarcza wiedzy do MPA, jego opracowania lub aktualizacji</w:t>
      </w:r>
      <w:r w:rsidRPr="00655FC7">
        <w:rPr>
          <w:rFonts w:cstheme="minorHAnsi"/>
          <w:color w:val="auto"/>
        </w:rPr>
        <w:t>.</w:t>
      </w:r>
    </w:p>
    <w:p w14:paraId="0AAC989B" w14:textId="77777777" w:rsidR="00492D5F" w:rsidRPr="00655FC7" w:rsidRDefault="00492D5F" w:rsidP="00FA25C5">
      <w:pPr>
        <w:pStyle w:val="Cytat"/>
        <w:rPr>
          <w:lang w:eastAsia="pl-PL"/>
        </w:rPr>
      </w:pPr>
      <w:r w:rsidRPr="00655FC7">
        <w:rPr>
          <w:noProof/>
        </w:rPr>
        <w:lastRenderedPageBreak/>
        <w:drawing>
          <wp:inline distT="0" distB="0" distL="0" distR="0" wp14:anchorId="115D0102" wp14:editId="7EECB66E">
            <wp:extent cx="4320000" cy="4320000"/>
            <wp:effectExtent l="0" t="57150" r="0" b="99695"/>
            <wp:docPr id="70" name="Diagram 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1A67379F" w14:textId="292A822E" w:rsidR="00492D5F" w:rsidRPr="00655FC7" w:rsidRDefault="00492D5F" w:rsidP="00843088">
      <w:pPr>
        <w:pStyle w:val="Stylrysunek"/>
      </w:pPr>
      <w:bookmarkStart w:id="43" w:name="_Ref42861168"/>
      <w:bookmarkStart w:id="44" w:name="_Toc178846343"/>
      <w:r w:rsidRPr="00655FC7">
        <w:t xml:space="preserve">Rysunek </w:t>
      </w:r>
      <w:r w:rsidR="00EA4C85">
        <w:fldChar w:fldCharType="begin"/>
      </w:r>
      <w:r w:rsidR="00EA4C85">
        <w:instrText xml:space="preserve"> SEQ Rysunek \* ARABIC </w:instrText>
      </w:r>
      <w:r w:rsidR="00EA4C85">
        <w:fldChar w:fldCharType="separate"/>
      </w:r>
      <w:r w:rsidR="00A654D8">
        <w:rPr>
          <w:noProof/>
        </w:rPr>
        <w:t>1</w:t>
      </w:r>
      <w:r w:rsidR="00EA4C85">
        <w:rPr>
          <w:noProof/>
        </w:rPr>
        <w:fldChar w:fldCharType="end"/>
      </w:r>
      <w:bookmarkEnd w:id="43"/>
      <w:r w:rsidRPr="00655FC7">
        <w:t>. Etapy opracowania Planu Adaptacji.</w:t>
      </w:r>
      <w:bookmarkEnd w:id="44"/>
    </w:p>
    <w:p w14:paraId="04CD82EA" w14:textId="5E422F24" w:rsidR="00492D5F" w:rsidRPr="00655FC7" w:rsidRDefault="00492D5F" w:rsidP="00843088">
      <w:pPr>
        <w:pStyle w:val="Cytat"/>
      </w:pPr>
      <w:r w:rsidRPr="00655FC7">
        <w:t xml:space="preserve">źródło: </w:t>
      </w:r>
      <w:r w:rsidR="00F84DE6" w:rsidRPr="00655FC7">
        <w:t>Podręcznik Adaptacji do Zmian Klimatu dla Miast</w:t>
      </w:r>
      <w:r w:rsidR="00952DE4" w:rsidRPr="00655FC7">
        <w:t xml:space="preserve">, </w:t>
      </w:r>
      <w:r w:rsidR="00952DE4" w:rsidRPr="00655FC7">
        <w:rPr>
          <w:i/>
          <w:iCs/>
        </w:rPr>
        <w:t>Aktualizacja 2023</w:t>
      </w:r>
    </w:p>
    <w:p w14:paraId="5B240EAB" w14:textId="77777777" w:rsidR="00492D5F" w:rsidRPr="00655FC7" w:rsidRDefault="00492D5F" w:rsidP="00492D5F">
      <w:pPr>
        <w:tabs>
          <w:tab w:val="left" w:pos="3119"/>
        </w:tabs>
        <w:rPr>
          <w:rFonts w:cstheme="minorHAnsi"/>
          <w:color w:val="auto"/>
        </w:rPr>
      </w:pPr>
    </w:p>
    <w:p w14:paraId="63090C1F" w14:textId="705B6229" w:rsidR="00613C63" w:rsidRPr="00655FC7" w:rsidRDefault="00613C63" w:rsidP="00492D5F">
      <w:pPr>
        <w:tabs>
          <w:tab w:val="left" w:pos="3119"/>
        </w:tabs>
        <w:rPr>
          <w:rFonts w:cstheme="minorHAnsi"/>
          <w:color w:val="auto"/>
        </w:rPr>
      </w:pPr>
      <w:r w:rsidRPr="00655FC7">
        <w:rPr>
          <w:rFonts w:cstheme="minorHAnsi"/>
          <w:color w:val="auto"/>
        </w:rPr>
        <w:t xml:space="preserve">W planowaniu adaptacji konieczne są zidentyfikowanie zagrożeń, ocena ryzyka klimatycznego oraz adekwatne do niego zaplanowanie działań adaptacyjnych wraz z ustalonymi mechanizmami ich wdrażania. Wdrażanie MPA następuje po przyjęciu go uchwałą rady miasta, a rezultaty wdrażania działań są monitorowane i oceniane. Proces ewaluacji może wskazać konieczność aktualizacji MPA i ponowne przyjrzenie się sytuacji miasta w obliczu zmian klimatu. Cykl adaptacji jest więc nieprzerwany, a pierwszy etap opracowania MPA jest w kolejnym cyklu tożsamy z pierwszym etapem aktualizacji dokumentu. </w:t>
      </w:r>
    </w:p>
    <w:p w14:paraId="1654EB8E" w14:textId="77777777" w:rsidR="00613C63" w:rsidRPr="00655FC7" w:rsidRDefault="00613C63" w:rsidP="00492D5F">
      <w:pPr>
        <w:tabs>
          <w:tab w:val="left" w:pos="3119"/>
        </w:tabs>
        <w:rPr>
          <w:rFonts w:cstheme="minorHAnsi"/>
          <w:color w:val="auto"/>
        </w:rPr>
      </w:pPr>
    </w:p>
    <w:p w14:paraId="1549BFD3" w14:textId="4D73802D" w:rsidR="00492D5F" w:rsidRPr="00655FC7" w:rsidRDefault="00492D5F" w:rsidP="00492D5F">
      <w:pPr>
        <w:tabs>
          <w:tab w:val="left" w:pos="3119"/>
        </w:tabs>
        <w:rPr>
          <w:rFonts w:cstheme="minorHAnsi"/>
          <w:color w:val="auto"/>
        </w:rPr>
      </w:pPr>
      <w:r w:rsidRPr="00655FC7">
        <w:rPr>
          <w:rFonts w:cstheme="minorHAnsi"/>
          <w:color w:val="auto"/>
        </w:rPr>
        <w:t>Jak wskazano na poniższym diagramie, ocena podatności miasta następuje poprzez wzięcie pod uwagę narażenia, wrażliwości na dany czynnik klimatyczny oraz potencjału adaptacyjnego miasta.</w:t>
      </w:r>
    </w:p>
    <w:p w14:paraId="4950ADA3" w14:textId="77777777" w:rsidR="00492D5F" w:rsidRPr="00655FC7" w:rsidRDefault="00492D5F" w:rsidP="00FA25C5">
      <w:pPr>
        <w:pStyle w:val="Cytat"/>
      </w:pPr>
      <w:r w:rsidRPr="00655FC7">
        <w:rPr>
          <w:noProof/>
        </w:rPr>
        <w:lastRenderedPageBreak/>
        <w:drawing>
          <wp:inline distT="0" distB="0" distL="0" distR="0" wp14:anchorId="6B61B997" wp14:editId="6EE050A5">
            <wp:extent cx="5003321" cy="2570671"/>
            <wp:effectExtent l="0" t="0" r="26035" b="20320"/>
            <wp:docPr id="72" name="Diagram 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37221198" w14:textId="12972240" w:rsidR="00492D5F" w:rsidRPr="00655FC7" w:rsidRDefault="00492D5F" w:rsidP="00F84DE6">
      <w:pPr>
        <w:pStyle w:val="Stylrysunek"/>
      </w:pPr>
      <w:bookmarkStart w:id="45" w:name="_Ref43104832"/>
      <w:bookmarkStart w:id="46" w:name="_Toc178846344"/>
      <w:r w:rsidRPr="00655FC7">
        <w:t xml:space="preserve">Rysunek </w:t>
      </w:r>
      <w:r w:rsidR="00EA4C85">
        <w:fldChar w:fldCharType="begin"/>
      </w:r>
      <w:r w:rsidR="00EA4C85">
        <w:instrText xml:space="preserve"> SEQ Rysunek \* ARABIC </w:instrText>
      </w:r>
      <w:r w:rsidR="00EA4C85">
        <w:fldChar w:fldCharType="separate"/>
      </w:r>
      <w:r w:rsidR="00A654D8">
        <w:rPr>
          <w:noProof/>
        </w:rPr>
        <w:t>2</w:t>
      </w:r>
      <w:r w:rsidR="00EA4C85">
        <w:rPr>
          <w:noProof/>
        </w:rPr>
        <w:fldChar w:fldCharType="end"/>
      </w:r>
      <w:bookmarkEnd w:id="45"/>
      <w:r w:rsidRPr="00655FC7">
        <w:t>. Elementy niezbędne do określenia podatności danego obszaru na czynnik klimatyczny.</w:t>
      </w:r>
      <w:bookmarkEnd w:id="46"/>
    </w:p>
    <w:p w14:paraId="3109C3B8" w14:textId="77777777" w:rsidR="00492D5F" w:rsidRPr="00655FC7" w:rsidRDefault="00492D5F" w:rsidP="00F84DE6">
      <w:pPr>
        <w:pStyle w:val="Cytat"/>
      </w:pPr>
      <w:r w:rsidRPr="00655FC7">
        <w:t>źródło: https://klimada.mos.gov.pl</w:t>
      </w:r>
    </w:p>
    <w:p w14:paraId="5EA638F7" w14:textId="77777777" w:rsidR="00492D5F" w:rsidRPr="00655FC7" w:rsidRDefault="00492D5F" w:rsidP="00492D5F">
      <w:pPr>
        <w:tabs>
          <w:tab w:val="left" w:pos="3119"/>
        </w:tabs>
        <w:rPr>
          <w:rFonts w:cstheme="minorHAnsi"/>
          <w:color w:val="auto"/>
          <w:lang w:eastAsia="pl-PL"/>
        </w:rPr>
      </w:pPr>
    </w:p>
    <w:p w14:paraId="558FBCD0" w14:textId="0CFC51F0" w:rsidR="006236A5" w:rsidRPr="00655FC7" w:rsidRDefault="006236A5" w:rsidP="00492D5F">
      <w:pPr>
        <w:tabs>
          <w:tab w:val="left" w:pos="3119"/>
        </w:tabs>
        <w:rPr>
          <w:rFonts w:cstheme="minorHAnsi"/>
          <w:color w:val="auto"/>
        </w:rPr>
      </w:pPr>
      <w:r w:rsidRPr="00655FC7">
        <w:rPr>
          <w:rFonts w:cstheme="minorHAnsi"/>
          <w:color w:val="auto"/>
        </w:rPr>
        <w:t>Z wyznaczonych celów i poprzez uwzględnienie stopnia ryzyka klimatycznego miasta, wynikają opcje adaptacji, czyli możliwe działania adaptacyjne odpowiadające na określony cel szczegółowy. Najlepiej, gdy opcje adaptacyjne składają się na rozwiązania o różnym charakterze:</w:t>
      </w:r>
    </w:p>
    <w:p w14:paraId="2076C9B9" w14:textId="77FF1E5D" w:rsidR="006236A5" w:rsidRPr="00655FC7" w:rsidRDefault="006856B6">
      <w:pPr>
        <w:pStyle w:val="Akapitzlist"/>
        <w:numPr>
          <w:ilvl w:val="0"/>
          <w:numId w:val="44"/>
        </w:numPr>
        <w:tabs>
          <w:tab w:val="left" w:pos="3119"/>
        </w:tabs>
        <w:rPr>
          <w:rFonts w:cstheme="minorHAnsi"/>
          <w:color w:val="auto"/>
        </w:rPr>
      </w:pPr>
      <w:r w:rsidRPr="00655FC7">
        <w:rPr>
          <w:rFonts w:cstheme="minorHAnsi"/>
          <w:color w:val="auto"/>
        </w:rPr>
        <w:t>technicznym,</w:t>
      </w:r>
    </w:p>
    <w:p w14:paraId="4CA3DE2A" w14:textId="5D5CD444" w:rsidR="006236A5" w:rsidRPr="00655FC7" w:rsidRDefault="006856B6">
      <w:pPr>
        <w:pStyle w:val="Akapitzlist"/>
        <w:numPr>
          <w:ilvl w:val="0"/>
          <w:numId w:val="44"/>
        </w:numPr>
        <w:tabs>
          <w:tab w:val="left" w:pos="3119"/>
        </w:tabs>
        <w:rPr>
          <w:rFonts w:cstheme="minorHAnsi"/>
          <w:color w:val="auto"/>
        </w:rPr>
      </w:pPr>
      <w:r w:rsidRPr="00655FC7">
        <w:rPr>
          <w:rFonts w:cstheme="minorHAnsi"/>
          <w:color w:val="auto"/>
        </w:rPr>
        <w:t>organizacyjnym,</w:t>
      </w:r>
    </w:p>
    <w:p w14:paraId="27213C8C" w14:textId="1BBAD749" w:rsidR="006856B6" w:rsidRPr="00655FC7" w:rsidRDefault="006856B6">
      <w:pPr>
        <w:pStyle w:val="Akapitzlist"/>
        <w:numPr>
          <w:ilvl w:val="0"/>
          <w:numId w:val="44"/>
        </w:numPr>
        <w:tabs>
          <w:tab w:val="left" w:pos="3119"/>
        </w:tabs>
        <w:rPr>
          <w:rFonts w:cstheme="minorHAnsi"/>
          <w:color w:val="auto"/>
        </w:rPr>
      </w:pPr>
      <w:r w:rsidRPr="00655FC7">
        <w:rPr>
          <w:rFonts w:cstheme="minorHAnsi"/>
          <w:color w:val="auto"/>
        </w:rPr>
        <w:t>informacyjno-edukacyjnym</w:t>
      </w:r>
      <w:r w:rsidR="007D1498" w:rsidRPr="00655FC7">
        <w:rPr>
          <w:rFonts w:cstheme="minorHAnsi"/>
          <w:color w:val="auto"/>
        </w:rPr>
        <w:t>.</w:t>
      </w:r>
    </w:p>
    <w:p w14:paraId="15644CBA" w14:textId="77777777" w:rsidR="006236A5" w:rsidRPr="00655FC7" w:rsidRDefault="006236A5" w:rsidP="00492D5F">
      <w:pPr>
        <w:tabs>
          <w:tab w:val="left" w:pos="3119"/>
        </w:tabs>
        <w:rPr>
          <w:rFonts w:cstheme="minorHAnsi"/>
          <w:color w:val="auto"/>
        </w:rPr>
      </w:pPr>
    </w:p>
    <w:p w14:paraId="15CFC266" w14:textId="77777777" w:rsidR="00492D5F" w:rsidRPr="00655FC7" w:rsidRDefault="00492D5F" w:rsidP="00492D5F">
      <w:pPr>
        <w:tabs>
          <w:tab w:val="left" w:pos="3119"/>
        </w:tabs>
        <w:rPr>
          <w:rFonts w:cstheme="minorHAnsi"/>
          <w:color w:val="auto"/>
        </w:rPr>
      </w:pPr>
      <w:r w:rsidRPr="00655FC7">
        <w:rPr>
          <w:rFonts w:cstheme="minorHAnsi"/>
          <w:color w:val="auto"/>
          <w:lang w:eastAsia="pl-PL"/>
        </w:rPr>
        <w:t xml:space="preserve">Dobór danych opcji adaptacyjnych należy oprzeć o przyjęcie rozsądkowego podejścia zawierającego analizę kosztów i korzyści </w:t>
      </w:r>
      <w:r w:rsidRPr="00655FC7">
        <w:rPr>
          <w:rFonts w:cstheme="minorHAnsi"/>
          <w:color w:val="auto"/>
        </w:rPr>
        <w:t>tak, aby założone cele osiągnąć w optymalny sposób.</w:t>
      </w:r>
    </w:p>
    <w:p w14:paraId="5E617E3F" w14:textId="0310B3EE" w:rsidR="00492D5F" w:rsidRPr="00655FC7" w:rsidRDefault="00492D5F" w:rsidP="00492D5F">
      <w:pPr>
        <w:tabs>
          <w:tab w:val="left" w:pos="3119"/>
        </w:tabs>
        <w:ind w:firstLine="0"/>
        <w:rPr>
          <w:rFonts w:cstheme="minorHAnsi"/>
          <w:color w:val="auto"/>
        </w:rPr>
      </w:pPr>
    </w:p>
    <w:p w14:paraId="1EBD7CB9" w14:textId="73CE442E" w:rsidR="0013401A" w:rsidRPr="00655FC7" w:rsidRDefault="00623B6C" w:rsidP="00EA59E9">
      <w:pPr>
        <w:tabs>
          <w:tab w:val="left" w:pos="3119"/>
        </w:tabs>
        <w:ind w:firstLine="0"/>
        <w:jc w:val="center"/>
        <w:rPr>
          <w:rFonts w:cstheme="minorHAnsi"/>
          <w:color w:val="auto"/>
        </w:rPr>
      </w:pPr>
      <w:r w:rsidRPr="00655FC7">
        <w:rPr>
          <w:rFonts w:cstheme="minorHAnsi"/>
          <w:noProof/>
          <w:color w:val="auto"/>
        </w:rPr>
        <mc:AlternateContent>
          <mc:Choice Requires="wps">
            <w:drawing>
              <wp:anchor distT="0" distB="0" distL="114300" distR="114300" simplePos="0" relativeHeight="251677696" behindDoc="0" locked="0" layoutInCell="1" allowOverlap="1" wp14:anchorId="483111D1" wp14:editId="38E254C0">
                <wp:simplePos x="0" y="0"/>
                <wp:positionH relativeFrom="column">
                  <wp:posOffset>369570</wp:posOffset>
                </wp:positionH>
                <wp:positionV relativeFrom="paragraph">
                  <wp:posOffset>1195202</wp:posOffset>
                </wp:positionV>
                <wp:extent cx="1151140" cy="831215"/>
                <wp:effectExtent l="0" t="0" r="0" b="6985"/>
                <wp:wrapNone/>
                <wp:docPr id="307404491" name="Pole tekstowe 3"/>
                <wp:cNvGraphicFramePr/>
                <a:graphic xmlns:a="http://schemas.openxmlformats.org/drawingml/2006/main">
                  <a:graphicData uri="http://schemas.microsoft.com/office/word/2010/wordprocessingShape">
                    <wps:wsp>
                      <wps:cNvSpPr txBox="1"/>
                      <wps:spPr>
                        <a:xfrm>
                          <a:off x="0" y="0"/>
                          <a:ext cx="1151140" cy="831215"/>
                        </a:xfrm>
                        <a:prstGeom prst="rect">
                          <a:avLst/>
                        </a:prstGeom>
                        <a:noFill/>
                        <a:ln w="6350">
                          <a:noFill/>
                        </a:ln>
                      </wps:spPr>
                      <wps:txbx>
                        <w:txbxContent>
                          <w:p w14:paraId="494B6723" w14:textId="157B3B23" w:rsidR="00F15068" w:rsidRPr="00655FC7" w:rsidRDefault="00F15068" w:rsidP="00F15068">
                            <w:pPr>
                              <w:ind w:firstLine="0"/>
                              <w:rPr>
                                <w:b/>
                                <w:bCs/>
                              </w:rPr>
                            </w:pPr>
                            <w:r w:rsidRPr="00655FC7">
                              <w:rPr>
                                <w:b/>
                                <w:bCs/>
                              </w:rPr>
                              <w:t>Działa</w:t>
                            </w:r>
                            <w:r w:rsidR="009C3C28" w:rsidRPr="00655FC7">
                              <w:rPr>
                                <w:b/>
                                <w:bCs/>
                              </w:rPr>
                              <w:t xml:space="preserve">nia </w:t>
                            </w:r>
                            <w:r w:rsidRPr="00655FC7">
                              <w:rPr>
                                <w:b/>
                                <w:bCs/>
                              </w:rPr>
                              <w:t>or</w:t>
                            </w:r>
                            <w:r w:rsidR="009C3C28" w:rsidRPr="00655FC7">
                              <w:rPr>
                                <w:b/>
                                <w:bCs/>
                              </w:rPr>
                              <w:t>g</w:t>
                            </w:r>
                            <w:r w:rsidRPr="00655FC7">
                              <w:rPr>
                                <w:b/>
                                <w:bCs/>
                              </w:rPr>
                              <w:t>anizacyjne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3111D1" id="_x0000_t202" coordsize="21600,21600" o:spt="202" path="m,l,21600r21600,l21600,xe">
                <v:stroke joinstyle="miter"/>
                <v:path gradientshapeok="t" o:connecttype="rect"/>
              </v:shapetype>
              <v:shape id="Pole tekstowe 3" o:spid="_x0000_s1026" type="#_x0000_t202" style="position:absolute;left:0;text-align:left;margin-left:29.1pt;margin-top:94.1pt;width:90.65pt;height:65.4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" filled="f" stroked="f" strokeweight=".5pt">
                <v:textbox>
                  <w:txbxContent>
                    <w:p w14:paraId="494B6723" w14:textId="157B3B23" w:rsidR="00F15068" w:rsidRPr="00655FC7" w:rsidRDefault="00F15068" w:rsidP="00F15068">
                      <w:pPr>
                        <w:ind w:firstLine="0"/>
                        <w:rPr>
                          <w:b/>
                          <w:bCs/>
                        </w:rPr>
                      </w:pPr>
                      <w:r w:rsidRPr="00655FC7">
                        <w:rPr>
                          <w:b/>
                          <w:bCs/>
                        </w:rPr>
                        <w:t>Działa</w:t>
                      </w:r>
                      <w:r w:rsidR="009C3C28" w:rsidRPr="00655FC7">
                        <w:rPr>
                          <w:b/>
                          <w:bCs/>
                        </w:rPr>
                        <w:t xml:space="preserve">nia </w:t>
                      </w:r>
                      <w:r w:rsidRPr="00655FC7">
                        <w:rPr>
                          <w:b/>
                          <w:bCs/>
                        </w:rPr>
                        <w:t>or</w:t>
                      </w:r>
                      <w:r w:rsidR="009C3C28" w:rsidRPr="00655FC7">
                        <w:rPr>
                          <w:b/>
                          <w:bCs/>
                        </w:rPr>
                        <w:t>g</w:t>
                      </w:r>
                      <w:r w:rsidRPr="00655FC7">
                        <w:rPr>
                          <w:b/>
                          <w:bCs/>
                        </w:rPr>
                        <w:t>anizacyjne</w:t>
                      </w:r>
                    </w:p>
                  </w:txbxContent>
                </v:textbox>
              </v:shape>
            </w:pict>
          </mc:Fallback>
        </mc:AlternateContent>
      </w:r>
      <w:r w:rsidR="00916561" w:rsidRPr="00655FC7">
        <w:rPr>
          <w:rFonts w:cstheme="minorHAnsi"/>
          <w:noProof/>
          <w:color w:val="auto"/>
        </w:rPr>
        <mc:AlternateContent>
          <mc:Choice Requires="wps">
            <w:drawing>
              <wp:anchor distT="0" distB="0" distL="114300" distR="114300" simplePos="0" relativeHeight="251679744" behindDoc="0" locked="0" layoutInCell="1" allowOverlap="1" wp14:anchorId="2528A3ED" wp14:editId="2580D669">
                <wp:simplePos x="0" y="0"/>
                <wp:positionH relativeFrom="column">
                  <wp:posOffset>370090</wp:posOffset>
                </wp:positionH>
                <wp:positionV relativeFrom="paragraph">
                  <wp:posOffset>2109470</wp:posOffset>
                </wp:positionV>
                <wp:extent cx="1045029" cy="854710"/>
                <wp:effectExtent l="0" t="0" r="0" b="2540"/>
                <wp:wrapNone/>
                <wp:docPr id="1599871058" name="Pole tekstowe 4"/>
                <wp:cNvGraphicFramePr/>
                <a:graphic xmlns:a="http://schemas.openxmlformats.org/drawingml/2006/main">
                  <a:graphicData uri="http://schemas.microsoft.com/office/word/2010/wordprocessingShape">
                    <wps:wsp>
                      <wps:cNvSpPr txBox="1"/>
                      <wps:spPr>
                        <a:xfrm>
                          <a:off x="0" y="0"/>
                          <a:ext cx="1045029" cy="854710"/>
                        </a:xfrm>
                        <a:prstGeom prst="rect">
                          <a:avLst/>
                        </a:prstGeom>
                        <a:noFill/>
                        <a:ln w="6350">
                          <a:noFill/>
                        </a:ln>
                      </wps:spPr>
                      <wps:txbx>
                        <w:txbxContent>
                          <w:p w14:paraId="269B8BB0" w14:textId="3D294470" w:rsidR="009C3C28" w:rsidRPr="00655FC7" w:rsidRDefault="009C3C28" w:rsidP="009C3C28">
                            <w:pPr>
                              <w:ind w:firstLine="0"/>
                              <w:rPr>
                                <w:b/>
                                <w:bCs/>
                              </w:rPr>
                            </w:pPr>
                            <w:r w:rsidRPr="00655FC7">
                              <w:rPr>
                                <w:b/>
                                <w:bCs/>
                              </w:rPr>
                              <w:t>Działania informacyjno-edukacyjne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28A3ED" id="Pole tekstowe 4" o:spid="_x0000_s1027" type="#_x0000_t202" style="position:absolute;left:0;text-align:left;margin-left:29.15pt;margin-top:166.1pt;width:82.3pt;height:67.3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" filled="f" stroked="f" strokeweight=".5pt">
                <v:textbox>
                  <w:txbxContent>
                    <w:p w14:paraId="269B8BB0" w14:textId="3D294470" w:rsidR="009C3C28" w:rsidRPr="00655FC7" w:rsidRDefault="009C3C28" w:rsidP="009C3C28">
                      <w:pPr>
                        <w:ind w:firstLine="0"/>
                        <w:rPr>
                          <w:b/>
                          <w:bCs/>
                        </w:rPr>
                      </w:pPr>
                      <w:r w:rsidRPr="00655FC7">
                        <w:rPr>
                          <w:b/>
                          <w:bCs/>
                        </w:rPr>
                        <w:t>Działania informacyjno-edukacyjne</w:t>
                      </w:r>
                    </w:p>
                  </w:txbxContent>
                </v:textbox>
              </v:shape>
            </w:pict>
          </mc:Fallback>
        </mc:AlternateContent>
      </w:r>
      <w:r w:rsidR="009C3C28" w:rsidRPr="00655FC7">
        <w:rPr>
          <w:rFonts w:cstheme="minorHAnsi"/>
          <w:noProof/>
          <w:color w:val="auto"/>
        </w:rPr>
        <mc:AlternateContent>
          <mc:Choice Requires="wps">
            <w:drawing>
              <wp:anchor distT="0" distB="0" distL="114300" distR="114300" simplePos="0" relativeHeight="251675648" behindDoc="0" locked="0" layoutInCell="1" allowOverlap="1" wp14:anchorId="50CD4DC6" wp14:editId="1652813F">
                <wp:simplePos x="0" y="0"/>
                <wp:positionH relativeFrom="column">
                  <wp:posOffset>370230</wp:posOffset>
                </wp:positionH>
                <wp:positionV relativeFrom="paragraph">
                  <wp:posOffset>162296</wp:posOffset>
                </wp:positionV>
                <wp:extent cx="985215" cy="605642"/>
                <wp:effectExtent l="0" t="0" r="0" b="4445"/>
                <wp:wrapNone/>
                <wp:docPr id="1650318587" name="Pole tekstowe 2"/>
                <wp:cNvGraphicFramePr/>
                <a:graphic xmlns:a="http://schemas.openxmlformats.org/drawingml/2006/main">
                  <a:graphicData uri="http://schemas.microsoft.com/office/word/2010/wordprocessingShape">
                    <wps:wsp>
                      <wps:cNvSpPr txBox="1"/>
                      <wps:spPr>
                        <a:xfrm>
                          <a:off x="0" y="0"/>
                          <a:ext cx="985215" cy="605642"/>
                        </a:xfrm>
                        <a:prstGeom prst="rect">
                          <a:avLst/>
                        </a:prstGeom>
                        <a:noFill/>
                        <a:ln w="6350">
                          <a:noFill/>
                        </a:ln>
                      </wps:spPr>
                      <wps:txbx>
                        <w:txbxContent>
                          <w:p w14:paraId="05B85CD4" w14:textId="20BDFBF2" w:rsidR="0013401A" w:rsidRPr="00655FC7" w:rsidRDefault="0013401A" w:rsidP="0013401A">
                            <w:pPr>
                              <w:ind w:firstLine="0"/>
                              <w:rPr>
                                <w:b/>
                                <w:bCs/>
                              </w:rPr>
                            </w:pPr>
                            <w:r w:rsidRPr="00655FC7">
                              <w:rPr>
                                <w:b/>
                                <w:bCs/>
                              </w:rPr>
                              <w:t>Działania techniczne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CD4DC6" id="Pole tekstowe 2" o:spid="_x0000_s1028" type="#_x0000_t202" style="position:absolute;left:0;text-align:left;margin-left:29.15pt;margin-top:12.8pt;width:77.6pt;height:47.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" filled="f" stroked="f" strokeweight=".5pt">
                <v:textbox>
                  <w:txbxContent>
                    <w:p w14:paraId="05B85CD4" w14:textId="20BDFBF2" w:rsidR="0013401A" w:rsidRPr="00655FC7" w:rsidRDefault="0013401A" w:rsidP="0013401A">
                      <w:pPr>
                        <w:ind w:firstLine="0"/>
                        <w:rPr>
                          <w:b/>
                          <w:bCs/>
                        </w:rPr>
                      </w:pPr>
                      <w:r w:rsidRPr="00655FC7">
                        <w:rPr>
                          <w:b/>
                          <w:bCs/>
                        </w:rPr>
                        <w:t>Działania techniczne</w:t>
                      </w:r>
                    </w:p>
                  </w:txbxContent>
                </v:textbox>
              </v:shape>
            </w:pict>
          </mc:Fallback>
        </mc:AlternateContent>
      </w:r>
      <w:r w:rsidR="0013401A" w:rsidRPr="00655FC7">
        <w:rPr>
          <w:rFonts w:cstheme="minorHAnsi"/>
          <w:noProof/>
          <w:color w:val="auto"/>
        </w:rPr>
        <w:drawing>
          <wp:inline distT="0" distB="0" distL="0" distR="0" wp14:anchorId="4069D912" wp14:editId="70675712">
            <wp:extent cx="5760000" cy="3034146"/>
            <wp:effectExtent l="0" t="0" r="12700" b="0"/>
            <wp:docPr id="1645464283"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052AB800" w14:textId="5C80120C" w:rsidR="0013401A" w:rsidRPr="00655FC7" w:rsidRDefault="00623B6C" w:rsidP="00623B6C">
      <w:pPr>
        <w:tabs>
          <w:tab w:val="left" w:pos="3119"/>
        </w:tabs>
        <w:ind w:firstLine="0"/>
        <w:jc w:val="center"/>
        <w:rPr>
          <w:rFonts w:cstheme="minorHAnsi"/>
          <w:color w:val="auto"/>
          <w:sz w:val="20"/>
          <w:szCs w:val="20"/>
        </w:rPr>
      </w:pPr>
      <w:r w:rsidRPr="00655FC7">
        <w:rPr>
          <w:rFonts w:cstheme="minorHAnsi"/>
          <w:color w:val="auto"/>
          <w:sz w:val="20"/>
          <w:szCs w:val="20"/>
        </w:rPr>
        <w:t>źródło: Podręcznik adaptacji do zmian klimatu dla miast. Aktualizacja 2023</w:t>
      </w:r>
    </w:p>
    <w:p w14:paraId="5D3523C2" w14:textId="77777777" w:rsidR="00492D5F" w:rsidRPr="00655FC7" w:rsidRDefault="00492D5F" w:rsidP="00B62479">
      <w:pPr>
        <w:pStyle w:val="Nagwek2"/>
      </w:pPr>
      <w:bookmarkStart w:id="47" w:name="_Toc177732031"/>
      <w:r w:rsidRPr="00655FC7">
        <w:lastRenderedPageBreak/>
        <w:t>Udział społeczeństwa w opracowaniu Planu Adaptacji</w:t>
      </w:r>
      <w:bookmarkEnd w:id="47"/>
    </w:p>
    <w:p w14:paraId="50D9AE25" w14:textId="373056BC" w:rsidR="00D51C53" w:rsidRPr="00655FC7" w:rsidRDefault="00492D5F" w:rsidP="00492D5F">
      <w:pPr>
        <w:tabs>
          <w:tab w:val="left" w:pos="3119"/>
        </w:tabs>
        <w:rPr>
          <w:rFonts w:cstheme="minorHAnsi"/>
          <w:color w:val="auto"/>
        </w:rPr>
      </w:pPr>
      <w:r w:rsidRPr="00655FC7">
        <w:rPr>
          <w:rFonts w:cstheme="minorHAnsi"/>
          <w:color w:val="auto"/>
        </w:rPr>
        <w:t xml:space="preserve">Plan Adaptacji do zmian klimatu dla Miasta </w:t>
      </w:r>
      <w:r w:rsidR="00D51C53" w:rsidRPr="00655FC7">
        <w:rPr>
          <w:rFonts w:cstheme="minorHAnsi"/>
          <w:color w:val="auto"/>
        </w:rPr>
        <w:t>Tarnogród</w:t>
      </w:r>
      <w:r w:rsidRPr="00655FC7">
        <w:rPr>
          <w:rFonts w:cstheme="minorHAnsi"/>
          <w:color w:val="auto"/>
        </w:rPr>
        <w:t xml:space="preserve"> powstał z wykorzystaniem metody partycypacyjnej. </w:t>
      </w:r>
      <w:r w:rsidR="00D51C53" w:rsidRPr="00655FC7">
        <w:rPr>
          <w:rFonts w:cstheme="minorHAnsi"/>
          <w:color w:val="auto"/>
        </w:rPr>
        <w:t>Przygotowanie projektu odbyło się przy aktywnym udziale mieszkańców i innych interesariuszy zidentyfikowanych na etapie prac diagnostycznych i konsultacyjnych.</w:t>
      </w:r>
    </w:p>
    <w:p w14:paraId="5AA9A064" w14:textId="37379E81" w:rsidR="00492D5F" w:rsidRPr="00655FC7" w:rsidRDefault="00D51C53" w:rsidP="007F0A4A">
      <w:pPr>
        <w:tabs>
          <w:tab w:val="left" w:pos="3119"/>
        </w:tabs>
        <w:rPr>
          <w:rFonts w:cstheme="minorHAnsi"/>
          <w:color w:val="auto"/>
        </w:rPr>
      </w:pPr>
      <w:r w:rsidRPr="00655FC7">
        <w:rPr>
          <w:rFonts w:cstheme="minorHAnsi"/>
          <w:color w:val="auto"/>
        </w:rPr>
        <w:t>Przede wszystkim p</w:t>
      </w:r>
      <w:r w:rsidR="00492D5F" w:rsidRPr="00655FC7">
        <w:rPr>
          <w:rFonts w:cstheme="minorHAnsi"/>
          <w:color w:val="auto"/>
        </w:rPr>
        <w:t xml:space="preserve">race </w:t>
      </w:r>
      <w:r w:rsidRPr="00655FC7">
        <w:rPr>
          <w:rFonts w:cstheme="minorHAnsi"/>
          <w:color w:val="auto"/>
        </w:rPr>
        <w:t>nad dokumentem</w:t>
      </w:r>
      <w:r w:rsidR="00492D5F" w:rsidRPr="00655FC7">
        <w:rPr>
          <w:rFonts w:cstheme="minorHAnsi"/>
          <w:color w:val="auto"/>
        </w:rPr>
        <w:t xml:space="preserve"> prowadzone były we współpracy z jednostkami Urzędu</w:t>
      </w:r>
      <w:r w:rsidR="002108BB" w:rsidRPr="00655FC7">
        <w:rPr>
          <w:rFonts w:cstheme="minorHAnsi"/>
          <w:color w:val="auto"/>
        </w:rPr>
        <w:t xml:space="preserve"> </w:t>
      </w:r>
      <w:r w:rsidRPr="00655FC7">
        <w:rPr>
          <w:rFonts w:cstheme="minorHAnsi"/>
          <w:color w:val="auto"/>
        </w:rPr>
        <w:t>Miejskiego</w:t>
      </w:r>
      <w:r w:rsidR="00492D5F" w:rsidRPr="00655FC7">
        <w:rPr>
          <w:rFonts w:cstheme="minorHAnsi"/>
          <w:color w:val="auto"/>
        </w:rPr>
        <w:t xml:space="preserve"> </w:t>
      </w:r>
      <w:r w:rsidR="00174FEC" w:rsidRPr="00655FC7">
        <w:rPr>
          <w:rFonts w:cstheme="minorHAnsi"/>
          <w:color w:val="auto"/>
        </w:rPr>
        <w:t xml:space="preserve">w </w:t>
      </w:r>
      <w:r w:rsidRPr="00655FC7">
        <w:rPr>
          <w:rFonts w:cstheme="minorHAnsi"/>
          <w:color w:val="auto"/>
        </w:rPr>
        <w:t>Tarnogrodzie</w:t>
      </w:r>
      <w:r w:rsidR="007B185E" w:rsidRPr="00655FC7">
        <w:rPr>
          <w:rFonts w:cstheme="minorHAnsi"/>
          <w:color w:val="auto"/>
        </w:rPr>
        <w:t xml:space="preserve">: </w:t>
      </w:r>
      <w:r w:rsidR="007F0A4A" w:rsidRPr="00655FC7">
        <w:rPr>
          <w:rFonts w:cstheme="minorHAnsi"/>
          <w:color w:val="auto"/>
        </w:rPr>
        <w:t xml:space="preserve">Zespołem ds. opracowania „Planu adaptacji do zmian klimatu dla miasta Tarnogród” składającym się z pracowników Urzędu Miejskiego w Tarnogrodzie, m.in. </w:t>
      </w:r>
      <w:r w:rsidR="007B185E" w:rsidRPr="00655FC7">
        <w:rPr>
          <w:rFonts w:cstheme="minorHAnsi"/>
          <w:color w:val="auto"/>
        </w:rPr>
        <w:t>stanowiskiem ds. Inwestycji, Zamówień publicznych i pozyskiwania środków zewnętrznych</w:t>
      </w:r>
      <w:r w:rsidR="007F0A4A" w:rsidRPr="00655FC7">
        <w:rPr>
          <w:rFonts w:cstheme="minorHAnsi"/>
          <w:color w:val="auto"/>
        </w:rPr>
        <w:t>. Podmiotem spełniającym nadzór nad całym procesem jest burmistrz Tarnogrodu.</w:t>
      </w:r>
    </w:p>
    <w:p w14:paraId="0A377C47" w14:textId="77777777" w:rsidR="00492D5F" w:rsidRPr="00655FC7" w:rsidRDefault="00492D5F" w:rsidP="00D51C53">
      <w:pPr>
        <w:tabs>
          <w:tab w:val="left" w:pos="3119"/>
        </w:tabs>
        <w:jc w:val="left"/>
        <w:rPr>
          <w:rFonts w:cstheme="minorHAnsi"/>
          <w:color w:val="auto"/>
        </w:rPr>
      </w:pPr>
    </w:p>
    <w:p w14:paraId="5BF78040" w14:textId="4286BCF7" w:rsidR="007F0A4A" w:rsidRPr="00655FC7" w:rsidRDefault="007F0A4A" w:rsidP="007F0A4A">
      <w:pPr>
        <w:tabs>
          <w:tab w:val="left" w:pos="3119"/>
        </w:tabs>
        <w:rPr>
          <w:rFonts w:cstheme="minorHAnsi"/>
          <w:color w:val="auto"/>
        </w:rPr>
      </w:pPr>
      <w:r w:rsidRPr="00655FC7">
        <w:rPr>
          <w:rFonts w:cstheme="minorHAnsi"/>
          <w:color w:val="auto"/>
        </w:rPr>
        <w:t>W ramach aktywnego włączania społeczeństwa w opracowywane Planu Adaptacji przeprowadzono szereg spotkań konsultacyjnych, warsztatów i szkoleń</w:t>
      </w:r>
      <w:r w:rsidR="005E2345" w:rsidRPr="00655FC7">
        <w:rPr>
          <w:rFonts w:cstheme="minorHAnsi"/>
          <w:color w:val="auto"/>
        </w:rPr>
        <w:t>, które miały na celu zaangażowanie lokalnych interesariuszy, w tym również mieszkańców miasta i pozostałych miejscowości gminy. Spotkania pozwoliły na identyfikację obszarów wrażliwych, wymagających ukierunkowania na nie działań adaptacyjnych oraz wypracowanie tych działań, które najlepiej będą odpowiadać lokalnym potrzebom.</w:t>
      </w:r>
    </w:p>
    <w:p w14:paraId="18C7BB0F" w14:textId="5B673A6D" w:rsidR="005E2345" w:rsidRPr="00655FC7" w:rsidRDefault="005E2345" w:rsidP="005E2345">
      <w:pPr>
        <w:tabs>
          <w:tab w:val="left" w:pos="3119"/>
        </w:tabs>
        <w:rPr>
          <w:rFonts w:cstheme="minorHAnsi"/>
          <w:color w:val="auto"/>
        </w:rPr>
      </w:pPr>
      <w:r w:rsidRPr="00655FC7">
        <w:rPr>
          <w:rFonts w:cstheme="minorHAnsi"/>
          <w:color w:val="auto"/>
        </w:rPr>
        <w:t>Na metody i narzędzia partycypacyjne składały się:</w:t>
      </w:r>
    </w:p>
    <w:p w14:paraId="437850B6" w14:textId="0E3D1FDB" w:rsidR="005E2345" w:rsidRPr="00655FC7" w:rsidRDefault="005E2345">
      <w:pPr>
        <w:pStyle w:val="Akapitzlist"/>
        <w:numPr>
          <w:ilvl w:val="0"/>
          <w:numId w:val="45"/>
        </w:numPr>
        <w:tabs>
          <w:tab w:val="left" w:pos="3119"/>
        </w:tabs>
        <w:ind w:left="782" w:hanging="425"/>
        <w:rPr>
          <w:rFonts w:cstheme="minorHAnsi"/>
          <w:color w:val="auto"/>
        </w:rPr>
      </w:pPr>
      <w:r w:rsidRPr="00655FC7">
        <w:rPr>
          <w:rFonts w:cstheme="minorHAnsi"/>
          <w:color w:val="auto"/>
        </w:rPr>
        <w:t>grupy przedstawicielskie,</w:t>
      </w:r>
    </w:p>
    <w:p w14:paraId="6C5DFF39" w14:textId="2CFEDE61" w:rsidR="005E2345" w:rsidRPr="00655FC7" w:rsidRDefault="005E2345">
      <w:pPr>
        <w:pStyle w:val="Akapitzlist"/>
        <w:numPr>
          <w:ilvl w:val="0"/>
          <w:numId w:val="45"/>
        </w:numPr>
        <w:tabs>
          <w:tab w:val="left" w:pos="3119"/>
        </w:tabs>
        <w:ind w:left="782" w:hanging="425"/>
        <w:rPr>
          <w:rFonts w:cstheme="minorHAnsi"/>
          <w:color w:val="auto"/>
        </w:rPr>
      </w:pPr>
      <w:r w:rsidRPr="00655FC7">
        <w:rPr>
          <w:rFonts w:cstheme="minorHAnsi"/>
          <w:color w:val="auto"/>
        </w:rPr>
        <w:t>grono interesariuszy obejmujące organizacje pozarządowe, przedstawicieli biznesu oraz mieszkańców,</w:t>
      </w:r>
    </w:p>
    <w:p w14:paraId="5CE03FCF" w14:textId="242FFC05" w:rsidR="005E2345" w:rsidRPr="00655FC7" w:rsidRDefault="005E2345">
      <w:pPr>
        <w:pStyle w:val="Akapitzlist"/>
        <w:numPr>
          <w:ilvl w:val="0"/>
          <w:numId w:val="45"/>
        </w:numPr>
        <w:tabs>
          <w:tab w:val="left" w:pos="3119"/>
        </w:tabs>
        <w:ind w:left="782" w:hanging="425"/>
        <w:rPr>
          <w:rFonts w:cstheme="minorHAnsi"/>
          <w:color w:val="auto"/>
        </w:rPr>
      </w:pPr>
      <w:r w:rsidRPr="00655FC7">
        <w:rPr>
          <w:rFonts w:cstheme="minorHAnsi"/>
          <w:color w:val="auto"/>
        </w:rPr>
        <w:t>przeprowadzenie Future City Game,</w:t>
      </w:r>
    </w:p>
    <w:p w14:paraId="7B02B067" w14:textId="48FC4F76" w:rsidR="005E2345" w:rsidRPr="00655FC7" w:rsidRDefault="005E2345">
      <w:pPr>
        <w:pStyle w:val="Akapitzlist"/>
        <w:numPr>
          <w:ilvl w:val="0"/>
          <w:numId w:val="45"/>
        </w:numPr>
        <w:tabs>
          <w:tab w:val="left" w:pos="3119"/>
        </w:tabs>
        <w:ind w:left="782" w:hanging="425"/>
        <w:rPr>
          <w:rFonts w:cstheme="minorHAnsi"/>
          <w:color w:val="auto"/>
        </w:rPr>
      </w:pPr>
      <w:r w:rsidRPr="00655FC7">
        <w:rPr>
          <w:rFonts w:cstheme="minorHAnsi"/>
          <w:color w:val="auto"/>
        </w:rPr>
        <w:t>przeprowadzenie badań społecznych, urbanistycznych prac przygotowawczych oraz warsztatów,</w:t>
      </w:r>
    </w:p>
    <w:p w14:paraId="39E16236" w14:textId="028EC3EC" w:rsidR="007F0A4A" w:rsidRPr="00655FC7" w:rsidRDefault="005E2345">
      <w:pPr>
        <w:pStyle w:val="Akapitzlist"/>
        <w:numPr>
          <w:ilvl w:val="0"/>
          <w:numId w:val="45"/>
        </w:numPr>
        <w:tabs>
          <w:tab w:val="left" w:pos="3119"/>
        </w:tabs>
        <w:ind w:left="782" w:hanging="425"/>
        <w:rPr>
          <w:rFonts w:cstheme="minorHAnsi"/>
          <w:color w:val="auto"/>
        </w:rPr>
      </w:pPr>
      <w:r w:rsidRPr="00655FC7">
        <w:rPr>
          <w:rFonts w:cstheme="minorHAnsi"/>
          <w:color w:val="auto"/>
        </w:rPr>
        <w:t>realizację spotkań / szkoleń realizujących funkcje edukacyjne promujące odpowiedzialne zachowania wobec środowiska i ograniczanie negatywnego wpływu na klimat, celem upowszechniania wiedzy, zmiany postaw i zachowań społeczeństwa oraz zachęcenie grup docelowych do podjęcia działań na rzecz adaptacji do skutków zmian klimatu.</w:t>
      </w:r>
    </w:p>
    <w:p w14:paraId="44F1455A" w14:textId="77777777" w:rsidR="005E2345" w:rsidRPr="00655FC7" w:rsidRDefault="005E2345" w:rsidP="005E2345">
      <w:pPr>
        <w:tabs>
          <w:tab w:val="left" w:pos="3119"/>
        </w:tabs>
        <w:jc w:val="left"/>
        <w:rPr>
          <w:rFonts w:cstheme="minorHAnsi"/>
          <w:color w:val="auto"/>
        </w:rPr>
      </w:pPr>
    </w:p>
    <w:p w14:paraId="3FAA128C" w14:textId="16DA3B13" w:rsidR="00492D5F" w:rsidRPr="00655FC7" w:rsidRDefault="00D2132F" w:rsidP="00D2132F">
      <w:pPr>
        <w:tabs>
          <w:tab w:val="left" w:pos="3119"/>
        </w:tabs>
        <w:contextualSpacing/>
        <w:rPr>
          <w:rFonts w:cstheme="minorHAnsi"/>
          <w:color w:val="auto"/>
        </w:rPr>
      </w:pPr>
      <w:r w:rsidRPr="00655FC7">
        <w:rPr>
          <w:rFonts w:cstheme="minorHAnsi"/>
          <w:color w:val="auto"/>
        </w:rPr>
        <w:t xml:space="preserve">Ważnym aspektem Planu Adaptacji jest również edukacja mieszkańców w zakresie zmian klimatu i ograniczenia ich skutków. </w:t>
      </w:r>
      <w:r w:rsidR="004A3DD3" w:rsidRPr="00655FC7">
        <w:rPr>
          <w:rFonts w:cstheme="minorHAnsi"/>
          <w:color w:val="auto"/>
        </w:rPr>
        <w:t xml:space="preserve">Niska świadomość klimatyczna społeczności lokalnej przyczynia się do niechęci w stosunku do podejmowanych działań. Poprzez uświadamianie, szerzenie dobrych praktyk oraz </w:t>
      </w:r>
      <w:r w:rsidR="009E1BCD" w:rsidRPr="00655FC7">
        <w:rPr>
          <w:rFonts w:cstheme="minorHAnsi"/>
          <w:color w:val="auto"/>
        </w:rPr>
        <w:t>kształtowanie odpowiedzialnych postaw społecznych, w perspektywie długoterminowej oczekuje się zwiększenia zaangażowania w adaptację do zmian klimatu.</w:t>
      </w:r>
    </w:p>
    <w:p w14:paraId="7A9662E4" w14:textId="77777777" w:rsidR="00492D5F" w:rsidRPr="00655FC7" w:rsidRDefault="00492D5F" w:rsidP="00492D5F">
      <w:pPr>
        <w:tabs>
          <w:tab w:val="left" w:pos="3119"/>
        </w:tabs>
        <w:rPr>
          <w:rFonts w:cstheme="minorHAnsi"/>
          <w:color w:val="auto"/>
        </w:rPr>
      </w:pPr>
    </w:p>
    <w:p w14:paraId="765CC374" w14:textId="5DB0E14A" w:rsidR="00492D5F" w:rsidRPr="00655FC7" w:rsidRDefault="009E1BCD" w:rsidP="00492D5F">
      <w:pPr>
        <w:tabs>
          <w:tab w:val="left" w:pos="3119"/>
        </w:tabs>
        <w:rPr>
          <w:rFonts w:cstheme="minorHAnsi"/>
          <w:color w:val="auto"/>
        </w:rPr>
      </w:pPr>
      <w:r w:rsidRPr="00655FC7">
        <w:rPr>
          <w:rFonts w:cstheme="minorHAnsi"/>
          <w:color w:val="auto"/>
        </w:rPr>
        <w:t xml:space="preserve">Udział społeczeństwa w opracowaniu Planu Adaptacji zgodny jest z zapisami </w:t>
      </w:r>
      <w:r w:rsidRPr="00655FC7">
        <w:rPr>
          <w:rFonts w:cstheme="minorHAnsi"/>
          <w:i/>
          <w:iCs/>
          <w:color w:val="auto"/>
        </w:rPr>
        <w:t>Podręcznika adaptacji do zmian klimatu dla miast. Aktualizacja 2023</w:t>
      </w:r>
      <w:r w:rsidRPr="00655FC7">
        <w:rPr>
          <w:rFonts w:cstheme="minorHAnsi"/>
          <w:color w:val="auto"/>
        </w:rPr>
        <w:t xml:space="preserve"> oraz </w:t>
      </w:r>
      <w:r w:rsidRPr="00655FC7">
        <w:rPr>
          <w:rFonts w:cstheme="minorHAnsi"/>
          <w:i/>
          <w:iCs/>
          <w:color w:val="auto"/>
          <w:lang w:eastAsia="ar-SA"/>
        </w:rPr>
        <w:t>Strategicznym planem adaptacji dla sektorów i</w:t>
      </w:r>
      <w:r w:rsidR="00DA18E3">
        <w:rPr>
          <w:rFonts w:cstheme="minorHAnsi"/>
          <w:i/>
          <w:iCs/>
          <w:color w:val="auto"/>
          <w:lang w:eastAsia="ar-SA"/>
        </w:rPr>
        <w:t> </w:t>
      </w:r>
      <w:r w:rsidRPr="00655FC7">
        <w:rPr>
          <w:rFonts w:cstheme="minorHAnsi"/>
          <w:i/>
          <w:iCs/>
          <w:color w:val="auto"/>
          <w:lang w:eastAsia="ar-SA"/>
        </w:rPr>
        <w:t>obszarów wrażliwych na zmiany klimatu do roku 2020 z perspektywą do roku 2030</w:t>
      </w:r>
      <w:r w:rsidRPr="00655FC7">
        <w:rPr>
          <w:rFonts w:cstheme="minorHAnsi"/>
          <w:color w:val="auto"/>
          <w:lang w:eastAsia="ar-SA"/>
        </w:rPr>
        <w:t>.</w:t>
      </w:r>
    </w:p>
    <w:p w14:paraId="5FC3384B" w14:textId="77777777" w:rsidR="00492D5F" w:rsidRPr="00655FC7" w:rsidRDefault="00492D5F" w:rsidP="00492D5F">
      <w:pPr>
        <w:tabs>
          <w:tab w:val="left" w:pos="3119"/>
        </w:tabs>
        <w:rPr>
          <w:rFonts w:cstheme="minorHAnsi"/>
          <w:color w:val="auto"/>
        </w:rPr>
      </w:pPr>
    </w:p>
    <w:p w14:paraId="5F537886" w14:textId="77777777" w:rsidR="00492D5F" w:rsidRPr="00655FC7" w:rsidRDefault="00492D5F" w:rsidP="00B62479">
      <w:pPr>
        <w:pStyle w:val="Nagwek2"/>
      </w:pPr>
      <w:bookmarkStart w:id="48" w:name="_Toc177732032"/>
      <w:r w:rsidRPr="00655FC7">
        <w:lastRenderedPageBreak/>
        <w:t>Specyficzne zagrożenia obszarów zurbanizowanych wynikające ze zmian klimatu</w:t>
      </w:r>
      <w:bookmarkEnd w:id="48"/>
    </w:p>
    <w:p w14:paraId="2043A05F" w14:textId="77777777" w:rsidR="00492D5F" w:rsidRPr="00655FC7" w:rsidRDefault="00492D5F" w:rsidP="00492D5F">
      <w:pPr>
        <w:tabs>
          <w:tab w:val="left" w:pos="3119"/>
        </w:tabs>
        <w:rPr>
          <w:rFonts w:cstheme="minorHAnsi"/>
          <w:color w:val="auto"/>
        </w:rPr>
      </w:pPr>
      <w:r w:rsidRPr="00655FC7">
        <w:rPr>
          <w:rFonts w:cstheme="minorHAnsi"/>
          <w:color w:val="auto"/>
        </w:rPr>
        <w:t>Aktualnie tempo zmian klimatu jest 10-krotnie szybsze od zmian zachodzących w ostatniej epoce lodowcowej</w:t>
      </w:r>
      <w:r w:rsidRPr="00655FC7">
        <w:rPr>
          <w:rFonts w:cstheme="minorHAnsi"/>
          <w:color w:val="auto"/>
          <w:vertAlign w:val="superscript"/>
        </w:rPr>
        <w:footnoteReference w:id="6"/>
      </w:r>
      <w:r w:rsidRPr="00655FC7">
        <w:rPr>
          <w:rFonts w:cstheme="minorHAnsi"/>
          <w:color w:val="auto"/>
        </w:rPr>
        <w:t>. Działania antropogeniczne prowadzą przede wszystkim do zmian w sposobie użytkowania terenu, zmian w krajobrazie i szacie roślinnej. Wprowadzanie dużej ilości pyłów i aerozoli do atmosfery oraz ditlenku węgla i innych gazów cieplarnianych sprzyja ocieplaniu się klimatu zdecydowanie szybciej niż naturalne przyczyny, zaś urbanizacja wpływa na zmianę albedo powierzchni ziemi</w:t>
      </w:r>
      <w:r w:rsidRPr="00655FC7">
        <w:rPr>
          <w:rFonts w:cstheme="minorHAnsi"/>
          <w:color w:val="auto"/>
          <w:vertAlign w:val="superscript"/>
        </w:rPr>
        <w:footnoteReference w:id="7"/>
      </w:r>
      <w:r w:rsidRPr="00655FC7">
        <w:rPr>
          <w:rFonts w:cstheme="minorHAnsi"/>
          <w:color w:val="auto"/>
        </w:rPr>
        <w:t xml:space="preserve">. </w:t>
      </w:r>
    </w:p>
    <w:p w14:paraId="5D6C215F" w14:textId="77777777" w:rsidR="00492D5F" w:rsidRPr="00655FC7" w:rsidRDefault="00492D5F" w:rsidP="00492D5F">
      <w:pPr>
        <w:tabs>
          <w:tab w:val="left" w:pos="3119"/>
        </w:tabs>
        <w:rPr>
          <w:rFonts w:cstheme="minorHAnsi"/>
          <w:color w:val="auto"/>
        </w:rPr>
      </w:pPr>
    </w:p>
    <w:p w14:paraId="18491095" w14:textId="77777777" w:rsidR="00492D5F" w:rsidRPr="00655FC7" w:rsidRDefault="00492D5F" w:rsidP="00492D5F">
      <w:pPr>
        <w:tabs>
          <w:tab w:val="left" w:pos="3119"/>
        </w:tabs>
        <w:rPr>
          <w:rFonts w:cstheme="minorHAnsi"/>
          <w:color w:val="auto"/>
        </w:rPr>
      </w:pPr>
      <w:r w:rsidRPr="00655FC7">
        <w:rPr>
          <w:rFonts w:cstheme="minorHAnsi"/>
          <w:color w:val="auto"/>
        </w:rPr>
        <w:t>Zanieczyszczenie atmosfery sprzyja powstaniu efektu szklarniowego – zatrzymywaniu promieniowania długofalowego emitowanego przez Ziemię, które powinno przedostać się do przestrzeni kosmicznej. Raporty Międzyrządowej Komisji ds. Zmian Klimatu (IPCC) z coraz większym zdecydowaniem wskazują na przyspieszenie ocieplania klimatu na skutek właśnie działalności człowieka</w:t>
      </w:r>
      <w:r w:rsidRPr="00655FC7">
        <w:rPr>
          <w:rFonts w:cstheme="minorHAnsi"/>
          <w:color w:val="auto"/>
          <w:vertAlign w:val="superscript"/>
        </w:rPr>
        <w:footnoteReference w:id="8"/>
      </w:r>
      <w:r w:rsidRPr="00655FC7">
        <w:rPr>
          <w:rFonts w:cstheme="minorHAnsi"/>
          <w:color w:val="auto"/>
        </w:rPr>
        <w:t>,</w:t>
      </w:r>
      <w:r w:rsidRPr="00655FC7">
        <w:rPr>
          <w:rFonts w:cstheme="minorHAnsi"/>
          <w:color w:val="auto"/>
          <w:vertAlign w:val="superscript"/>
        </w:rPr>
        <w:footnoteReference w:id="9"/>
      </w:r>
      <w:r w:rsidRPr="00655FC7">
        <w:rPr>
          <w:rFonts w:cstheme="minorHAnsi"/>
          <w:color w:val="auto"/>
        </w:rPr>
        <w:t>.</w:t>
      </w:r>
    </w:p>
    <w:p w14:paraId="460DDA27" w14:textId="77777777" w:rsidR="00492D5F" w:rsidRPr="00655FC7" w:rsidRDefault="00492D5F" w:rsidP="00492D5F">
      <w:pPr>
        <w:tabs>
          <w:tab w:val="left" w:pos="3119"/>
        </w:tabs>
        <w:rPr>
          <w:rFonts w:cstheme="minorHAnsi"/>
          <w:color w:val="auto"/>
        </w:rPr>
      </w:pPr>
    </w:p>
    <w:p w14:paraId="1C76E296" w14:textId="77777777" w:rsidR="00492D5F" w:rsidRPr="00655FC7" w:rsidRDefault="00492D5F" w:rsidP="00492D5F">
      <w:pPr>
        <w:tabs>
          <w:tab w:val="left" w:pos="3119"/>
        </w:tabs>
        <w:rPr>
          <w:rFonts w:cstheme="minorHAnsi"/>
          <w:color w:val="auto"/>
        </w:rPr>
      </w:pPr>
      <w:r w:rsidRPr="00655FC7">
        <w:rPr>
          <w:rFonts w:cstheme="minorHAnsi"/>
          <w:color w:val="auto"/>
        </w:rPr>
        <w:t>Miasta ze względu na kilka czynników są szczególnie zagrożone w tym obszarze. Obszary zurbanizowane, a w szczególności miasta, stanowią specyficzną jednostkę terytorialną charakteryzującą się dużą koncentracją ludności oraz zabudowy o wysokiej intensywności. Dla miast szczególne zagrożenie stanowią zjawiska i procesy wynikające ze zmian warunków termicznych. W obszarach zurbanizowanych, występowanie zjawisk ekstremalnych, w szczególności opadów (deszczy nawalnych) powodujących lokalne podtopienia i zaburzenia funkcjonowania infrastruktury oraz występowania suszy i wynikający z niej deficyty wody. Do specyficznych zagrożeń miejskich należą również zaburzenia cyrkulacji powietrza wzmacniane przez jego zanieczyszczenie</w:t>
      </w:r>
      <w:r w:rsidRPr="00655FC7">
        <w:rPr>
          <w:rFonts w:cstheme="minorHAnsi"/>
          <w:color w:val="auto"/>
          <w:vertAlign w:val="superscript"/>
        </w:rPr>
        <w:footnoteReference w:id="10"/>
      </w:r>
      <w:r w:rsidRPr="00655FC7">
        <w:rPr>
          <w:rFonts w:cstheme="minorHAnsi"/>
          <w:color w:val="auto"/>
        </w:rPr>
        <w:t xml:space="preserve">. </w:t>
      </w:r>
    </w:p>
    <w:p w14:paraId="17DF54DC" w14:textId="77777777" w:rsidR="00492D5F" w:rsidRPr="00655FC7" w:rsidRDefault="00492D5F" w:rsidP="00492D5F">
      <w:pPr>
        <w:tabs>
          <w:tab w:val="left" w:pos="3119"/>
        </w:tabs>
        <w:rPr>
          <w:rFonts w:cstheme="minorHAnsi"/>
          <w:color w:val="auto"/>
        </w:rPr>
      </w:pPr>
    </w:p>
    <w:p w14:paraId="6DC73085" w14:textId="77777777" w:rsidR="00492D5F" w:rsidRPr="00655FC7" w:rsidRDefault="00492D5F" w:rsidP="00492D5F">
      <w:pPr>
        <w:tabs>
          <w:tab w:val="left" w:pos="3119"/>
        </w:tabs>
        <w:ind w:firstLine="0"/>
        <w:rPr>
          <w:rFonts w:cstheme="minorHAnsi"/>
          <w:color w:val="auto"/>
        </w:rPr>
      </w:pPr>
      <w:r w:rsidRPr="00655FC7">
        <w:rPr>
          <w:rFonts w:cstheme="minorHAnsi"/>
          <w:noProof/>
          <w:color w:val="auto"/>
          <w:lang w:eastAsia="en-GB"/>
        </w:rPr>
        <w:lastRenderedPageBreak/>
        <w:drawing>
          <wp:inline distT="0" distB="0" distL="0" distR="0" wp14:anchorId="3A2232A2" wp14:editId="4CFD3B7B">
            <wp:extent cx="5486400" cy="2802576"/>
            <wp:effectExtent l="0" t="19050" r="0" b="17145"/>
            <wp:docPr id="79" name="Diagram 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0D9D4BCA" w14:textId="41A1A4C4" w:rsidR="00492D5F" w:rsidRPr="00655FC7" w:rsidRDefault="00492D5F" w:rsidP="009A6A73">
      <w:pPr>
        <w:pStyle w:val="Stylrysunek"/>
      </w:pPr>
      <w:bookmarkStart w:id="49" w:name="_Toc178846345"/>
      <w:r w:rsidRPr="00655FC7">
        <w:t xml:space="preserve">Rysunek </w:t>
      </w:r>
      <w:r w:rsidR="00EA4C85">
        <w:fldChar w:fldCharType="begin"/>
      </w:r>
      <w:r w:rsidR="00EA4C85">
        <w:instrText xml:space="preserve"> SEQ Rysunek \* ARABIC </w:instrText>
      </w:r>
      <w:r w:rsidR="00EA4C85">
        <w:fldChar w:fldCharType="separate"/>
      </w:r>
      <w:r w:rsidR="00A654D8">
        <w:rPr>
          <w:noProof/>
        </w:rPr>
        <w:t>3</w:t>
      </w:r>
      <w:r w:rsidR="00EA4C85">
        <w:rPr>
          <w:noProof/>
        </w:rPr>
        <w:fldChar w:fldCharType="end"/>
      </w:r>
      <w:r w:rsidRPr="00655FC7">
        <w:t>. Specyficzne zagrożenia miejskie związane ze zmianami klimatu.</w:t>
      </w:r>
      <w:bookmarkEnd w:id="49"/>
    </w:p>
    <w:p w14:paraId="66714665" w14:textId="77777777" w:rsidR="00492D5F" w:rsidRPr="00655FC7" w:rsidRDefault="00492D5F" w:rsidP="009A6A73">
      <w:pPr>
        <w:pStyle w:val="Cytat"/>
      </w:pPr>
      <w:r w:rsidRPr="00655FC7">
        <w:t>źródło: Ocena wrażliwości terenów miejskich na możliwe zagrożenia wynikające ze zmian klimatu</w:t>
      </w:r>
      <w:r w:rsidRPr="00655FC7">
        <w:rPr>
          <w:vertAlign w:val="superscript"/>
        </w:rPr>
        <w:footnoteReference w:id="11"/>
      </w:r>
      <w:r w:rsidRPr="00655FC7">
        <w:t>; opracowanie własne</w:t>
      </w:r>
    </w:p>
    <w:p w14:paraId="22A66B82" w14:textId="77777777" w:rsidR="00492D5F" w:rsidRPr="00655FC7" w:rsidRDefault="00492D5F" w:rsidP="00492D5F">
      <w:pPr>
        <w:tabs>
          <w:tab w:val="left" w:pos="3119"/>
        </w:tabs>
        <w:rPr>
          <w:rFonts w:cstheme="minorHAnsi"/>
          <w:color w:val="auto"/>
        </w:rPr>
      </w:pPr>
    </w:p>
    <w:p w14:paraId="65771365" w14:textId="22C135BE" w:rsidR="00492D5F" w:rsidRPr="00655FC7" w:rsidRDefault="00492D5F" w:rsidP="00761441">
      <w:pPr>
        <w:pStyle w:val="Nagwek3"/>
      </w:pPr>
      <w:bookmarkStart w:id="50" w:name="_Toc177732033"/>
      <w:r w:rsidRPr="00655FC7">
        <w:t>Opady - deszcze nawalne i susze</w:t>
      </w:r>
      <w:bookmarkEnd w:id="50"/>
    </w:p>
    <w:p w14:paraId="242FFA3C" w14:textId="3E7C5291" w:rsidR="00492D5F" w:rsidRPr="00655FC7" w:rsidRDefault="00492D5F" w:rsidP="00492D5F">
      <w:pPr>
        <w:tabs>
          <w:tab w:val="left" w:pos="3119"/>
        </w:tabs>
        <w:rPr>
          <w:rFonts w:cstheme="minorHAnsi"/>
          <w:color w:val="auto"/>
        </w:rPr>
      </w:pPr>
      <w:r w:rsidRPr="00655FC7">
        <w:rPr>
          <w:rFonts w:cstheme="minorHAnsi"/>
          <w:color w:val="auto"/>
        </w:rPr>
        <w:t>Zmiany klimatu mają duży wpływ na zasoby wody. Woda stanowi krytyczny sektor</w:t>
      </w:r>
      <w:r w:rsidR="00EA066B" w:rsidRPr="00655FC7">
        <w:rPr>
          <w:rFonts w:cstheme="minorHAnsi"/>
          <w:color w:val="auto"/>
        </w:rPr>
        <w:t>,</w:t>
      </w:r>
      <w:r w:rsidRPr="00655FC7">
        <w:rPr>
          <w:rFonts w:cstheme="minorHAnsi"/>
          <w:color w:val="auto"/>
        </w:rPr>
        <w:t xml:space="preserve"> a zmiany klimatu będą wpływać na cykle hydrologiczne jak i ekosystemy wodne, a także na funkcjonowanie i działanie istniejącej infrastruktury wodnej (elektroenergetyka, żegluga śródlądowa, systemy irygacji, system zaopatrzenia w wodę do spożycia, oczyszczalnie ścieków). Oddziaływanie zmian klimatu na jakość wody słodkiej przedstawia poniższa tabela</w:t>
      </w:r>
      <w:r w:rsidRPr="00655FC7">
        <w:rPr>
          <w:rFonts w:cstheme="minorHAnsi"/>
          <w:color w:val="auto"/>
          <w:vertAlign w:val="superscript"/>
        </w:rPr>
        <w:footnoteReference w:id="12"/>
      </w:r>
      <w:r w:rsidRPr="00655FC7">
        <w:rPr>
          <w:rFonts w:cstheme="minorHAnsi"/>
          <w:color w:val="auto"/>
        </w:rPr>
        <w:t>.</w:t>
      </w:r>
    </w:p>
    <w:p w14:paraId="5F9FA2E4" w14:textId="77777777" w:rsidR="00492D5F" w:rsidRPr="00655FC7" w:rsidRDefault="00492D5F" w:rsidP="00492D5F">
      <w:pPr>
        <w:tabs>
          <w:tab w:val="left" w:pos="3119"/>
        </w:tabs>
        <w:rPr>
          <w:rFonts w:cstheme="minorHAnsi"/>
          <w:color w:val="auto"/>
        </w:rPr>
      </w:pPr>
    </w:p>
    <w:p w14:paraId="0A38EF88" w14:textId="37794B95" w:rsidR="00492D5F" w:rsidRPr="00655FC7" w:rsidRDefault="00492D5F" w:rsidP="00111450">
      <w:pPr>
        <w:pStyle w:val="Styltabela"/>
        <w:rPr>
          <w:rFonts w:eastAsiaTheme="minorEastAsia"/>
        </w:rPr>
      </w:pPr>
      <w:bookmarkStart w:id="51" w:name="_Toc178846308"/>
      <w:r w:rsidRPr="00655FC7">
        <w:rPr>
          <w:rFonts w:eastAsiaTheme="minorEastAsia"/>
        </w:rPr>
        <w:t xml:space="preserve">Tabela </w:t>
      </w:r>
      <w:r w:rsidR="00E833A9">
        <w:rPr>
          <w:rFonts w:eastAsiaTheme="minorEastAsia"/>
        </w:rPr>
        <w:fldChar w:fldCharType="begin"/>
      </w:r>
      <w:r w:rsidR="00E833A9">
        <w:rPr>
          <w:rFonts w:eastAsiaTheme="minorEastAsia"/>
        </w:rPr>
        <w:instrText xml:space="preserve"> SEQ Tabela \* ARABIC </w:instrText>
      </w:r>
      <w:r w:rsidR="00E833A9">
        <w:rPr>
          <w:rFonts w:eastAsiaTheme="minorEastAsia"/>
        </w:rPr>
        <w:fldChar w:fldCharType="separate"/>
      </w:r>
      <w:r w:rsidR="00A654D8">
        <w:rPr>
          <w:rFonts w:eastAsiaTheme="minorEastAsia"/>
          <w:noProof/>
        </w:rPr>
        <w:t>2</w:t>
      </w:r>
      <w:r w:rsidR="00E833A9">
        <w:rPr>
          <w:rFonts w:eastAsiaTheme="minorEastAsia"/>
        </w:rPr>
        <w:fldChar w:fldCharType="end"/>
      </w:r>
      <w:r w:rsidRPr="00655FC7">
        <w:rPr>
          <w:rFonts w:eastAsiaTheme="minorEastAsia"/>
        </w:rPr>
        <w:t>. Oddziaływanie zmian klimatu na jakość wody słodkiej.</w:t>
      </w:r>
      <w:bookmarkEnd w:id="51"/>
    </w:p>
    <w:tbl>
      <w:tblPr>
        <w:tblStyle w:val="Tabela-MPAaga63"/>
        <w:tblW w:w="9072" w:type="dxa"/>
        <w:jc w:val="center"/>
        <w:tblLook w:val="04A0" w:firstRow="1" w:lastRow="0" w:firstColumn="1" w:lastColumn="0" w:noHBand="0" w:noVBand="1"/>
      </w:tblPr>
      <w:tblGrid>
        <w:gridCol w:w="1858"/>
        <w:gridCol w:w="7214"/>
      </w:tblGrid>
      <w:tr w:rsidR="00492D5F" w:rsidRPr="00655FC7" w14:paraId="6842AA8F" w14:textId="77777777" w:rsidTr="004B369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C3E098" w:themeFill="accent1" w:themeFillTint="66"/>
          </w:tcPr>
          <w:p w14:paraId="4549DAB2" w14:textId="77777777" w:rsidR="00492D5F" w:rsidRPr="00655FC7" w:rsidRDefault="00492D5F" w:rsidP="00492D5F">
            <w:pPr>
              <w:tabs>
                <w:tab w:val="left" w:pos="3119"/>
              </w:tabs>
              <w:ind w:firstLine="0"/>
              <w:jc w:val="center"/>
              <w:rPr>
                <w:rFonts w:asciiTheme="minorHAnsi" w:eastAsiaTheme="minorHAnsi" w:hAnsiTheme="minorHAnsi" w:cstheme="minorHAnsi"/>
                <w:color w:val="auto"/>
                <w:sz w:val="19"/>
                <w:szCs w:val="19"/>
              </w:rPr>
            </w:pPr>
            <w:r w:rsidRPr="00655FC7">
              <w:rPr>
                <w:rFonts w:asciiTheme="minorHAnsi" w:eastAsiaTheme="minorHAnsi" w:hAnsiTheme="minorHAnsi" w:cstheme="minorHAnsi"/>
                <w:color w:val="auto"/>
                <w:sz w:val="19"/>
                <w:szCs w:val="19"/>
              </w:rPr>
              <w:t>Elementy systemu środowiskowego</w:t>
            </w:r>
          </w:p>
        </w:tc>
        <w:tc>
          <w:tcPr>
            <w:tcW w:w="7157" w:type="dxa"/>
            <w:shd w:val="clear" w:color="auto" w:fill="C3E098" w:themeFill="accent1" w:themeFillTint="66"/>
            <w:vAlign w:val="center"/>
          </w:tcPr>
          <w:p w14:paraId="3D57B189" w14:textId="77777777" w:rsidR="00492D5F" w:rsidRPr="00655FC7" w:rsidRDefault="00492D5F" w:rsidP="00EA066B">
            <w:pPr>
              <w:tabs>
                <w:tab w:val="left" w:pos="3119"/>
              </w:tabs>
              <w:jc w:val="center"/>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HAnsi"/>
                <w:color w:val="auto"/>
                <w:sz w:val="19"/>
                <w:szCs w:val="19"/>
              </w:rPr>
            </w:pPr>
            <w:r w:rsidRPr="00655FC7">
              <w:rPr>
                <w:rFonts w:asciiTheme="minorHAnsi" w:eastAsiaTheme="minorHAnsi" w:hAnsiTheme="minorHAnsi" w:cstheme="minorHAnsi"/>
                <w:color w:val="auto"/>
                <w:sz w:val="19"/>
                <w:szCs w:val="19"/>
              </w:rPr>
              <w:t>Przewidywane zmiany</w:t>
            </w:r>
          </w:p>
        </w:tc>
      </w:tr>
      <w:tr w:rsidR="00492D5F" w:rsidRPr="00655FC7" w14:paraId="005F99B4" w14:textId="77777777" w:rsidTr="004B36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F2F6EA" w:themeFill="accent6" w:themeFillTint="33"/>
          </w:tcPr>
          <w:p w14:paraId="60962F53" w14:textId="77777777" w:rsidR="00492D5F" w:rsidRPr="00655FC7" w:rsidRDefault="00492D5F" w:rsidP="00492D5F">
            <w:pPr>
              <w:tabs>
                <w:tab w:val="left" w:pos="3119"/>
              </w:tabs>
              <w:ind w:firstLine="0"/>
              <w:jc w:val="center"/>
              <w:rPr>
                <w:rFonts w:asciiTheme="minorHAnsi" w:eastAsiaTheme="minorHAnsi" w:hAnsiTheme="minorHAnsi" w:cstheme="minorHAnsi"/>
                <w:color w:val="auto"/>
                <w:sz w:val="19"/>
                <w:szCs w:val="19"/>
              </w:rPr>
            </w:pPr>
            <w:r w:rsidRPr="00655FC7">
              <w:rPr>
                <w:rFonts w:asciiTheme="minorHAnsi" w:eastAsiaTheme="minorHAnsi" w:hAnsiTheme="minorHAnsi" w:cstheme="minorHAnsi"/>
                <w:color w:val="auto"/>
                <w:sz w:val="19"/>
                <w:szCs w:val="19"/>
              </w:rPr>
              <w:t>Przepływ rzeczny</w:t>
            </w:r>
          </w:p>
        </w:tc>
        <w:tc>
          <w:tcPr>
            <w:tcW w:w="7157" w:type="dxa"/>
            <w:shd w:val="clear" w:color="auto" w:fill="F2F6EA" w:themeFill="accent6" w:themeFillTint="33"/>
            <w:vAlign w:val="center"/>
          </w:tcPr>
          <w:p w14:paraId="7CA27B42" w14:textId="77777777" w:rsidR="00492D5F" w:rsidRPr="00655FC7" w:rsidRDefault="00492D5F" w:rsidP="00EA066B">
            <w:pPr>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 w:val="19"/>
                <w:szCs w:val="19"/>
              </w:rPr>
            </w:pPr>
            <w:r w:rsidRPr="00655FC7">
              <w:rPr>
                <w:rFonts w:cstheme="minorHAnsi"/>
                <w:color w:val="auto"/>
                <w:sz w:val="19"/>
                <w:szCs w:val="19"/>
              </w:rPr>
              <w:t>Zmiana klimatu skutkuje poważnymi zmianami w sezonowych przepływach. W przeważającej części Europy obserwuje się zjawisko wzrostu przepływów w rzekach w okresach zimowych oraz obniżanie się przepływów w okresach letnich. Zjawisko to obserwowane jest od lat 60-tych ubiegłego wieku. Zjawisko to będzie się pogłębiać.</w:t>
            </w:r>
          </w:p>
        </w:tc>
      </w:tr>
      <w:tr w:rsidR="00492D5F" w:rsidRPr="00655FC7" w14:paraId="18E05B87" w14:textId="77777777" w:rsidTr="007D1498">
        <w:trPr>
          <w:jc w:val="center"/>
        </w:trPr>
        <w:tc>
          <w:tcPr>
            <w:cnfStyle w:val="001000000000" w:firstRow="0" w:lastRow="0" w:firstColumn="1" w:lastColumn="0" w:oddVBand="0" w:evenVBand="0" w:oddHBand="0" w:evenHBand="0" w:firstRowFirstColumn="0" w:firstRowLastColumn="0" w:lastRowFirstColumn="0" w:lastRowLastColumn="0"/>
            <w:tcW w:w="1843" w:type="dxa"/>
          </w:tcPr>
          <w:p w14:paraId="6E983221" w14:textId="77777777" w:rsidR="00492D5F" w:rsidRPr="00655FC7" w:rsidRDefault="00492D5F" w:rsidP="00492D5F">
            <w:pPr>
              <w:tabs>
                <w:tab w:val="left" w:pos="3119"/>
              </w:tabs>
              <w:ind w:firstLine="0"/>
              <w:jc w:val="center"/>
              <w:rPr>
                <w:rFonts w:asciiTheme="minorHAnsi" w:eastAsiaTheme="minorHAnsi" w:hAnsiTheme="minorHAnsi" w:cstheme="minorHAnsi"/>
                <w:color w:val="auto"/>
                <w:sz w:val="19"/>
                <w:szCs w:val="19"/>
              </w:rPr>
            </w:pPr>
            <w:r w:rsidRPr="00655FC7">
              <w:rPr>
                <w:rFonts w:asciiTheme="minorHAnsi" w:eastAsiaTheme="minorHAnsi" w:hAnsiTheme="minorHAnsi" w:cstheme="minorHAnsi"/>
                <w:color w:val="auto"/>
                <w:sz w:val="19"/>
                <w:szCs w:val="19"/>
              </w:rPr>
              <w:t>Powodzie</w:t>
            </w:r>
          </w:p>
        </w:tc>
        <w:tc>
          <w:tcPr>
            <w:tcW w:w="7157" w:type="dxa"/>
          </w:tcPr>
          <w:p w14:paraId="5FC80E7B" w14:textId="77777777" w:rsidR="00492D5F" w:rsidRPr="00655FC7" w:rsidRDefault="00492D5F" w:rsidP="00492D5F">
            <w:pPr>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 w:val="19"/>
                <w:szCs w:val="19"/>
              </w:rPr>
            </w:pPr>
            <w:r w:rsidRPr="00655FC7">
              <w:rPr>
                <w:rFonts w:cstheme="minorHAnsi"/>
                <w:color w:val="auto"/>
                <w:sz w:val="19"/>
                <w:szCs w:val="19"/>
              </w:rPr>
              <w:t>Globalne ocieplenie jest odpowiedzialne za intensyfikację obiegu wody i w konsekwencji wzrost skali i częstotliwości występowania zdarzeń powodziowych w przeważającej części Europy. Wzrasta ryzyko występowania gwałtownych, błyskawicznych powodzi będących efektem nawalnych opadów deszczu. Przewiduje się, że w regionach, dla których prognozuje się zmniejszenie pokrywy śnieżnej w okresach zimowych, zmniejszy się ilość występowania powodzi przedwiosennych.</w:t>
            </w:r>
          </w:p>
        </w:tc>
      </w:tr>
      <w:tr w:rsidR="00492D5F" w:rsidRPr="00655FC7" w14:paraId="502A9D48" w14:textId="77777777" w:rsidTr="004B36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F2F6EA" w:themeFill="accent6" w:themeFillTint="33"/>
          </w:tcPr>
          <w:p w14:paraId="72241186" w14:textId="77777777" w:rsidR="00492D5F" w:rsidRPr="00655FC7" w:rsidRDefault="00492D5F" w:rsidP="00492D5F">
            <w:pPr>
              <w:tabs>
                <w:tab w:val="left" w:pos="3119"/>
              </w:tabs>
              <w:ind w:firstLine="0"/>
              <w:jc w:val="center"/>
              <w:rPr>
                <w:rFonts w:asciiTheme="minorHAnsi" w:eastAsiaTheme="minorHAnsi" w:hAnsiTheme="minorHAnsi" w:cstheme="minorHAnsi"/>
                <w:color w:val="auto"/>
                <w:sz w:val="19"/>
                <w:szCs w:val="19"/>
              </w:rPr>
            </w:pPr>
            <w:r w:rsidRPr="00655FC7">
              <w:rPr>
                <w:rFonts w:asciiTheme="minorHAnsi" w:eastAsiaTheme="minorHAnsi" w:hAnsiTheme="minorHAnsi" w:cstheme="minorHAnsi"/>
                <w:color w:val="auto"/>
                <w:sz w:val="19"/>
                <w:szCs w:val="19"/>
              </w:rPr>
              <w:t>Przepływy</w:t>
            </w:r>
          </w:p>
          <w:p w14:paraId="6CC12675" w14:textId="77777777" w:rsidR="00492D5F" w:rsidRPr="00655FC7" w:rsidRDefault="00492D5F" w:rsidP="00492D5F">
            <w:pPr>
              <w:tabs>
                <w:tab w:val="left" w:pos="3119"/>
              </w:tabs>
              <w:ind w:firstLine="0"/>
              <w:jc w:val="center"/>
              <w:rPr>
                <w:rFonts w:asciiTheme="minorHAnsi" w:eastAsiaTheme="minorHAnsi" w:hAnsiTheme="minorHAnsi" w:cstheme="minorHAnsi"/>
                <w:color w:val="auto"/>
                <w:sz w:val="19"/>
                <w:szCs w:val="19"/>
              </w:rPr>
            </w:pPr>
            <w:r w:rsidRPr="00655FC7">
              <w:rPr>
                <w:rFonts w:asciiTheme="minorHAnsi" w:eastAsiaTheme="minorHAnsi" w:hAnsiTheme="minorHAnsi" w:cstheme="minorHAnsi"/>
                <w:color w:val="auto"/>
                <w:sz w:val="19"/>
                <w:szCs w:val="19"/>
              </w:rPr>
              <w:t>niżówkowe</w:t>
            </w:r>
          </w:p>
        </w:tc>
        <w:tc>
          <w:tcPr>
            <w:tcW w:w="7157" w:type="dxa"/>
            <w:shd w:val="clear" w:color="auto" w:fill="F2F6EA" w:themeFill="accent6" w:themeFillTint="33"/>
          </w:tcPr>
          <w:p w14:paraId="48ED3C2E" w14:textId="77777777" w:rsidR="00492D5F" w:rsidRPr="00655FC7" w:rsidRDefault="00492D5F" w:rsidP="00492D5F">
            <w:pPr>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 w:val="19"/>
                <w:szCs w:val="19"/>
              </w:rPr>
            </w:pPr>
            <w:r w:rsidRPr="00655FC7">
              <w:rPr>
                <w:rFonts w:cstheme="minorHAnsi"/>
                <w:color w:val="auto"/>
                <w:sz w:val="19"/>
                <w:szCs w:val="19"/>
              </w:rPr>
              <w:t>W ostatniej dekadzie Europa została doświadczona kilkoma okresami suszy, takimi jak katastrofalna susza powiązana z letnią falą upałów w 2003 r. Najbardziej podatnymi na zjawiska suszy regionami są południowa i południowo-wschodnia Europa, ale zarówno czasy trwania okresów niżówkowych jak i zwiększenie częstotliwości ich występowania są prognozowane również dla pozostałej części kontynentu, w szczególności w okresach letnich.</w:t>
            </w:r>
          </w:p>
        </w:tc>
      </w:tr>
      <w:tr w:rsidR="00492D5F" w:rsidRPr="00655FC7" w14:paraId="29FD6B0C" w14:textId="77777777" w:rsidTr="007D1498">
        <w:trPr>
          <w:jc w:val="center"/>
        </w:trPr>
        <w:tc>
          <w:tcPr>
            <w:cnfStyle w:val="001000000000" w:firstRow="0" w:lastRow="0" w:firstColumn="1" w:lastColumn="0" w:oddVBand="0" w:evenVBand="0" w:oddHBand="0" w:evenHBand="0" w:firstRowFirstColumn="0" w:firstRowLastColumn="0" w:lastRowFirstColumn="0" w:lastRowLastColumn="0"/>
            <w:tcW w:w="1843" w:type="dxa"/>
          </w:tcPr>
          <w:p w14:paraId="0DE0B491" w14:textId="77777777" w:rsidR="00492D5F" w:rsidRPr="00655FC7" w:rsidRDefault="00492D5F" w:rsidP="00492D5F">
            <w:pPr>
              <w:tabs>
                <w:tab w:val="left" w:pos="3119"/>
              </w:tabs>
              <w:ind w:firstLine="0"/>
              <w:jc w:val="center"/>
              <w:rPr>
                <w:rFonts w:asciiTheme="minorHAnsi" w:eastAsiaTheme="minorHAnsi" w:hAnsiTheme="minorHAnsi" w:cstheme="minorHAnsi"/>
                <w:color w:val="auto"/>
                <w:sz w:val="19"/>
                <w:szCs w:val="19"/>
              </w:rPr>
            </w:pPr>
            <w:r w:rsidRPr="00655FC7">
              <w:rPr>
                <w:rFonts w:asciiTheme="minorHAnsi" w:eastAsiaTheme="minorHAnsi" w:hAnsiTheme="minorHAnsi" w:cstheme="minorHAnsi"/>
                <w:color w:val="auto"/>
                <w:sz w:val="19"/>
                <w:szCs w:val="19"/>
              </w:rPr>
              <w:lastRenderedPageBreak/>
              <w:t>Temperatura wody w rzekach i jeziorach</w:t>
            </w:r>
          </w:p>
        </w:tc>
        <w:tc>
          <w:tcPr>
            <w:tcW w:w="7157" w:type="dxa"/>
          </w:tcPr>
          <w:p w14:paraId="007BD740" w14:textId="77777777" w:rsidR="00492D5F" w:rsidRPr="00655FC7" w:rsidRDefault="00492D5F" w:rsidP="00492D5F">
            <w:pPr>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 w:val="19"/>
                <w:szCs w:val="19"/>
              </w:rPr>
            </w:pPr>
            <w:r w:rsidRPr="00655FC7">
              <w:rPr>
                <w:rFonts w:cstheme="minorHAnsi"/>
                <w:color w:val="auto"/>
                <w:sz w:val="19"/>
                <w:szCs w:val="19"/>
              </w:rPr>
              <w:t>Temperatura głównych rzek Europy w ostatnim wieku podniosła się o 1-3 stopni Celsjusza. Przewiduje się dalszy wzrost temperatury wód powierzchniowych wynikający ze wzrostu temperatury powietrza. Wyższa temperatura może powodować wyraźne zmiany w składzie gatunkowym i w funkcjonowaniu ekosystemów wodnych.</w:t>
            </w:r>
          </w:p>
        </w:tc>
      </w:tr>
      <w:tr w:rsidR="00492D5F" w:rsidRPr="00655FC7" w14:paraId="1BCB02D1" w14:textId="77777777" w:rsidTr="004B369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43" w:type="dxa"/>
            <w:shd w:val="clear" w:color="auto" w:fill="F2F6EA" w:themeFill="accent6" w:themeFillTint="33"/>
          </w:tcPr>
          <w:p w14:paraId="7A00790F" w14:textId="77777777" w:rsidR="00492D5F" w:rsidRPr="00655FC7" w:rsidRDefault="00492D5F" w:rsidP="00492D5F">
            <w:pPr>
              <w:tabs>
                <w:tab w:val="left" w:pos="3119"/>
              </w:tabs>
              <w:ind w:firstLine="0"/>
              <w:jc w:val="center"/>
              <w:rPr>
                <w:rFonts w:asciiTheme="minorHAnsi" w:eastAsiaTheme="minorHAnsi" w:hAnsiTheme="minorHAnsi" w:cstheme="minorHAnsi"/>
                <w:color w:val="auto"/>
                <w:sz w:val="19"/>
                <w:szCs w:val="19"/>
              </w:rPr>
            </w:pPr>
            <w:r w:rsidRPr="00655FC7">
              <w:rPr>
                <w:rFonts w:asciiTheme="minorHAnsi" w:eastAsiaTheme="minorHAnsi" w:hAnsiTheme="minorHAnsi" w:cstheme="minorHAnsi"/>
                <w:color w:val="auto"/>
                <w:sz w:val="19"/>
                <w:szCs w:val="19"/>
              </w:rPr>
              <w:t>Pokrywa lodowa jezior i rzek</w:t>
            </w:r>
          </w:p>
        </w:tc>
        <w:tc>
          <w:tcPr>
            <w:tcW w:w="7157" w:type="dxa"/>
            <w:shd w:val="clear" w:color="auto" w:fill="F2F6EA" w:themeFill="accent6" w:themeFillTint="33"/>
          </w:tcPr>
          <w:p w14:paraId="7F3127A6" w14:textId="77777777" w:rsidR="00492D5F" w:rsidRPr="00655FC7" w:rsidRDefault="00492D5F" w:rsidP="00492D5F">
            <w:pPr>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 w:val="19"/>
                <w:szCs w:val="19"/>
              </w:rPr>
            </w:pPr>
            <w:r w:rsidRPr="00655FC7">
              <w:rPr>
                <w:rFonts w:cstheme="minorHAnsi"/>
                <w:color w:val="auto"/>
                <w:sz w:val="19"/>
                <w:szCs w:val="19"/>
              </w:rPr>
              <w:t>Istnienie zjawiska zamarzania jezior i odwilży związanej z pękaniem pokrywy lodowej jest niezwykle istotne z ekologicznego punktu widzenia. Zauważono, że na obszarze półkuli północnej skraca się czas występowania lodu na jeziorach i rzekach. Przewiduje się, że zjawisko to będzie się pogłębiać i jest ściśle związane ze zmianami klimatu.</w:t>
            </w:r>
          </w:p>
        </w:tc>
      </w:tr>
      <w:tr w:rsidR="00492D5F" w:rsidRPr="00655FC7" w14:paraId="05FA1783" w14:textId="77777777" w:rsidTr="007D1498">
        <w:trPr>
          <w:jc w:val="center"/>
        </w:trPr>
        <w:tc>
          <w:tcPr>
            <w:cnfStyle w:val="001000000000" w:firstRow="0" w:lastRow="0" w:firstColumn="1" w:lastColumn="0" w:oddVBand="0" w:evenVBand="0" w:oddHBand="0" w:evenHBand="0" w:firstRowFirstColumn="0" w:firstRowLastColumn="0" w:lastRowFirstColumn="0" w:lastRowLastColumn="0"/>
            <w:tcW w:w="1843" w:type="dxa"/>
          </w:tcPr>
          <w:p w14:paraId="5637DAF9" w14:textId="77777777" w:rsidR="00492D5F" w:rsidRPr="00655FC7" w:rsidRDefault="00492D5F" w:rsidP="00492D5F">
            <w:pPr>
              <w:tabs>
                <w:tab w:val="left" w:pos="3119"/>
              </w:tabs>
              <w:ind w:firstLine="0"/>
              <w:jc w:val="center"/>
              <w:rPr>
                <w:rFonts w:asciiTheme="minorHAnsi" w:eastAsiaTheme="minorHAnsi" w:hAnsiTheme="minorHAnsi" w:cstheme="minorHAnsi"/>
                <w:color w:val="auto"/>
                <w:sz w:val="19"/>
                <w:szCs w:val="19"/>
              </w:rPr>
            </w:pPr>
            <w:r w:rsidRPr="00655FC7">
              <w:rPr>
                <w:rFonts w:asciiTheme="minorHAnsi" w:eastAsiaTheme="minorHAnsi" w:hAnsiTheme="minorHAnsi" w:cstheme="minorHAnsi"/>
                <w:color w:val="auto"/>
                <w:sz w:val="19"/>
                <w:szCs w:val="19"/>
              </w:rPr>
              <w:t>Ekosystemy słodkowodne i jakość wód</w:t>
            </w:r>
          </w:p>
        </w:tc>
        <w:tc>
          <w:tcPr>
            <w:tcW w:w="7157" w:type="dxa"/>
          </w:tcPr>
          <w:p w14:paraId="37D87480" w14:textId="77777777" w:rsidR="00492D5F" w:rsidRPr="00655FC7" w:rsidRDefault="00492D5F" w:rsidP="00492D5F">
            <w:pPr>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 w:val="19"/>
                <w:szCs w:val="19"/>
              </w:rPr>
            </w:pPr>
            <w:r w:rsidRPr="00655FC7">
              <w:rPr>
                <w:rFonts w:cstheme="minorHAnsi"/>
                <w:color w:val="auto"/>
                <w:sz w:val="19"/>
                <w:szCs w:val="19"/>
              </w:rPr>
              <w:t xml:space="preserve">Zmiana klimatu wpływa nie tylko na wzrost temperatury wód systemów słodkowodnych, ale także na zmiany reżimu hydrologicznego rzek. Wzrost temperatury wód wpłynie na wydarzenia cyklu życia, a także będzie stymulować wcześniejszy początek różnych zjawisk przyrodniczych, np. wiosenny zakwit planktonu, pierwszy dzień lotu owadów wodnych, czy okres tarła ryb. Będzie miał on również wpływ na występowanie czy migracje organizmów wodnych. Ułatwi inwazję gatunków obcych, które dotychczas występowały w cieplejszych regionach. Zmiany dotyczą także jakości wody. Cieplejszy i bardziej wilgotny klimat może doprowadzać do wzrostu stężenia substancji odżywczych i rozpuszczonego węgla organicznego w jeziorach i rzekach. </w:t>
            </w:r>
          </w:p>
        </w:tc>
      </w:tr>
    </w:tbl>
    <w:p w14:paraId="6664BB3A" w14:textId="77777777" w:rsidR="00492D5F" w:rsidRDefault="00492D5F" w:rsidP="00111450">
      <w:pPr>
        <w:pStyle w:val="Cytat"/>
      </w:pPr>
      <w:r w:rsidRPr="00655FC7">
        <w:t>źródło: Ocena wrażliwości terenów miejskich na możliwe zagrożenia wynikające ze zmian klimatu</w:t>
      </w:r>
      <w:r w:rsidRPr="00655FC7">
        <w:rPr>
          <w:vertAlign w:val="superscript"/>
        </w:rPr>
        <w:footnoteReference w:id="13"/>
      </w:r>
      <w:r w:rsidRPr="00655FC7">
        <w:t>; opracowanie własne</w:t>
      </w:r>
    </w:p>
    <w:p w14:paraId="15BC50E9" w14:textId="77777777" w:rsidR="005B31C2" w:rsidRPr="005B31C2" w:rsidRDefault="005B31C2" w:rsidP="005B31C2">
      <w:pPr>
        <w:rPr>
          <w:lang w:eastAsia="ar-SA"/>
        </w:rPr>
      </w:pPr>
    </w:p>
    <w:p w14:paraId="416F9A94" w14:textId="77777777" w:rsidR="00492D5F" w:rsidRPr="00655FC7" w:rsidRDefault="00492D5F" w:rsidP="00C20390">
      <w:pPr>
        <w:pStyle w:val="Nagwek4"/>
      </w:pPr>
      <w:r w:rsidRPr="00655FC7">
        <w:t>Powodzie</w:t>
      </w:r>
    </w:p>
    <w:p w14:paraId="7189F8ED" w14:textId="77777777" w:rsidR="00492D5F" w:rsidRPr="00655FC7" w:rsidRDefault="00492D5F" w:rsidP="00492D5F">
      <w:pPr>
        <w:tabs>
          <w:tab w:val="left" w:pos="3119"/>
        </w:tabs>
        <w:rPr>
          <w:rFonts w:cstheme="minorHAnsi"/>
          <w:color w:val="auto"/>
          <w:u w:val="single"/>
        </w:rPr>
      </w:pPr>
      <w:r w:rsidRPr="00655FC7">
        <w:rPr>
          <w:rFonts w:cstheme="minorHAnsi"/>
          <w:color w:val="auto"/>
        </w:rPr>
        <w:t xml:space="preserve">Zjawisko </w:t>
      </w:r>
      <w:r w:rsidRPr="00655FC7">
        <w:rPr>
          <w:rFonts w:cstheme="minorHAnsi"/>
          <w:b/>
          <w:color w:val="auto"/>
        </w:rPr>
        <w:t>powodzi</w:t>
      </w:r>
      <w:r w:rsidRPr="00655FC7">
        <w:rPr>
          <w:rFonts w:cstheme="minorHAnsi"/>
          <w:color w:val="auto"/>
        </w:rPr>
        <w:t xml:space="preserve"> jest wypadkową występowania kombinacji czynników hydrologiczno-meteorologicznych w poszczególnych okresach roku i sposobu zagospodarowania zlewni i dolin rzek. Większość dużych miast europejskich położonych jest nad rzekami, w związku z czym istnieje duże ryzyko wystąpienia na tych obszarach powodzi. Jednym z czynników intensyfikacji występowania zjawisk powodziowych jest pogłębiająca się antropopresja. Niekorzystne dla środowiska zagospodarowanie terenów w postaci uszczelniania powierzchni, wylesiania, ograniczania lub likwidowania terenów retencyjnych, zabudowy w strefie zalewowej przyczynia się do zaburzenia naturalnego obiegu wód w przyrodzie i naturalnych kierunków spływu wód opadowych i roztopowych.</w:t>
      </w:r>
    </w:p>
    <w:p w14:paraId="551FA225" w14:textId="77777777" w:rsidR="00492D5F" w:rsidRPr="00655FC7" w:rsidRDefault="00492D5F" w:rsidP="00492D5F">
      <w:pPr>
        <w:tabs>
          <w:tab w:val="left" w:pos="3119"/>
        </w:tabs>
        <w:rPr>
          <w:rFonts w:cstheme="minorHAnsi"/>
          <w:color w:val="auto"/>
        </w:rPr>
      </w:pPr>
      <w:r w:rsidRPr="00655FC7">
        <w:rPr>
          <w:rFonts w:cstheme="minorHAnsi"/>
          <w:color w:val="auto"/>
        </w:rPr>
        <w:t>Powodzie wraz ze sztormami powodują największe straty ekonomiczne pośród naturalnych zagrożeń występujących w Europie. Straty te obejmują zniszczenia infrastruktury, mienia publicznego i prywatnego, erozję lub osuwanie się ziemi oraz straty pośrednie na terenie objętym powodzią lub w sąsiedztwie, takie jak przerwy w produkcji energii lub skażenie wody. Dodatkowy problem mogą stanowić niekorzystne zjawiska społeczne i ekonomiczne, w tym niższa produktywność, zakłócenia w świadczeniu usług, utrata miejsc pracy i przychodów ludności. Powodzie mogą powodować śmierć ludzi i zwierząt oraz katastrofy ekologiczne związane z ekspozycją na skażone wody powierzchniowe. Zdarzenia związane z powodzią mogą powodować u ludzi liczne choroby, w tym między innymi zespół stresu pourazowego, infekcje układu oddechowego, skóry i oczu oraz choroby wywołane przez patogeny</w:t>
      </w:r>
      <w:r w:rsidRPr="00655FC7">
        <w:rPr>
          <w:rFonts w:cstheme="minorHAnsi"/>
          <w:color w:val="auto"/>
          <w:vertAlign w:val="superscript"/>
        </w:rPr>
        <w:footnoteReference w:id="14"/>
      </w:r>
      <w:r w:rsidRPr="00655FC7">
        <w:rPr>
          <w:rFonts w:cstheme="minorHAnsi"/>
          <w:color w:val="auto"/>
        </w:rPr>
        <w:t xml:space="preserve">. </w:t>
      </w:r>
    </w:p>
    <w:p w14:paraId="399C3DA2" w14:textId="7728C2DC" w:rsidR="00492D5F" w:rsidRPr="00655FC7" w:rsidRDefault="00492D5F" w:rsidP="00492D5F">
      <w:pPr>
        <w:tabs>
          <w:tab w:val="left" w:pos="3119"/>
        </w:tabs>
        <w:rPr>
          <w:rFonts w:cstheme="minorHAnsi"/>
          <w:color w:val="auto"/>
        </w:rPr>
      </w:pPr>
      <w:r w:rsidRPr="00655FC7">
        <w:rPr>
          <w:rFonts w:cstheme="minorHAnsi"/>
          <w:b/>
          <w:color w:val="auto"/>
        </w:rPr>
        <w:t>Gwałtowne spływy wody</w:t>
      </w:r>
      <w:r w:rsidRPr="00655FC7">
        <w:rPr>
          <w:rFonts w:cstheme="minorHAnsi"/>
          <w:color w:val="auto"/>
        </w:rPr>
        <w:t xml:space="preserve"> wywołane intensywnymi opadami powodują podtopienia terenów, erozję gleb, osuwiska ziem, niszczenie terenów zielonych czy elementów infrastruktury. Szczególnym typem powodzi są tzw. powodzie miejskie (Urban Floods). Pojawiają się w obszarach miejskich w trakcie wystąpienia gwałtownych (nawalnych) opadów. Charakteryzują się gwałtownym przebiegiem i związane są z niewydolnymi systemami kanalizacyjnymi. Nadmierne uszczelnianie </w:t>
      </w:r>
      <w:r w:rsidRPr="00655FC7">
        <w:rPr>
          <w:rFonts w:cstheme="minorHAnsi"/>
          <w:color w:val="auto"/>
        </w:rPr>
        <w:lastRenderedPageBreak/>
        <w:t>powierzchni miejskich, zanik obszarów czynnych biologicznie i brak obiektów małej retencji powoduje, iż znacznie zwiększa się odpływ (nawet do 6 razy w stosunku do terenów o naturalnym pokryciu)</w:t>
      </w:r>
      <w:r w:rsidRPr="00655FC7">
        <w:rPr>
          <w:rFonts w:cstheme="minorHAnsi"/>
          <w:color w:val="auto"/>
          <w:vertAlign w:val="superscript"/>
        </w:rPr>
        <w:footnoteReference w:id="15"/>
      </w:r>
      <w:r w:rsidRPr="00655FC7">
        <w:rPr>
          <w:rFonts w:cstheme="minorHAnsi"/>
          <w:color w:val="auto"/>
        </w:rPr>
        <w:t xml:space="preserve">. </w:t>
      </w:r>
    </w:p>
    <w:p w14:paraId="39F541AD" w14:textId="77777777" w:rsidR="00492D5F" w:rsidRPr="00655FC7" w:rsidRDefault="00492D5F" w:rsidP="00492D5F">
      <w:pPr>
        <w:tabs>
          <w:tab w:val="left" w:pos="3119"/>
        </w:tabs>
        <w:rPr>
          <w:rFonts w:cstheme="minorHAnsi"/>
          <w:color w:val="auto"/>
        </w:rPr>
      </w:pPr>
    </w:p>
    <w:p w14:paraId="10E54AD0" w14:textId="77777777" w:rsidR="00492D5F" w:rsidRPr="00655FC7" w:rsidRDefault="00492D5F" w:rsidP="00C20390">
      <w:pPr>
        <w:pStyle w:val="Nagwek4"/>
      </w:pPr>
      <w:r w:rsidRPr="00655FC7">
        <w:t>Niedobór wody i susze</w:t>
      </w:r>
    </w:p>
    <w:p w14:paraId="4773D38C" w14:textId="77777777" w:rsidR="00492D5F" w:rsidRPr="00655FC7" w:rsidRDefault="00492D5F" w:rsidP="00492D5F">
      <w:pPr>
        <w:tabs>
          <w:tab w:val="left" w:pos="3119"/>
        </w:tabs>
        <w:rPr>
          <w:rFonts w:cstheme="minorHAnsi"/>
          <w:color w:val="auto"/>
        </w:rPr>
      </w:pPr>
      <w:r w:rsidRPr="00655FC7">
        <w:rPr>
          <w:rFonts w:cstheme="minorHAnsi"/>
          <w:color w:val="auto"/>
        </w:rPr>
        <w:t xml:space="preserve">Dostępność do wody o odpowiedniej jakości jest warunkiem zapewnienia zdrowia człowieka i rozwoju gospodarczego. Problem niedostatecznej ilości wody w miastach występuje nie tylko na suchych obszarach Europy, lecz również w innych regionach. </w:t>
      </w:r>
      <w:r w:rsidRPr="00655FC7">
        <w:rPr>
          <w:rFonts w:cstheme="minorHAnsi"/>
          <w:b/>
          <w:color w:val="auto"/>
        </w:rPr>
        <w:t>Niedobór wody i susze</w:t>
      </w:r>
      <w:r w:rsidRPr="00655FC7">
        <w:rPr>
          <w:rFonts w:cstheme="minorHAnsi"/>
          <w:color w:val="auto"/>
        </w:rPr>
        <w:t xml:space="preserve"> to dwie odrębne kwestie. Niedobór wody odnosi się do długoterminowego braku równowagi pomiędzy zapotrzebowaniem na wodę a dostępnymi zasobami naturalnymi, co zazwyczaj zdarza się na terenach o małej dostępności do wody lub słabych opadach deszczu. Niemniej jednak taki problem pojawia się również na terenach, gdzie występuje duże zużycie wody ze względu na dużą gęstość zaludnienia, intensywną działalność rolniczą lub działalność przemysłową. Brak równowagi między popytem na wodę, a jej podażą może również wiązać się z problemem zapewnienia wody o odpowiedniej jakości, co prowadzi do zwiększenia niedoboru wody zdatnej do spożycia. Pojęcie suszy rozumiane jest jako zauważalny brak wody powodujący szkody w środowisku i gospodarce, a także wyraźną uciążliwość lub wręcz zagrożenie dla ludzi. Rozróżnia się trzy fazy suszy: suszę meteorologiczną, związaną z niskim poziomem opadów lub ich brakiem i wysoką temperaturą, suszę glebową i w następnej kolejności suszę hydrologiczną objawiającą się zmniejszeniem przepływów w rzekach. Podstawową przyczyną występowania suszy jest zwykle deficyt opadów. Wysokie temperatury powietrza i współczynnik procesu parowania terenowego mogą nasilać dotkliwość i czas trwania susz. Miasta europejskie są wrażliwe na niedobory wody i susze ze względu na zmianę stylów życia mieszkańców i rosnącą konsumpcję, ograniczoną dostępność do wody i wprowadzenie standardów jakości wody do spożycia, co ma związek z wprowadzeniem zakazu korzystania z zanieczyszczonej wody zarówno w miastach jak i w ich okolicy</w:t>
      </w:r>
      <w:r w:rsidRPr="00655FC7">
        <w:rPr>
          <w:rFonts w:cstheme="minorHAnsi"/>
          <w:color w:val="auto"/>
          <w:vertAlign w:val="superscript"/>
        </w:rPr>
        <w:footnoteReference w:id="16"/>
      </w:r>
      <w:r w:rsidRPr="00655FC7">
        <w:rPr>
          <w:rFonts w:cstheme="minorHAnsi"/>
          <w:color w:val="auto"/>
        </w:rPr>
        <w:t>.</w:t>
      </w:r>
    </w:p>
    <w:p w14:paraId="41876E5D" w14:textId="77777777" w:rsidR="00492D5F" w:rsidRPr="00655FC7" w:rsidRDefault="00492D5F" w:rsidP="00492D5F">
      <w:pPr>
        <w:tabs>
          <w:tab w:val="left" w:pos="3119"/>
        </w:tabs>
        <w:rPr>
          <w:rFonts w:cstheme="minorHAnsi"/>
          <w:color w:val="auto"/>
        </w:rPr>
      </w:pPr>
    </w:p>
    <w:p w14:paraId="03A1AAB9" w14:textId="77777777" w:rsidR="00492D5F" w:rsidRPr="00655FC7" w:rsidRDefault="00492D5F" w:rsidP="00761441">
      <w:pPr>
        <w:pStyle w:val="Nagwek3"/>
      </w:pPr>
      <w:bookmarkStart w:id="52" w:name="_Toc177732034"/>
      <w:r w:rsidRPr="00655FC7">
        <w:t>Występowanie ekstremów temperaturowych</w:t>
      </w:r>
      <w:bookmarkEnd w:id="52"/>
    </w:p>
    <w:p w14:paraId="6C1F32E0" w14:textId="77777777" w:rsidR="00492D5F" w:rsidRPr="00655FC7" w:rsidRDefault="00492D5F" w:rsidP="00492D5F">
      <w:pPr>
        <w:tabs>
          <w:tab w:val="left" w:pos="3119"/>
        </w:tabs>
        <w:rPr>
          <w:rFonts w:cstheme="minorHAnsi"/>
          <w:color w:val="auto"/>
        </w:rPr>
      </w:pPr>
      <w:r w:rsidRPr="00655FC7">
        <w:rPr>
          <w:rFonts w:cstheme="minorHAnsi"/>
          <w:color w:val="auto"/>
        </w:rPr>
        <w:t>Zagrożenia dla miast związane z występowaniem ekstremów temperaturowych wynikają ze struktury zabudowy miasta, ale również z kumulacji zanieczyszczeń powietrza charakterystycznych dla takich dziedzin działalności człowieka jak transport, mieszkalnictwo, usługi czy infrastruktura komunalna. Należy spodziewać się, że obserwowana w ostatnich latach w licznych miastach Europy niekorzystna sytuacja w tym względzie pogłębi się, szczególnie w krajach, w których opalanie domów i mieszkań oparte jest na paliwach stałych, takich jak węgiel i biomasa. Może to prowadzić również do intensyfikacji występowania zjawisk smogowych w miastach w okresach zimowych (tzw. smog kwaśny, londyński), bowiem pył zawieszony jest głównym sprawcą tego typu zjawisk</w:t>
      </w:r>
      <w:r w:rsidRPr="00655FC7">
        <w:rPr>
          <w:rFonts w:cstheme="minorHAnsi"/>
          <w:color w:val="auto"/>
          <w:vertAlign w:val="superscript"/>
        </w:rPr>
        <w:footnoteReference w:id="17"/>
      </w:r>
      <w:r w:rsidRPr="00655FC7">
        <w:rPr>
          <w:rFonts w:cstheme="minorHAnsi"/>
          <w:color w:val="auto"/>
        </w:rPr>
        <w:t>.</w:t>
      </w:r>
    </w:p>
    <w:p w14:paraId="1EBF9128" w14:textId="77777777" w:rsidR="00492D5F" w:rsidRPr="00655FC7" w:rsidRDefault="00492D5F" w:rsidP="00C20390">
      <w:pPr>
        <w:pStyle w:val="Nagwek4"/>
      </w:pPr>
      <w:r w:rsidRPr="00655FC7">
        <w:lastRenderedPageBreak/>
        <w:t>Miejska wyspa ciepła</w:t>
      </w:r>
    </w:p>
    <w:p w14:paraId="36306860" w14:textId="77777777" w:rsidR="00492D5F" w:rsidRPr="00655FC7" w:rsidRDefault="00492D5F" w:rsidP="00492D5F">
      <w:pPr>
        <w:tabs>
          <w:tab w:val="left" w:pos="3119"/>
        </w:tabs>
        <w:rPr>
          <w:rFonts w:cstheme="minorHAnsi"/>
          <w:color w:val="auto"/>
        </w:rPr>
      </w:pPr>
      <w:r w:rsidRPr="00655FC7">
        <w:rPr>
          <w:rFonts w:cstheme="minorHAnsi"/>
          <w:color w:val="auto"/>
        </w:rPr>
        <w:t xml:space="preserve">Na obszarach silnie zmienionych antropogenicznie występuje tzw. </w:t>
      </w:r>
      <w:r w:rsidRPr="00655FC7">
        <w:rPr>
          <w:rFonts w:cstheme="minorHAnsi"/>
          <w:b/>
          <w:color w:val="auto"/>
        </w:rPr>
        <w:t>miejska wyspa ciepła</w:t>
      </w:r>
      <w:r w:rsidRPr="00655FC7">
        <w:rPr>
          <w:rFonts w:cstheme="minorHAnsi"/>
          <w:color w:val="auto"/>
        </w:rPr>
        <w:t>. Miejska wyspa ciepła (MWC) to zjawisko klimatyczne polegające na występowaniu wyższej temperatury powietrza w mieście w porównaniu z terenami otaczającymi miasto. MWC powstaje w wyniku właściwej miastom struktury funkcjonalno-przestrzennej – nagromadzenia powierzchni sztucznych, niewielkiego udziału terenów zieleni miejskiej oraz osłabionego przewietrzania. Materiały, takie jak beton, asfalt, cegła, pochłaniają więcej promieni słonecznych niż ich odbijają, a następnie oddają energię, podwyższając temperaturę w otoczeniu. Dodatkowo do podniesienia temperatury powietrza w mieście dokłada się aktywność człowieka – ogrzewanie i klimatyzowanie w budynkach, ruch samochodowy, produkcja towarów.</w:t>
      </w:r>
    </w:p>
    <w:p w14:paraId="7A20F13B" w14:textId="77777777" w:rsidR="00492D5F" w:rsidRPr="00655FC7" w:rsidRDefault="00492D5F" w:rsidP="00492D5F">
      <w:pPr>
        <w:tabs>
          <w:tab w:val="left" w:pos="3119"/>
        </w:tabs>
        <w:rPr>
          <w:rFonts w:cstheme="minorHAnsi"/>
          <w:color w:val="auto"/>
        </w:rPr>
      </w:pPr>
      <w:r w:rsidRPr="00655FC7">
        <w:rPr>
          <w:rFonts w:cstheme="minorHAnsi"/>
          <w:color w:val="auto"/>
        </w:rPr>
        <w:t>MWC wpływa na to, jak w miastach odczuwamy upały. Upały obciążają termicznie organizm człowieka, w miastach stres termiczny odczuwany przez mieszkańców jest jeszcze silniejszy właśnie poprzez działanie MWC. Będące efektem MWC zmniejszenie wychłodzenia nocnego, prowadzi do wielu niebezpiecznych dla organizmu sytuacji. Badania wskazują, że MWC prawdopodobnie wywiera istotny wpływa na zwiększenie częstości występowania przypadków udaru cieplnego, sprzyja zaostrzeniu przewlekłych chorób układu oddechowego i krążenia. Wpływ ten dotyczy w szczególności osób starszych, niepełnosprawnych i wykluczonych społecznie. Badania wskazują także, że w warunkach klimatycznych charakterystycznych dla MWC rośliny mogą wytwarzać więcej alergenów. Wreszcie MWC pogłębia negatywne efekty zanieczyszczenia powietrza dla zdrowia ludzi</w:t>
      </w:r>
      <w:r w:rsidRPr="00655FC7">
        <w:rPr>
          <w:rFonts w:cstheme="minorHAnsi"/>
          <w:color w:val="auto"/>
          <w:vertAlign w:val="superscript"/>
        </w:rPr>
        <w:footnoteReference w:id="18"/>
      </w:r>
      <w:r w:rsidRPr="00655FC7">
        <w:rPr>
          <w:rFonts w:cstheme="minorHAnsi"/>
          <w:color w:val="auto"/>
        </w:rPr>
        <w:t>.</w:t>
      </w:r>
    </w:p>
    <w:p w14:paraId="5CD353C7" w14:textId="77777777" w:rsidR="00492D5F" w:rsidRPr="00655FC7" w:rsidRDefault="00492D5F" w:rsidP="00492D5F">
      <w:pPr>
        <w:tabs>
          <w:tab w:val="left" w:pos="3119"/>
        </w:tabs>
        <w:rPr>
          <w:rFonts w:cstheme="minorHAnsi"/>
          <w:color w:val="auto"/>
        </w:rPr>
      </w:pPr>
    </w:p>
    <w:p w14:paraId="3241CFFC" w14:textId="6F628A1F" w:rsidR="00492D5F" w:rsidRPr="00655FC7" w:rsidRDefault="00492D5F" w:rsidP="00C20390">
      <w:pPr>
        <w:pStyle w:val="Nagwek4"/>
      </w:pPr>
      <w:r w:rsidRPr="00655FC7">
        <w:t>Inwersje temperaturowe</w:t>
      </w:r>
    </w:p>
    <w:p w14:paraId="21D4D675" w14:textId="77777777" w:rsidR="00492D5F" w:rsidRPr="00655FC7" w:rsidRDefault="00492D5F" w:rsidP="00492D5F">
      <w:pPr>
        <w:tabs>
          <w:tab w:val="left" w:pos="3119"/>
        </w:tabs>
        <w:rPr>
          <w:rFonts w:cstheme="minorHAnsi"/>
          <w:color w:val="auto"/>
        </w:rPr>
      </w:pPr>
      <w:r w:rsidRPr="00655FC7">
        <w:rPr>
          <w:rFonts w:cstheme="minorHAnsi"/>
          <w:b/>
          <w:color w:val="auto"/>
        </w:rPr>
        <w:t>Zjawisko</w:t>
      </w:r>
      <w:r w:rsidRPr="00655FC7">
        <w:rPr>
          <w:rFonts w:cstheme="minorHAnsi"/>
          <w:color w:val="auto"/>
        </w:rPr>
        <w:t xml:space="preserve"> występowania </w:t>
      </w:r>
      <w:r w:rsidRPr="00655FC7">
        <w:rPr>
          <w:rFonts w:cstheme="minorHAnsi"/>
          <w:b/>
          <w:color w:val="auto"/>
        </w:rPr>
        <w:t>inwersji temperaturowych</w:t>
      </w:r>
      <w:r w:rsidRPr="00655FC7">
        <w:rPr>
          <w:rFonts w:cstheme="minorHAnsi"/>
          <w:b/>
          <w:color w:val="auto"/>
          <w:vertAlign w:val="superscript"/>
        </w:rPr>
        <w:footnoteReference w:id="19"/>
      </w:r>
      <w:r w:rsidRPr="00655FC7">
        <w:rPr>
          <w:rFonts w:cstheme="minorHAnsi"/>
          <w:b/>
          <w:color w:val="auto"/>
        </w:rPr>
        <w:t xml:space="preserve"> </w:t>
      </w:r>
      <w:r w:rsidRPr="00655FC7">
        <w:rPr>
          <w:rFonts w:cstheme="minorHAnsi"/>
          <w:color w:val="auto"/>
        </w:rPr>
        <w:t>ma kluczowe znaczenie dla warunków rozprzestrzeniania się zanieczyszczeń powietrza emitowanych z terenu miasta. Stany inwersyjne, którym towarzyszą bardzo niskie prędkości wiatru (rzędu 1-2 m/s) uniemożliwiają transport zanieczyszczeń z terenu miasta, tworząc nad nim swoistą barierę, "czapę", która utrzymuje zanieczyszczenia nad miastem. Im dłużej stan taki się utrzymuje, tym bardziej rosną stężenia zanieczyszczeń powietrza, ze względu na ich kumulację nad terenem miasta.</w:t>
      </w:r>
    </w:p>
    <w:p w14:paraId="7D340D28" w14:textId="77777777" w:rsidR="00492D5F" w:rsidRPr="00655FC7" w:rsidRDefault="00492D5F" w:rsidP="00492D5F">
      <w:pPr>
        <w:tabs>
          <w:tab w:val="left" w:pos="3119"/>
        </w:tabs>
        <w:rPr>
          <w:rFonts w:cstheme="minorHAnsi"/>
          <w:color w:val="auto"/>
        </w:rPr>
      </w:pPr>
    </w:p>
    <w:p w14:paraId="50E9C2BF" w14:textId="77777777" w:rsidR="00492D5F" w:rsidRPr="00655FC7" w:rsidRDefault="00492D5F" w:rsidP="00C20390">
      <w:pPr>
        <w:pStyle w:val="Nagwek4"/>
      </w:pPr>
      <w:r w:rsidRPr="00655FC7">
        <w:t>Smog</w:t>
      </w:r>
    </w:p>
    <w:p w14:paraId="32E105F5" w14:textId="77777777" w:rsidR="00492D5F" w:rsidRPr="00655FC7" w:rsidRDefault="00492D5F" w:rsidP="00492D5F">
      <w:pPr>
        <w:tabs>
          <w:tab w:val="left" w:pos="3119"/>
        </w:tabs>
        <w:rPr>
          <w:rFonts w:cstheme="minorHAnsi"/>
          <w:color w:val="auto"/>
        </w:rPr>
      </w:pPr>
      <w:r w:rsidRPr="00655FC7">
        <w:rPr>
          <w:rFonts w:cstheme="minorHAnsi"/>
          <w:color w:val="auto"/>
        </w:rPr>
        <w:t xml:space="preserve">W ośrodkach zurbanizowanych częste jest występowanie smogu. Rozróżnia się dwa typy smogu: </w:t>
      </w:r>
      <w:r w:rsidRPr="00655FC7">
        <w:rPr>
          <w:rFonts w:cstheme="minorHAnsi"/>
          <w:b/>
          <w:color w:val="auto"/>
        </w:rPr>
        <w:t xml:space="preserve">smog </w:t>
      </w:r>
      <w:r w:rsidRPr="00655FC7">
        <w:rPr>
          <w:rFonts w:cstheme="minorHAnsi"/>
          <w:color w:val="auto"/>
        </w:rPr>
        <w:t xml:space="preserve">zimowy nazywany również kwaśnym, redukującym, londyńskim oraz smog letni, fotochemiczny znany również pod nazwą smogu utleniającego lub typu Los Angeles. Zasadniczą różnicą pomiędzy obydwoma typami smogu jest obecność, czy też brak, odpowiednio wysokich stężeń ozonu. </w:t>
      </w:r>
    </w:p>
    <w:p w14:paraId="7DAE6968" w14:textId="48FDF89C" w:rsidR="00492D5F" w:rsidRPr="00655FC7" w:rsidRDefault="00492D5F" w:rsidP="00492D5F">
      <w:pPr>
        <w:tabs>
          <w:tab w:val="left" w:pos="3119"/>
        </w:tabs>
        <w:rPr>
          <w:rFonts w:cstheme="minorHAnsi"/>
          <w:color w:val="auto"/>
        </w:rPr>
      </w:pPr>
      <w:r w:rsidRPr="00655FC7">
        <w:rPr>
          <w:rFonts w:cstheme="minorHAnsi"/>
          <w:color w:val="auto"/>
        </w:rPr>
        <w:t xml:space="preserve">Obecność zanieczyszczeń powietrza jest warunkiem koniecznym powstania i istnienia smogu. Bez zanieczyszczeń powietrza smog nie powstanie. Nie jest to jednak warunek jedyny. Drugą grupę czynników stanowią warunki meteorologiczne. Dla obydwu typów smogu są one częściowo takie same (np. stany atmosfery utrudniające lub ograniczające rozprzestrzenianie się zanieczyszczeń), a częściowo odmienne (np. wysokie usłonecznienie i niska wilgotność powietrza odgrywają kluczowe znaczenie jedynie w przypadku tworzenia smogu letniego). Jeżeli wymienione powyżej warunki zostały spełnione oraz jeżeli stężenia zanieczyszczeń w powietrzu są wysokie, wyższe od dopuszczalnych, </w:t>
      </w:r>
      <w:r w:rsidRPr="00655FC7">
        <w:rPr>
          <w:rFonts w:cstheme="minorHAnsi"/>
          <w:color w:val="auto"/>
        </w:rPr>
        <w:lastRenderedPageBreak/>
        <w:t>a</w:t>
      </w:r>
      <w:r w:rsidR="004B369E">
        <w:rPr>
          <w:rFonts w:cstheme="minorHAnsi"/>
          <w:color w:val="auto"/>
        </w:rPr>
        <w:t> </w:t>
      </w:r>
      <w:r w:rsidRPr="00655FC7">
        <w:rPr>
          <w:rFonts w:cstheme="minorHAnsi"/>
          <w:color w:val="auto"/>
        </w:rPr>
        <w:t>epizody występowania tych podwyższonych stężeń nie są krótkotrwałe (np. 30-minutowe), a wręcz przeciwnie, długotrwałe, to powstają warunki dla uznania sytuacji jako smogowej. W warunkach długotrwałego wysokiego usłonecznienia, jakie występują w wyniku zmian klimatu, sytuacje smogowe są również długotrwałe</w:t>
      </w:r>
      <w:r w:rsidRPr="00655FC7">
        <w:rPr>
          <w:rFonts w:cstheme="minorHAnsi"/>
          <w:color w:val="auto"/>
          <w:vertAlign w:val="superscript"/>
        </w:rPr>
        <w:footnoteReference w:id="20"/>
      </w:r>
      <w:r w:rsidRPr="00655FC7">
        <w:rPr>
          <w:rFonts w:cstheme="minorHAnsi"/>
          <w:color w:val="auto"/>
        </w:rPr>
        <w:t>.</w:t>
      </w:r>
    </w:p>
    <w:p w14:paraId="270EC015" w14:textId="77777777" w:rsidR="00492D5F" w:rsidRPr="00655FC7" w:rsidRDefault="00492D5F" w:rsidP="00492D5F">
      <w:pPr>
        <w:tabs>
          <w:tab w:val="left" w:pos="3119"/>
        </w:tabs>
        <w:rPr>
          <w:rFonts w:cstheme="minorHAnsi"/>
          <w:color w:val="auto"/>
        </w:rPr>
      </w:pPr>
    </w:p>
    <w:p w14:paraId="7BEB9E7F" w14:textId="77777777" w:rsidR="00492D5F" w:rsidRPr="00655FC7" w:rsidRDefault="00492D5F" w:rsidP="00761441">
      <w:pPr>
        <w:pStyle w:val="Nagwek3"/>
      </w:pPr>
      <w:bookmarkStart w:id="53" w:name="_Toc177732035"/>
      <w:r w:rsidRPr="00655FC7">
        <w:t>Zaburzenia cyrkulacji powietrza w mieście</w:t>
      </w:r>
      <w:bookmarkEnd w:id="53"/>
    </w:p>
    <w:p w14:paraId="192C692C" w14:textId="4F172DE0" w:rsidR="00492D5F" w:rsidRPr="00655FC7" w:rsidRDefault="00492D5F" w:rsidP="00C20390">
      <w:pPr>
        <w:pStyle w:val="Nagwek4"/>
      </w:pPr>
      <w:r w:rsidRPr="00655FC7">
        <w:t>Słabe przewietrzanie</w:t>
      </w:r>
    </w:p>
    <w:p w14:paraId="57CB7A33" w14:textId="77777777" w:rsidR="00492D5F" w:rsidRPr="00655FC7" w:rsidRDefault="00492D5F" w:rsidP="00492D5F">
      <w:pPr>
        <w:tabs>
          <w:tab w:val="left" w:pos="3119"/>
        </w:tabs>
        <w:rPr>
          <w:rFonts w:cstheme="minorHAnsi"/>
          <w:color w:val="auto"/>
        </w:rPr>
      </w:pPr>
      <w:r w:rsidRPr="00655FC7">
        <w:rPr>
          <w:rFonts w:cstheme="minorHAnsi"/>
          <w:color w:val="auto"/>
        </w:rPr>
        <w:t xml:space="preserve">Zanieczyszczenie powietrza w miastach w synergii ze skutkami zmian klimatu takimi jak: wysokie temperatury, cisze, </w:t>
      </w:r>
      <w:r w:rsidRPr="00655FC7">
        <w:rPr>
          <w:rFonts w:cstheme="minorHAnsi"/>
          <w:b/>
          <w:color w:val="auto"/>
        </w:rPr>
        <w:t>słabe przewietrzanie</w:t>
      </w:r>
      <w:r w:rsidRPr="00655FC7">
        <w:rPr>
          <w:rFonts w:cstheme="minorHAnsi"/>
          <w:color w:val="auto"/>
        </w:rPr>
        <w:t xml:space="preserve"> przy zjawisku niskiej emisji oraz inwersji temperaturowej, a także przy częstym występowaniu tzw. kanionów miejskich (wysokiej zabudowy po obu stronach ulicy) jest istotnym czynnikiem wzmacniającym zagrożenia miasta wynikające ze zmian klimatu. Brak przewietrzenia lub słabe przewietrzanie prowadzi do wzrostu stężenia zanieczyszczeń, a tym samym do spadku jakości powietrza i powstawania smogu.</w:t>
      </w:r>
    </w:p>
    <w:p w14:paraId="341BDFBA" w14:textId="77777777" w:rsidR="00492D5F" w:rsidRPr="00655FC7" w:rsidRDefault="00492D5F" w:rsidP="00492D5F">
      <w:pPr>
        <w:tabs>
          <w:tab w:val="left" w:pos="3119"/>
        </w:tabs>
        <w:rPr>
          <w:rFonts w:cstheme="minorHAnsi"/>
          <w:color w:val="auto"/>
        </w:rPr>
      </w:pPr>
    </w:p>
    <w:p w14:paraId="2C62BD4F" w14:textId="409E2FCD" w:rsidR="00492D5F" w:rsidRPr="00655FC7" w:rsidRDefault="00492D5F" w:rsidP="001853A7">
      <w:pPr>
        <w:pStyle w:val="Nagwek4"/>
        <w:rPr>
          <w:rFonts w:eastAsia="Times New Roman"/>
        </w:rPr>
      </w:pPr>
      <w:r w:rsidRPr="00655FC7">
        <w:rPr>
          <w:rFonts w:eastAsia="Times New Roman"/>
        </w:rPr>
        <w:t>Zjawiska związane z silnym wiatrem</w:t>
      </w:r>
    </w:p>
    <w:p w14:paraId="63055843" w14:textId="77777777" w:rsidR="00492D5F" w:rsidRPr="00655FC7" w:rsidRDefault="00492D5F" w:rsidP="00AD10E0">
      <w:r w:rsidRPr="00655FC7">
        <w:t xml:space="preserve">Wiatr to ruch poziomy powietrza wynikający z różnicy ciśnień pomiędzy obszarami (spowodowanej czynnikami dynamicznymi lub termicznymi tj. różnica temperatur). Prędkość wiatru wzrasta wraz z większą różnicą temperatury i mniejszą odległością pomiędzy obszarami o skrajnych temperaturach. Dlatego też zmiany klimatyczne i tendencja wzrostowa temperatury będą miały wpływ na występowanie silnych wiatrów. Zwiększenie częstotliwości i intensywności silnych wiatrów jest obserwowane już obecnie zarówno w skali globalnej, jak i na terenie Polski. </w:t>
      </w:r>
    </w:p>
    <w:p w14:paraId="5F17F700" w14:textId="2AF2F91E" w:rsidR="00F46846" w:rsidRPr="00655FC7" w:rsidRDefault="00492D5F" w:rsidP="00492D5F">
      <w:pPr>
        <w:ind w:firstLine="0"/>
        <w:rPr>
          <w:rFonts w:eastAsia="Calibri" w:cstheme="minorHAnsi"/>
          <w:color w:val="auto"/>
        </w:rPr>
      </w:pPr>
      <w:r w:rsidRPr="00655FC7">
        <w:rPr>
          <w:rFonts w:eastAsia="Calibri" w:cstheme="minorHAnsi"/>
          <w:color w:val="auto"/>
        </w:rPr>
        <w:t>W kontekście silnych wiatrów często pojawia się również określenie orkan – jego definicja nie jest ściśle ustalona, ale obecnie przyjmuje się, że średnia 10‐minutowa prędkość wiatru w takim układzie niżowym powinna przekraczać 120 km/h. Opisane zjawiska powodują znaczne zniszczenia w infrastrukturze, uprawach, energetyce i wielu innych obszarach. Prawie zawsze silne wiatry występują wraz z burzami, w czasie których następują wyładowania atmosferyczne oraz gwałtowne opady powodujące zalania i podtopienia</w:t>
      </w:r>
      <w:r w:rsidRPr="00655FC7">
        <w:rPr>
          <w:rFonts w:eastAsia="Calibri" w:cstheme="minorHAnsi"/>
          <w:color w:val="auto"/>
          <w:vertAlign w:val="superscript"/>
        </w:rPr>
        <w:footnoteReference w:id="21"/>
      </w:r>
      <w:r w:rsidRPr="00655FC7">
        <w:rPr>
          <w:rFonts w:eastAsia="Calibri" w:cstheme="minorHAnsi"/>
          <w:color w:val="auto"/>
        </w:rPr>
        <w:t xml:space="preserve"> </w:t>
      </w:r>
      <w:r w:rsidRPr="00655FC7">
        <w:rPr>
          <w:rFonts w:eastAsia="Calibri" w:cstheme="minorHAnsi"/>
          <w:color w:val="auto"/>
          <w:vertAlign w:val="superscript"/>
        </w:rPr>
        <w:footnoteReference w:id="22"/>
      </w:r>
      <w:r w:rsidRPr="00655FC7">
        <w:rPr>
          <w:rFonts w:eastAsia="Calibri" w:cstheme="minorHAnsi"/>
          <w:color w:val="auto"/>
        </w:rPr>
        <w:t xml:space="preserve"> </w:t>
      </w:r>
      <w:r w:rsidRPr="00655FC7">
        <w:rPr>
          <w:rFonts w:eastAsia="Calibri" w:cstheme="minorHAnsi"/>
          <w:color w:val="auto"/>
          <w:vertAlign w:val="superscript"/>
        </w:rPr>
        <w:footnoteReference w:id="23"/>
      </w:r>
      <w:r w:rsidRPr="00655FC7">
        <w:rPr>
          <w:rFonts w:eastAsia="Calibri" w:cstheme="minorHAnsi"/>
          <w:color w:val="auto"/>
        </w:rPr>
        <w:t>.</w:t>
      </w:r>
    </w:p>
    <w:p w14:paraId="464BCE43" w14:textId="77777777" w:rsidR="00F46846" w:rsidRPr="00655FC7" w:rsidRDefault="00F46846">
      <w:pPr>
        <w:spacing w:after="200"/>
        <w:ind w:firstLine="0"/>
        <w:jc w:val="left"/>
        <w:rPr>
          <w:rFonts w:eastAsia="Calibri" w:cstheme="minorHAnsi"/>
          <w:color w:val="auto"/>
        </w:rPr>
      </w:pPr>
      <w:r w:rsidRPr="00655FC7">
        <w:rPr>
          <w:rFonts w:eastAsia="Calibri" w:cstheme="minorHAnsi"/>
          <w:color w:val="auto"/>
        </w:rPr>
        <w:br w:type="page"/>
      </w:r>
    </w:p>
    <w:p w14:paraId="163219C0" w14:textId="77777777" w:rsidR="007D1498" w:rsidRPr="00655FC7" w:rsidRDefault="007D1498" w:rsidP="007D1498">
      <w:bookmarkStart w:id="54" w:name="_Ref159586460"/>
      <w:bookmarkStart w:id="55" w:name="_Ref159586532"/>
      <w:bookmarkStart w:id="56" w:name="_Ref159586539"/>
    </w:p>
    <w:p w14:paraId="01A850B1" w14:textId="4150E89C" w:rsidR="00D155AA" w:rsidRPr="00655FC7" w:rsidRDefault="00D155AA" w:rsidP="00E6304E">
      <w:pPr>
        <w:pStyle w:val="Nagwek1"/>
        <w:spacing w:before="0"/>
      </w:pPr>
      <w:bookmarkStart w:id="57" w:name="_Toc177732036"/>
      <w:r w:rsidRPr="00655FC7">
        <w:t>Diagnoza</w:t>
      </w:r>
      <w:bookmarkEnd w:id="54"/>
      <w:bookmarkEnd w:id="55"/>
      <w:bookmarkEnd w:id="56"/>
      <w:bookmarkEnd w:id="57"/>
    </w:p>
    <w:p w14:paraId="312C558B" w14:textId="77777777" w:rsidR="00D155AA" w:rsidRPr="00655FC7" w:rsidRDefault="00D155AA" w:rsidP="00B62479">
      <w:pPr>
        <w:pStyle w:val="Nagwek2"/>
        <w:rPr>
          <w:rFonts w:eastAsia="Times New Roman"/>
        </w:rPr>
      </w:pPr>
      <w:bookmarkStart w:id="58" w:name="_Toc177732037"/>
      <w:bookmarkStart w:id="59" w:name="_Toc273379908"/>
      <w:bookmarkStart w:id="60" w:name="_Toc273380206"/>
      <w:bookmarkStart w:id="61" w:name="_Toc273443272"/>
      <w:bookmarkStart w:id="62" w:name="_Toc337137106"/>
      <w:bookmarkStart w:id="63" w:name="_Toc350950556"/>
      <w:bookmarkStart w:id="64" w:name="_Toc367193782"/>
      <w:bookmarkStart w:id="65" w:name="_Toc404941317"/>
      <w:bookmarkStart w:id="66" w:name="_Toc21085160"/>
      <w:r w:rsidRPr="00655FC7">
        <w:t>Charakterystyka</w:t>
      </w:r>
      <w:r w:rsidRPr="00655FC7">
        <w:rPr>
          <w:rFonts w:eastAsia="Times New Roman"/>
        </w:rPr>
        <w:t xml:space="preserve"> miasta</w:t>
      </w:r>
      <w:bookmarkEnd w:id="58"/>
    </w:p>
    <w:p w14:paraId="0CDA74AA" w14:textId="77777777" w:rsidR="00D155AA" w:rsidRPr="00655FC7" w:rsidRDefault="00D155AA" w:rsidP="00D155AA">
      <w:pPr>
        <w:pStyle w:val="Nagwek3"/>
      </w:pPr>
      <w:bookmarkStart w:id="67" w:name="_Toc177732038"/>
      <w:bookmarkEnd w:id="59"/>
      <w:bookmarkEnd w:id="60"/>
      <w:bookmarkEnd w:id="61"/>
      <w:bookmarkEnd w:id="62"/>
      <w:bookmarkEnd w:id="63"/>
      <w:bookmarkEnd w:id="64"/>
      <w:bookmarkEnd w:id="65"/>
      <w:bookmarkEnd w:id="66"/>
      <w:r w:rsidRPr="00655FC7">
        <w:t>Położenie</w:t>
      </w:r>
      <w:bookmarkEnd w:id="67"/>
    </w:p>
    <w:p w14:paraId="33BA6175" w14:textId="77777777" w:rsidR="00D155AA" w:rsidRPr="00655FC7" w:rsidRDefault="00D155AA" w:rsidP="00D155AA">
      <w:pPr>
        <w:tabs>
          <w:tab w:val="left" w:pos="3119"/>
        </w:tabs>
      </w:pPr>
      <w:r w:rsidRPr="00655FC7">
        <w:rPr>
          <w:b/>
          <w:bCs/>
        </w:rPr>
        <w:t>Miasto Tarnogród</w:t>
      </w:r>
      <w:r w:rsidRPr="00655FC7">
        <w:t xml:space="preserve"> leży w Gminie Tarnogród,</w:t>
      </w:r>
      <w:r w:rsidRPr="00655FC7">
        <w:rPr>
          <w:b/>
          <w:bCs/>
        </w:rPr>
        <w:t xml:space="preserve"> </w:t>
      </w:r>
      <w:r w:rsidRPr="00655FC7">
        <w:t>położonej w powiecie biłgorajskim, w województwie lubelskim i obejmuje obszar 10,7 km</w:t>
      </w:r>
      <w:r w:rsidRPr="00655FC7">
        <w:rPr>
          <w:vertAlign w:val="superscript"/>
        </w:rPr>
        <w:t>2</w:t>
      </w:r>
      <w:r w:rsidRPr="00655FC7">
        <w:t>. Gmina zlokalizowana jest na Płaskowyżu Tarnogrodzkim, we wschodniej części Kotliny Sandomierskiej. Samo miasto leży na wysokości 208 m n.p.m., na płaskowyżu poprzecinanym głębokimi parowami. W mieście wypływa kilkoma strugami rzeka Złota Nitka (lub Nitka), lewy dopływ Tanwi. Tarnogród jest jednym z zaledwie trzech miast woj. lubelskiego należącym do Regionu Karpackiego. Tarnogród położony jest w okolicy typowo rolniczej, w której występują również złoża gazu ziemnego</w:t>
      </w:r>
      <w:r w:rsidRPr="00655FC7">
        <w:rPr>
          <w:rStyle w:val="Odwoanieprzypisudolnego"/>
        </w:rPr>
        <w:footnoteReference w:id="24"/>
      </w:r>
      <w:r w:rsidRPr="00655FC7">
        <w:t>.</w:t>
      </w:r>
    </w:p>
    <w:p w14:paraId="10399079" w14:textId="77777777" w:rsidR="00D155AA" w:rsidRPr="00655FC7" w:rsidRDefault="00D155AA" w:rsidP="00D155AA">
      <w:pPr>
        <w:tabs>
          <w:tab w:val="left" w:pos="3119"/>
        </w:tabs>
        <w:rPr>
          <w:rFonts w:cstheme="minorHAnsi"/>
          <w:color w:val="auto"/>
        </w:rPr>
      </w:pPr>
    </w:p>
    <w:p w14:paraId="0B682E51" w14:textId="77777777" w:rsidR="00D155AA" w:rsidRPr="00655FC7" w:rsidRDefault="00D155AA" w:rsidP="00D155AA">
      <w:pPr>
        <w:tabs>
          <w:tab w:val="left" w:pos="3119"/>
        </w:tabs>
        <w:ind w:firstLine="0"/>
        <w:jc w:val="center"/>
        <w:rPr>
          <w:rFonts w:cstheme="minorHAnsi"/>
          <w:color w:val="auto"/>
        </w:rPr>
      </w:pPr>
      <w:r w:rsidRPr="00655FC7">
        <w:rPr>
          <w:rFonts w:cstheme="minorHAnsi"/>
          <w:noProof/>
          <w:color w:val="auto"/>
        </w:rPr>
        <w:drawing>
          <wp:inline distT="0" distB="0" distL="0" distR="0" wp14:anchorId="15B9779C" wp14:editId="687BCA17">
            <wp:extent cx="5760000" cy="4073279"/>
            <wp:effectExtent l="19050" t="19050" r="12700" b="22860"/>
            <wp:docPr id="570376420" name="Obraz 5" descr="Obraz zawierający tekst, mapa,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376420" name="Obraz 5" descr="Obraz zawierający tekst, mapa, diagram&#10;&#10;Opis wygenerowany automatyczni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000" cy="4073279"/>
                    </a:xfrm>
                    <a:prstGeom prst="rect">
                      <a:avLst/>
                    </a:prstGeom>
                    <a:ln>
                      <a:solidFill>
                        <a:schemeClr val="tx1"/>
                      </a:solidFill>
                    </a:ln>
                  </pic:spPr>
                </pic:pic>
              </a:graphicData>
            </a:graphic>
          </wp:inline>
        </w:drawing>
      </w:r>
    </w:p>
    <w:p w14:paraId="36C585AC" w14:textId="6508ED53" w:rsidR="00D155AA" w:rsidRPr="00655FC7" w:rsidRDefault="00D155AA" w:rsidP="00D155AA">
      <w:pPr>
        <w:spacing w:line="240" w:lineRule="auto"/>
        <w:ind w:firstLine="0"/>
        <w:jc w:val="center"/>
        <w:rPr>
          <w:rFonts w:eastAsiaTheme="minorEastAsia" w:cstheme="minorHAnsi"/>
          <w:b/>
          <w:color w:val="auto"/>
          <w:sz w:val="20"/>
          <w:szCs w:val="18"/>
          <w:lang w:eastAsia="pl-PL"/>
        </w:rPr>
      </w:pPr>
      <w:bookmarkStart w:id="68" w:name="_Toc178846346"/>
      <w:r w:rsidRPr="00655FC7">
        <w:rPr>
          <w:rFonts w:eastAsiaTheme="minorEastAsia" w:cstheme="minorHAnsi"/>
          <w:b/>
          <w:bCs/>
          <w:color w:val="auto"/>
          <w:sz w:val="20"/>
          <w:szCs w:val="18"/>
          <w:lang w:eastAsia="pl-PL"/>
        </w:rPr>
        <w:t xml:space="preserve">Rysunek </w:t>
      </w:r>
      <w:r w:rsidRPr="00655FC7">
        <w:rPr>
          <w:rFonts w:eastAsiaTheme="minorEastAsia" w:cstheme="minorHAnsi"/>
          <w:b/>
          <w:bCs/>
          <w:color w:val="auto"/>
          <w:sz w:val="20"/>
          <w:szCs w:val="18"/>
          <w:lang w:eastAsia="pl-PL"/>
        </w:rPr>
        <w:fldChar w:fldCharType="begin"/>
      </w:r>
      <w:r w:rsidRPr="00655FC7">
        <w:rPr>
          <w:rFonts w:eastAsiaTheme="minorEastAsia" w:cstheme="minorHAnsi"/>
          <w:b/>
          <w:bCs/>
          <w:color w:val="auto"/>
          <w:sz w:val="20"/>
          <w:szCs w:val="18"/>
          <w:lang w:eastAsia="pl-PL"/>
        </w:rPr>
        <w:instrText xml:space="preserve"> SEQ Rysunek \* ARABIC </w:instrText>
      </w:r>
      <w:r w:rsidRPr="00655FC7">
        <w:rPr>
          <w:rFonts w:eastAsiaTheme="minorEastAsia" w:cstheme="minorHAnsi"/>
          <w:b/>
          <w:bCs/>
          <w:color w:val="auto"/>
          <w:sz w:val="20"/>
          <w:szCs w:val="18"/>
          <w:lang w:eastAsia="pl-PL"/>
        </w:rPr>
        <w:fldChar w:fldCharType="separate"/>
      </w:r>
      <w:r w:rsidR="00A654D8">
        <w:rPr>
          <w:rFonts w:eastAsiaTheme="minorEastAsia" w:cstheme="minorHAnsi"/>
          <w:b/>
          <w:bCs/>
          <w:noProof/>
          <w:color w:val="auto"/>
          <w:sz w:val="20"/>
          <w:szCs w:val="18"/>
          <w:lang w:eastAsia="pl-PL"/>
        </w:rPr>
        <w:t>4</w:t>
      </w:r>
      <w:r w:rsidRPr="00655FC7">
        <w:rPr>
          <w:rFonts w:eastAsiaTheme="minorEastAsia" w:cstheme="minorHAnsi"/>
          <w:b/>
          <w:bCs/>
          <w:color w:val="auto"/>
          <w:sz w:val="20"/>
          <w:szCs w:val="18"/>
          <w:lang w:eastAsia="pl-PL"/>
        </w:rPr>
        <w:fldChar w:fldCharType="end"/>
      </w:r>
      <w:r w:rsidRPr="00655FC7">
        <w:rPr>
          <w:rFonts w:eastAsiaTheme="minorEastAsia" w:cstheme="minorHAnsi"/>
          <w:b/>
          <w:color w:val="auto"/>
          <w:sz w:val="20"/>
          <w:szCs w:val="18"/>
          <w:lang w:eastAsia="pl-PL"/>
        </w:rPr>
        <w:t>. Położenie Miasta Tarnogród.</w:t>
      </w:r>
      <w:bookmarkEnd w:id="68"/>
    </w:p>
    <w:p w14:paraId="52A5E812" w14:textId="77777777" w:rsidR="00D155AA" w:rsidRPr="00655FC7" w:rsidRDefault="00D155AA" w:rsidP="00D155AA">
      <w:pPr>
        <w:tabs>
          <w:tab w:val="left" w:pos="3119"/>
        </w:tabs>
        <w:spacing w:after="120"/>
        <w:ind w:firstLine="0"/>
        <w:jc w:val="center"/>
        <w:rPr>
          <w:rFonts w:cstheme="minorHAnsi"/>
          <w:color w:val="auto"/>
          <w:sz w:val="20"/>
          <w:szCs w:val="20"/>
        </w:rPr>
      </w:pPr>
      <w:r w:rsidRPr="00655FC7">
        <w:rPr>
          <w:rFonts w:cstheme="minorHAnsi"/>
          <w:color w:val="auto"/>
          <w:sz w:val="20"/>
          <w:szCs w:val="20"/>
        </w:rPr>
        <w:t>źródło: opracowanie własne</w:t>
      </w:r>
    </w:p>
    <w:p w14:paraId="41C4CEC2" w14:textId="77777777" w:rsidR="00D155AA" w:rsidRPr="00655FC7" w:rsidRDefault="00D155AA" w:rsidP="00D155AA">
      <w:pPr>
        <w:ind w:firstLine="0"/>
        <w:rPr>
          <w:rFonts w:cstheme="minorHAnsi"/>
        </w:rPr>
        <w:sectPr w:rsidR="00D155AA" w:rsidRPr="00655FC7" w:rsidSect="006A4AE9">
          <w:headerReference w:type="even" r:id="rId50"/>
          <w:headerReference w:type="first" r:id="rId51"/>
          <w:footerReference w:type="first" r:id="rId52"/>
          <w:pgSz w:w="11906" w:h="16838"/>
          <w:pgMar w:top="1418" w:right="1418" w:bottom="1418" w:left="1418" w:header="397" w:footer="680" w:gutter="0"/>
          <w:cols w:space="708"/>
          <w:titlePg/>
          <w:docGrid w:linePitch="360"/>
        </w:sectPr>
      </w:pPr>
      <w:r w:rsidRPr="00655FC7">
        <w:rPr>
          <w:rFonts w:cstheme="minorHAnsi"/>
        </w:rPr>
        <w:t>Gmina Tarnogród od południowej strony graniczy z gminą Adamówka (województwo podkarpackie) od zachodu z gminą Kuryłówka (województwo podkarpackie), od północnego zachodu z gminą Biszcza, od północy z gminą Księżpol, od północnego wschodu z gminą Łukowa i od wschodu z gminą Obsza.</w:t>
      </w:r>
    </w:p>
    <w:p w14:paraId="363CC89C" w14:textId="77777777" w:rsidR="00D155AA" w:rsidRPr="00655FC7" w:rsidRDefault="00D155AA" w:rsidP="00D155AA">
      <w:pPr>
        <w:ind w:firstLine="0"/>
        <w:jc w:val="center"/>
        <w:rPr>
          <w:rFonts w:cstheme="minorHAnsi"/>
        </w:rPr>
      </w:pPr>
      <w:r w:rsidRPr="00655FC7">
        <w:rPr>
          <w:rFonts w:cstheme="minorHAnsi"/>
          <w:noProof/>
        </w:rPr>
        <w:lastRenderedPageBreak/>
        <w:drawing>
          <wp:inline distT="0" distB="0" distL="0" distR="0" wp14:anchorId="17E6E7BC" wp14:editId="67A4AE2A">
            <wp:extent cx="7416000" cy="5244272"/>
            <wp:effectExtent l="19050" t="19050" r="13970" b="13970"/>
            <wp:docPr id="406354198" name="Obraz 1" descr="Obraz zawierający tekst, mapa, atla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54198" name="Obraz 1" descr="Obraz zawierający tekst, mapa, atlas, diagram&#10;&#10;Opis wygenerowany automatyczni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7416000" cy="5244272"/>
                    </a:xfrm>
                    <a:prstGeom prst="rect">
                      <a:avLst/>
                    </a:prstGeom>
                    <a:ln>
                      <a:solidFill>
                        <a:schemeClr val="tx1"/>
                      </a:solidFill>
                    </a:ln>
                  </pic:spPr>
                </pic:pic>
              </a:graphicData>
            </a:graphic>
          </wp:inline>
        </w:drawing>
      </w:r>
    </w:p>
    <w:p w14:paraId="54E8E43C" w14:textId="4BD7C398" w:rsidR="00D155AA" w:rsidRPr="00655FC7" w:rsidRDefault="00D155AA" w:rsidP="00D155AA">
      <w:pPr>
        <w:pStyle w:val="Stylrysunek"/>
      </w:pPr>
      <w:bookmarkStart w:id="69" w:name="_Toc178846347"/>
      <w:r w:rsidRPr="00655FC7">
        <w:rPr>
          <w:bCs/>
        </w:rPr>
        <w:t xml:space="preserve">Rysunek </w:t>
      </w:r>
      <w:r w:rsidRPr="00655FC7">
        <w:rPr>
          <w:bCs/>
        </w:rPr>
        <w:fldChar w:fldCharType="begin"/>
      </w:r>
      <w:r w:rsidRPr="00655FC7">
        <w:rPr>
          <w:bCs/>
        </w:rPr>
        <w:instrText xml:space="preserve"> SEQ Rysunek \* ARABIC </w:instrText>
      </w:r>
      <w:r w:rsidRPr="00655FC7">
        <w:rPr>
          <w:bCs/>
        </w:rPr>
        <w:fldChar w:fldCharType="separate"/>
      </w:r>
      <w:r w:rsidR="00A654D8">
        <w:rPr>
          <w:bCs/>
          <w:noProof/>
        </w:rPr>
        <w:t>5</w:t>
      </w:r>
      <w:r w:rsidRPr="00655FC7">
        <w:rPr>
          <w:bCs/>
        </w:rPr>
        <w:fldChar w:fldCharType="end"/>
      </w:r>
      <w:r w:rsidRPr="00655FC7">
        <w:t>. Położenie Miasta Tarnogród – gminy sąsiednie.</w:t>
      </w:r>
      <w:bookmarkEnd w:id="69"/>
    </w:p>
    <w:p w14:paraId="0588AA4B" w14:textId="77777777" w:rsidR="00D155AA" w:rsidRPr="00655FC7" w:rsidRDefault="00D155AA" w:rsidP="00D155AA">
      <w:pPr>
        <w:pStyle w:val="Cytat"/>
      </w:pPr>
      <w:r w:rsidRPr="00655FC7">
        <w:t>źródło: opracowanie własne</w:t>
      </w:r>
    </w:p>
    <w:p w14:paraId="66F9A036" w14:textId="77777777" w:rsidR="00D155AA" w:rsidRPr="00655FC7" w:rsidRDefault="00D155AA">
      <w:pPr>
        <w:keepNext/>
        <w:keepLines/>
        <w:numPr>
          <w:ilvl w:val="1"/>
          <w:numId w:val="37"/>
        </w:numPr>
        <w:spacing w:after="60"/>
        <w:ind w:left="0" w:firstLine="0"/>
        <w:outlineLvl w:val="1"/>
        <w:rPr>
          <w:rFonts w:eastAsiaTheme="majorEastAsia" w:cstheme="minorHAnsi"/>
          <w:b/>
          <w:bCs/>
          <w:color w:val="auto"/>
          <w:sz w:val="28"/>
          <w:szCs w:val="26"/>
        </w:rPr>
        <w:sectPr w:rsidR="00D155AA" w:rsidRPr="00655FC7" w:rsidSect="006A4AE9">
          <w:pgSz w:w="16838" w:h="11906" w:orient="landscape"/>
          <w:pgMar w:top="1418" w:right="1418" w:bottom="1418" w:left="1418" w:header="397" w:footer="680" w:gutter="0"/>
          <w:cols w:space="708"/>
          <w:titlePg/>
          <w:docGrid w:linePitch="360"/>
        </w:sectPr>
      </w:pPr>
    </w:p>
    <w:p w14:paraId="118434D3" w14:textId="77777777" w:rsidR="00D155AA" w:rsidRPr="00655FC7" w:rsidRDefault="00D155AA" w:rsidP="00B62479">
      <w:pPr>
        <w:pStyle w:val="Nagwek2"/>
      </w:pPr>
      <w:bookmarkStart w:id="70" w:name="_Toc177732039"/>
      <w:r w:rsidRPr="00655FC7">
        <w:lastRenderedPageBreak/>
        <w:t>Struktura demograficzna, społeczna i gospodarcza</w:t>
      </w:r>
      <w:bookmarkEnd w:id="70"/>
    </w:p>
    <w:p w14:paraId="17EB4A23" w14:textId="77777777" w:rsidR="00D155AA" w:rsidRPr="00655FC7" w:rsidRDefault="00D155AA" w:rsidP="00D155AA">
      <w:pPr>
        <w:pStyle w:val="Nagwek3"/>
      </w:pPr>
      <w:bookmarkStart w:id="71" w:name="_Toc177732040"/>
      <w:r w:rsidRPr="00655FC7">
        <w:t>Demografia</w:t>
      </w:r>
      <w:bookmarkEnd w:id="71"/>
    </w:p>
    <w:p w14:paraId="3887DF22" w14:textId="77777777" w:rsidR="00D155AA" w:rsidRPr="00655FC7" w:rsidRDefault="00D155AA" w:rsidP="00D155AA">
      <w:pPr>
        <w:spacing w:after="240"/>
        <w:rPr>
          <w:rFonts w:cstheme="minorHAnsi"/>
          <w:color w:val="auto"/>
        </w:rPr>
      </w:pPr>
      <w:bookmarkStart w:id="72" w:name="_Toc376425398"/>
      <w:r w:rsidRPr="00655FC7">
        <w:rPr>
          <w:rFonts w:cstheme="minorHAnsi"/>
          <w:color w:val="auto"/>
        </w:rPr>
        <w:t>Zgodnie z danymi Głównego Urzędu Statystycznego z 2022 roku liczba ludności w mieście Tarnogród (ludność według zamieszkania) wynosiła 3 161 osób, z czego 1 536 stanowili mężczyźni, a 1 625 kobiety, współczynnik feminizacji wynosi zatem 106 (na każdych 100 mężczyzn przypada 106 kobiet).</w:t>
      </w:r>
    </w:p>
    <w:p w14:paraId="4F87DA97" w14:textId="2080A3C3" w:rsidR="00D155AA" w:rsidRPr="00655FC7" w:rsidRDefault="00D155AA" w:rsidP="00D155AA">
      <w:pPr>
        <w:pStyle w:val="Styltabela"/>
        <w:rPr>
          <w:rFonts w:eastAsiaTheme="minorEastAsia"/>
        </w:rPr>
      </w:pPr>
      <w:bookmarkStart w:id="73" w:name="_Toc178846309"/>
      <w:bookmarkEnd w:id="72"/>
      <w:r w:rsidRPr="00655FC7">
        <w:rPr>
          <w:rFonts w:eastAsiaTheme="minorEastAsia"/>
        </w:rPr>
        <w:t xml:space="preserve">Tabela </w:t>
      </w:r>
      <w:r w:rsidR="00E833A9">
        <w:rPr>
          <w:rFonts w:eastAsiaTheme="minorEastAsia"/>
        </w:rPr>
        <w:fldChar w:fldCharType="begin"/>
      </w:r>
      <w:r w:rsidR="00E833A9">
        <w:rPr>
          <w:rFonts w:eastAsiaTheme="minorEastAsia"/>
        </w:rPr>
        <w:instrText xml:space="preserve"> SEQ Tabela \* ARABIC </w:instrText>
      </w:r>
      <w:r w:rsidR="00E833A9">
        <w:rPr>
          <w:rFonts w:eastAsiaTheme="minorEastAsia"/>
        </w:rPr>
        <w:fldChar w:fldCharType="separate"/>
      </w:r>
      <w:r w:rsidR="00A654D8">
        <w:rPr>
          <w:rFonts w:eastAsiaTheme="minorEastAsia"/>
          <w:noProof/>
        </w:rPr>
        <w:t>3</w:t>
      </w:r>
      <w:r w:rsidR="00E833A9">
        <w:rPr>
          <w:rFonts w:eastAsiaTheme="minorEastAsia"/>
        </w:rPr>
        <w:fldChar w:fldCharType="end"/>
      </w:r>
      <w:r w:rsidRPr="00655FC7">
        <w:rPr>
          <w:rFonts w:eastAsiaTheme="minorEastAsia"/>
        </w:rPr>
        <w:t>. Dane demograficzne miasta.</w:t>
      </w:r>
      <w:bookmarkEnd w:id="73"/>
    </w:p>
    <w:tbl>
      <w:tblPr>
        <w:tblStyle w:val="Tabelasiatki4akcent1"/>
        <w:tblW w:w="9072" w:type="dxa"/>
        <w:jc w:val="center"/>
        <w:tblLook w:val="04A0" w:firstRow="1" w:lastRow="0" w:firstColumn="1" w:lastColumn="0" w:noHBand="0" w:noVBand="1"/>
      </w:tblPr>
      <w:tblGrid>
        <w:gridCol w:w="713"/>
        <w:gridCol w:w="4598"/>
        <w:gridCol w:w="2253"/>
        <w:gridCol w:w="1508"/>
      </w:tblGrid>
      <w:tr w:rsidR="00D155AA" w:rsidRPr="00655FC7" w14:paraId="08C92796" w14:textId="77777777" w:rsidTr="00827748">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393" w:type="pct"/>
            <w:tcBorders>
              <w:top w:val="single" w:sz="4" w:space="0" w:color="auto"/>
              <w:left w:val="single" w:sz="4" w:space="0" w:color="auto"/>
              <w:bottom w:val="single" w:sz="4" w:space="0" w:color="auto"/>
              <w:right w:val="single" w:sz="4" w:space="0" w:color="auto"/>
            </w:tcBorders>
            <w:vAlign w:val="center"/>
          </w:tcPr>
          <w:p w14:paraId="29D9B863" w14:textId="77777777" w:rsidR="00D155AA" w:rsidRPr="00655FC7" w:rsidRDefault="00D155AA" w:rsidP="00827748">
            <w:pPr>
              <w:tabs>
                <w:tab w:val="left" w:pos="3119"/>
              </w:tabs>
              <w:suppressAutoHyphens/>
              <w:spacing w:line="100" w:lineRule="atLeast"/>
              <w:ind w:firstLine="0"/>
              <w:jc w:val="center"/>
              <w:rPr>
                <w:rFonts w:eastAsia="Calibri" w:cstheme="minorHAnsi"/>
                <w:color w:val="auto"/>
                <w:kern w:val="1"/>
                <w:sz w:val="18"/>
                <w:szCs w:val="18"/>
                <w:lang w:eastAsia="ar-SA"/>
              </w:rPr>
            </w:pPr>
            <w:r w:rsidRPr="00655FC7">
              <w:rPr>
                <w:rFonts w:eastAsia="Calibri" w:cstheme="minorHAnsi"/>
                <w:color w:val="auto"/>
                <w:kern w:val="1"/>
                <w:sz w:val="18"/>
                <w:szCs w:val="18"/>
                <w:lang w:eastAsia="ar-SA"/>
              </w:rPr>
              <w:t>Lp.</w:t>
            </w:r>
          </w:p>
        </w:tc>
        <w:tc>
          <w:tcPr>
            <w:tcW w:w="2534" w:type="pct"/>
            <w:tcBorders>
              <w:top w:val="single" w:sz="4" w:space="0" w:color="auto"/>
              <w:left w:val="single" w:sz="4" w:space="0" w:color="auto"/>
              <w:bottom w:val="single" w:sz="4" w:space="0" w:color="auto"/>
              <w:right w:val="single" w:sz="4" w:space="0" w:color="auto"/>
            </w:tcBorders>
            <w:vAlign w:val="center"/>
          </w:tcPr>
          <w:p w14:paraId="2083662A" w14:textId="77777777" w:rsidR="00D155AA" w:rsidRPr="00655FC7" w:rsidRDefault="00D155AA" w:rsidP="00827748">
            <w:pPr>
              <w:tabs>
                <w:tab w:val="left" w:pos="3119"/>
              </w:tabs>
              <w:suppressAutoHyphens/>
              <w:spacing w:line="100" w:lineRule="atLeast"/>
              <w:ind w:firstLine="0"/>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auto"/>
                <w:kern w:val="1"/>
                <w:sz w:val="18"/>
                <w:szCs w:val="18"/>
                <w:lang w:eastAsia="ar-SA"/>
              </w:rPr>
            </w:pPr>
            <w:r w:rsidRPr="00655FC7">
              <w:rPr>
                <w:rFonts w:eastAsia="Calibri" w:cstheme="minorHAnsi"/>
                <w:color w:val="auto"/>
                <w:kern w:val="1"/>
                <w:sz w:val="18"/>
                <w:szCs w:val="18"/>
                <w:lang w:eastAsia="ar-SA"/>
              </w:rPr>
              <w:t>Parametr</w:t>
            </w:r>
          </w:p>
        </w:tc>
        <w:tc>
          <w:tcPr>
            <w:tcW w:w="1242" w:type="pct"/>
            <w:tcBorders>
              <w:top w:val="single" w:sz="4" w:space="0" w:color="auto"/>
              <w:left w:val="single" w:sz="4" w:space="0" w:color="auto"/>
              <w:bottom w:val="single" w:sz="4" w:space="0" w:color="auto"/>
              <w:right w:val="single" w:sz="4" w:space="0" w:color="auto"/>
            </w:tcBorders>
            <w:vAlign w:val="center"/>
          </w:tcPr>
          <w:p w14:paraId="6BF31593" w14:textId="77777777" w:rsidR="00D155AA" w:rsidRPr="00655FC7" w:rsidRDefault="00D155AA" w:rsidP="00827748">
            <w:pPr>
              <w:tabs>
                <w:tab w:val="left" w:pos="3119"/>
              </w:tabs>
              <w:suppressAutoHyphens/>
              <w:spacing w:line="100" w:lineRule="atLeast"/>
              <w:ind w:firstLine="0"/>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auto"/>
                <w:kern w:val="1"/>
                <w:sz w:val="18"/>
                <w:szCs w:val="18"/>
                <w:lang w:eastAsia="ar-SA"/>
              </w:rPr>
            </w:pPr>
            <w:r w:rsidRPr="00655FC7">
              <w:rPr>
                <w:rFonts w:eastAsia="Calibri" w:cstheme="minorHAnsi"/>
                <w:color w:val="auto"/>
                <w:kern w:val="1"/>
                <w:sz w:val="18"/>
                <w:szCs w:val="18"/>
                <w:lang w:eastAsia="ar-SA"/>
              </w:rPr>
              <w:t>Jednostka miary</w:t>
            </w:r>
          </w:p>
        </w:tc>
        <w:tc>
          <w:tcPr>
            <w:tcW w:w="831" w:type="pct"/>
            <w:tcBorders>
              <w:top w:val="single" w:sz="4" w:space="0" w:color="auto"/>
              <w:left w:val="single" w:sz="4" w:space="0" w:color="auto"/>
              <w:bottom w:val="single" w:sz="4" w:space="0" w:color="auto"/>
              <w:right w:val="single" w:sz="4" w:space="0" w:color="auto"/>
            </w:tcBorders>
            <w:vAlign w:val="center"/>
          </w:tcPr>
          <w:p w14:paraId="678F8AB5" w14:textId="77777777" w:rsidR="00D155AA" w:rsidRPr="00655FC7" w:rsidRDefault="00D155AA" w:rsidP="00827748">
            <w:pPr>
              <w:suppressAutoHyphens/>
              <w:spacing w:line="100" w:lineRule="atLeast"/>
              <w:ind w:firstLine="0"/>
              <w:jc w:val="center"/>
              <w:cnfStyle w:val="100000000000" w:firstRow="1" w:lastRow="0" w:firstColumn="0" w:lastColumn="0" w:oddVBand="0" w:evenVBand="0" w:oddHBand="0" w:evenHBand="0" w:firstRowFirstColumn="0" w:firstRowLastColumn="0" w:lastRowFirstColumn="0" w:lastRowLastColumn="0"/>
              <w:rPr>
                <w:rFonts w:eastAsia="Lucida Sans Unicode" w:cstheme="minorHAnsi"/>
                <w:kern w:val="1"/>
                <w:sz w:val="18"/>
                <w:szCs w:val="18"/>
                <w:lang w:eastAsia="ar-SA"/>
              </w:rPr>
            </w:pPr>
            <w:r w:rsidRPr="00655FC7">
              <w:rPr>
                <w:rFonts w:eastAsia="Lucida Sans Unicode" w:cstheme="minorHAnsi"/>
                <w:kern w:val="1"/>
                <w:sz w:val="18"/>
                <w:szCs w:val="18"/>
                <w:lang w:eastAsia="ar-SA"/>
              </w:rPr>
              <w:t>2022</w:t>
            </w:r>
          </w:p>
        </w:tc>
      </w:tr>
      <w:tr w:rsidR="00D155AA" w:rsidRPr="00655FC7" w14:paraId="2F849DBA" w14:textId="77777777" w:rsidTr="0082774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4" w:space="0" w:color="auto"/>
              <w:left w:val="single" w:sz="4" w:space="0" w:color="auto"/>
              <w:right w:val="single" w:sz="4" w:space="0" w:color="auto"/>
            </w:tcBorders>
            <w:vAlign w:val="center"/>
          </w:tcPr>
          <w:p w14:paraId="28005333" w14:textId="77777777" w:rsidR="00D155AA" w:rsidRPr="005B31C2" w:rsidRDefault="00D155AA" w:rsidP="00827748">
            <w:pPr>
              <w:tabs>
                <w:tab w:val="left" w:pos="3119"/>
              </w:tabs>
              <w:suppressAutoHyphens/>
              <w:spacing w:line="100" w:lineRule="atLeast"/>
              <w:ind w:firstLine="0"/>
              <w:jc w:val="center"/>
              <w:rPr>
                <w:rFonts w:eastAsia="Calibri" w:cstheme="minorHAnsi"/>
                <w:color w:val="auto"/>
                <w:kern w:val="1"/>
                <w:sz w:val="18"/>
                <w:szCs w:val="18"/>
                <w:lang w:eastAsia="ar-SA"/>
              </w:rPr>
            </w:pPr>
            <w:r w:rsidRPr="005B31C2">
              <w:rPr>
                <w:rFonts w:eastAsia="Calibri" w:cstheme="minorHAnsi"/>
                <w:color w:val="auto"/>
                <w:kern w:val="1"/>
                <w:sz w:val="18"/>
                <w:szCs w:val="18"/>
                <w:lang w:eastAsia="ar-SA"/>
              </w:rPr>
              <w:t>Ludność według miejsca zamieszkania</w:t>
            </w:r>
          </w:p>
        </w:tc>
      </w:tr>
      <w:tr w:rsidR="00D155AA" w:rsidRPr="00655FC7" w14:paraId="2FBF6C93" w14:textId="77777777" w:rsidTr="00827748">
        <w:trPr>
          <w:trHeight w:val="340"/>
          <w:jc w:val="center"/>
        </w:trPr>
        <w:tc>
          <w:tcPr>
            <w:cnfStyle w:val="001000000000" w:firstRow="0" w:lastRow="0" w:firstColumn="1" w:lastColumn="0" w:oddVBand="0" w:evenVBand="0" w:oddHBand="0" w:evenHBand="0" w:firstRowFirstColumn="0" w:firstRowLastColumn="0" w:lastRowFirstColumn="0" w:lastRowLastColumn="0"/>
            <w:tcW w:w="393" w:type="pct"/>
            <w:tcBorders>
              <w:left w:val="single" w:sz="4" w:space="0" w:color="auto"/>
            </w:tcBorders>
            <w:vAlign w:val="center"/>
          </w:tcPr>
          <w:p w14:paraId="0DA3A604" w14:textId="77777777" w:rsidR="00D155AA" w:rsidRPr="00655FC7" w:rsidRDefault="00D155AA" w:rsidP="00827748">
            <w:pPr>
              <w:tabs>
                <w:tab w:val="left" w:pos="3119"/>
              </w:tabs>
              <w:suppressAutoHyphens/>
              <w:spacing w:line="100" w:lineRule="atLeast"/>
              <w:ind w:firstLine="0"/>
              <w:jc w:val="center"/>
              <w:rPr>
                <w:rFonts w:eastAsia="Lucida Sans Unicode" w:cstheme="minorHAnsi"/>
                <w:b w:val="0"/>
                <w:bCs w:val="0"/>
                <w:color w:val="auto"/>
                <w:kern w:val="1"/>
                <w:sz w:val="18"/>
                <w:szCs w:val="18"/>
                <w:lang w:eastAsia="ar-SA"/>
              </w:rPr>
            </w:pPr>
            <w:r w:rsidRPr="00655FC7">
              <w:rPr>
                <w:rFonts w:eastAsia="Lucida Sans Unicode" w:cstheme="minorHAnsi"/>
                <w:b w:val="0"/>
                <w:bCs w:val="0"/>
                <w:color w:val="auto"/>
                <w:kern w:val="1"/>
                <w:sz w:val="18"/>
                <w:szCs w:val="18"/>
                <w:lang w:eastAsia="ar-SA"/>
              </w:rPr>
              <w:t>1.</w:t>
            </w:r>
          </w:p>
        </w:tc>
        <w:tc>
          <w:tcPr>
            <w:tcW w:w="2534" w:type="pct"/>
            <w:vAlign w:val="center"/>
          </w:tcPr>
          <w:p w14:paraId="5A2498D4" w14:textId="77777777" w:rsidR="00D155AA" w:rsidRPr="00655FC7" w:rsidRDefault="00D155AA" w:rsidP="00827748">
            <w:pPr>
              <w:tabs>
                <w:tab w:val="left" w:pos="3119"/>
              </w:tabs>
              <w:suppressAutoHyphens/>
              <w:spacing w:line="100" w:lineRule="atLeast"/>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kern w:val="1"/>
                <w:sz w:val="18"/>
                <w:szCs w:val="18"/>
                <w:lang w:eastAsia="ar-SA"/>
              </w:rPr>
            </w:pPr>
            <w:r w:rsidRPr="00655FC7">
              <w:rPr>
                <w:rFonts w:eastAsia="Calibri" w:cstheme="minorHAnsi"/>
                <w:color w:val="auto"/>
                <w:kern w:val="1"/>
                <w:sz w:val="18"/>
                <w:szCs w:val="18"/>
                <w:lang w:eastAsia="ar-SA"/>
              </w:rPr>
              <w:t>Liczba ludności (ogółem)</w:t>
            </w:r>
          </w:p>
        </w:tc>
        <w:tc>
          <w:tcPr>
            <w:tcW w:w="1242" w:type="pct"/>
            <w:vAlign w:val="center"/>
          </w:tcPr>
          <w:p w14:paraId="4907F1C1" w14:textId="77777777" w:rsidR="00D155AA" w:rsidRPr="00655FC7" w:rsidRDefault="00D155AA" w:rsidP="00827748">
            <w:pPr>
              <w:tabs>
                <w:tab w:val="left" w:pos="3119"/>
              </w:tabs>
              <w:suppressAutoHyphens/>
              <w:spacing w:line="100" w:lineRule="atLeast"/>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kern w:val="1"/>
                <w:sz w:val="18"/>
                <w:szCs w:val="18"/>
                <w:lang w:eastAsia="ar-SA"/>
              </w:rPr>
            </w:pPr>
            <w:r w:rsidRPr="00655FC7">
              <w:rPr>
                <w:rFonts w:eastAsia="Calibri" w:cstheme="minorHAnsi"/>
                <w:color w:val="auto"/>
                <w:kern w:val="1"/>
                <w:sz w:val="18"/>
                <w:szCs w:val="18"/>
                <w:lang w:eastAsia="ar-SA"/>
              </w:rPr>
              <w:t>Osoba</w:t>
            </w:r>
          </w:p>
        </w:tc>
        <w:tc>
          <w:tcPr>
            <w:tcW w:w="831" w:type="pct"/>
            <w:tcBorders>
              <w:right w:val="single" w:sz="4" w:space="0" w:color="auto"/>
            </w:tcBorders>
            <w:vAlign w:val="center"/>
          </w:tcPr>
          <w:p w14:paraId="50D252CD" w14:textId="77777777" w:rsidR="00D155AA" w:rsidRPr="00655FC7" w:rsidRDefault="00D155AA" w:rsidP="00827748">
            <w:pPr>
              <w:suppressAutoHyphens/>
              <w:spacing w:line="100" w:lineRule="atLeast"/>
              <w:ind w:firstLine="0"/>
              <w:jc w:val="center"/>
              <w:cnfStyle w:val="000000000000" w:firstRow="0" w:lastRow="0" w:firstColumn="0" w:lastColumn="0" w:oddVBand="0" w:evenVBand="0" w:oddHBand="0" w:evenHBand="0" w:firstRowFirstColumn="0" w:firstRowLastColumn="0" w:lastRowFirstColumn="0" w:lastRowLastColumn="0"/>
              <w:rPr>
                <w:rFonts w:eastAsia="Lucida Sans Unicode" w:cstheme="minorHAnsi"/>
                <w:kern w:val="1"/>
                <w:sz w:val="18"/>
                <w:szCs w:val="18"/>
                <w:lang w:eastAsia="ar-SA"/>
              </w:rPr>
            </w:pPr>
            <w:r w:rsidRPr="00655FC7">
              <w:rPr>
                <w:rFonts w:eastAsia="Lucida Sans Unicode" w:cstheme="minorHAnsi"/>
                <w:kern w:val="1"/>
                <w:sz w:val="18"/>
                <w:szCs w:val="18"/>
                <w:lang w:eastAsia="ar-SA"/>
              </w:rPr>
              <w:t>3 161</w:t>
            </w:r>
          </w:p>
        </w:tc>
      </w:tr>
      <w:tr w:rsidR="00D155AA" w:rsidRPr="00655FC7" w14:paraId="065DE1C5" w14:textId="77777777" w:rsidTr="0082774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393" w:type="pct"/>
            <w:tcBorders>
              <w:left w:val="single" w:sz="4" w:space="0" w:color="auto"/>
            </w:tcBorders>
            <w:vAlign w:val="center"/>
          </w:tcPr>
          <w:p w14:paraId="5DB4FEAB" w14:textId="77777777" w:rsidR="00D155AA" w:rsidRPr="00655FC7" w:rsidRDefault="00D155AA" w:rsidP="00827748">
            <w:pPr>
              <w:tabs>
                <w:tab w:val="left" w:pos="3119"/>
              </w:tabs>
              <w:suppressAutoHyphens/>
              <w:spacing w:line="100" w:lineRule="atLeast"/>
              <w:ind w:firstLine="0"/>
              <w:jc w:val="center"/>
              <w:rPr>
                <w:rFonts w:eastAsia="Lucida Sans Unicode" w:cstheme="minorHAnsi"/>
                <w:b w:val="0"/>
                <w:bCs w:val="0"/>
                <w:color w:val="auto"/>
                <w:kern w:val="1"/>
                <w:sz w:val="18"/>
                <w:szCs w:val="18"/>
                <w:lang w:eastAsia="ar-SA"/>
              </w:rPr>
            </w:pPr>
            <w:r w:rsidRPr="00655FC7">
              <w:rPr>
                <w:rFonts w:eastAsia="Lucida Sans Unicode" w:cstheme="minorHAnsi"/>
                <w:b w:val="0"/>
                <w:bCs w:val="0"/>
                <w:color w:val="auto"/>
                <w:kern w:val="1"/>
                <w:sz w:val="18"/>
                <w:szCs w:val="18"/>
                <w:lang w:eastAsia="ar-SA"/>
              </w:rPr>
              <w:t>2.</w:t>
            </w:r>
          </w:p>
        </w:tc>
        <w:tc>
          <w:tcPr>
            <w:tcW w:w="2534" w:type="pct"/>
            <w:vAlign w:val="center"/>
          </w:tcPr>
          <w:p w14:paraId="039AD9F7" w14:textId="77777777" w:rsidR="00D155AA" w:rsidRPr="00655FC7" w:rsidRDefault="00D155AA" w:rsidP="00827748">
            <w:pPr>
              <w:tabs>
                <w:tab w:val="left" w:pos="3119"/>
              </w:tabs>
              <w:suppressAutoHyphens/>
              <w:spacing w:line="100" w:lineRule="atLeast"/>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kern w:val="1"/>
                <w:sz w:val="18"/>
                <w:szCs w:val="18"/>
                <w:lang w:eastAsia="ar-SA"/>
              </w:rPr>
            </w:pPr>
            <w:r w:rsidRPr="00655FC7">
              <w:rPr>
                <w:rFonts w:eastAsia="Calibri" w:cstheme="minorHAnsi"/>
                <w:color w:val="auto"/>
                <w:kern w:val="1"/>
                <w:sz w:val="18"/>
                <w:szCs w:val="18"/>
                <w:lang w:eastAsia="ar-SA"/>
              </w:rPr>
              <w:t>Liczba kobiet</w:t>
            </w:r>
          </w:p>
        </w:tc>
        <w:tc>
          <w:tcPr>
            <w:tcW w:w="1242" w:type="pct"/>
            <w:vAlign w:val="center"/>
          </w:tcPr>
          <w:p w14:paraId="66A88529" w14:textId="77777777" w:rsidR="00D155AA" w:rsidRPr="00655FC7" w:rsidRDefault="00D155AA" w:rsidP="00827748">
            <w:pPr>
              <w:tabs>
                <w:tab w:val="left" w:pos="3119"/>
              </w:tabs>
              <w:suppressAutoHyphens/>
              <w:spacing w:line="100" w:lineRule="atLeast"/>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kern w:val="1"/>
                <w:sz w:val="18"/>
                <w:szCs w:val="18"/>
                <w:lang w:eastAsia="ar-SA"/>
              </w:rPr>
            </w:pPr>
            <w:r w:rsidRPr="00655FC7">
              <w:rPr>
                <w:rFonts w:eastAsia="Calibri" w:cstheme="minorHAnsi"/>
                <w:color w:val="auto"/>
                <w:kern w:val="1"/>
                <w:sz w:val="18"/>
                <w:szCs w:val="18"/>
                <w:lang w:eastAsia="ar-SA"/>
              </w:rPr>
              <w:t>Osoba</w:t>
            </w:r>
          </w:p>
        </w:tc>
        <w:tc>
          <w:tcPr>
            <w:tcW w:w="831" w:type="pct"/>
            <w:tcBorders>
              <w:right w:val="single" w:sz="4" w:space="0" w:color="auto"/>
            </w:tcBorders>
            <w:vAlign w:val="center"/>
          </w:tcPr>
          <w:p w14:paraId="6A096B15" w14:textId="77777777" w:rsidR="00D155AA" w:rsidRPr="00655FC7" w:rsidRDefault="00D155AA" w:rsidP="00827748">
            <w:pPr>
              <w:suppressAutoHyphens/>
              <w:spacing w:line="100" w:lineRule="atLeast"/>
              <w:ind w:firstLine="0"/>
              <w:jc w:val="center"/>
              <w:cnfStyle w:val="000000100000" w:firstRow="0" w:lastRow="0" w:firstColumn="0" w:lastColumn="0" w:oddVBand="0" w:evenVBand="0" w:oddHBand="1" w:evenHBand="0" w:firstRowFirstColumn="0" w:firstRowLastColumn="0" w:lastRowFirstColumn="0" w:lastRowLastColumn="0"/>
              <w:rPr>
                <w:rFonts w:eastAsia="Lucida Sans Unicode" w:cstheme="minorHAnsi"/>
                <w:kern w:val="1"/>
                <w:sz w:val="18"/>
                <w:szCs w:val="18"/>
                <w:lang w:eastAsia="ar-SA"/>
              </w:rPr>
            </w:pPr>
            <w:r w:rsidRPr="00655FC7">
              <w:rPr>
                <w:rFonts w:eastAsia="Lucida Sans Unicode" w:cstheme="minorHAnsi"/>
                <w:kern w:val="1"/>
                <w:sz w:val="18"/>
                <w:szCs w:val="18"/>
                <w:lang w:eastAsia="ar-SA"/>
              </w:rPr>
              <w:t>1 625</w:t>
            </w:r>
          </w:p>
        </w:tc>
      </w:tr>
      <w:tr w:rsidR="00D155AA" w:rsidRPr="00655FC7" w14:paraId="50C689FB" w14:textId="77777777" w:rsidTr="00827748">
        <w:trPr>
          <w:trHeight w:val="340"/>
          <w:jc w:val="center"/>
        </w:trPr>
        <w:tc>
          <w:tcPr>
            <w:cnfStyle w:val="001000000000" w:firstRow="0" w:lastRow="0" w:firstColumn="1" w:lastColumn="0" w:oddVBand="0" w:evenVBand="0" w:oddHBand="0" w:evenHBand="0" w:firstRowFirstColumn="0" w:firstRowLastColumn="0" w:lastRowFirstColumn="0" w:lastRowLastColumn="0"/>
            <w:tcW w:w="393" w:type="pct"/>
            <w:tcBorders>
              <w:left w:val="single" w:sz="4" w:space="0" w:color="auto"/>
              <w:bottom w:val="single" w:sz="4" w:space="0" w:color="auto"/>
            </w:tcBorders>
            <w:vAlign w:val="center"/>
          </w:tcPr>
          <w:p w14:paraId="5AAAED93" w14:textId="77777777" w:rsidR="00D155AA" w:rsidRPr="00655FC7" w:rsidRDefault="00D155AA" w:rsidP="00827748">
            <w:pPr>
              <w:tabs>
                <w:tab w:val="left" w:pos="3119"/>
              </w:tabs>
              <w:suppressAutoHyphens/>
              <w:spacing w:line="100" w:lineRule="atLeast"/>
              <w:ind w:firstLine="0"/>
              <w:jc w:val="center"/>
              <w:rPr>
                <w:rFonts w:eastAsia="Lucida Sans Unicode" w:cstheme="minorHAnsi"/>
                <w:b w:val="0"/>
                <w:bCs w:val="0"/>
                <w:color w:val="auto"/>
                <w:kern w:val="1"/>
                <w:sz w:val="18"/>
                <w:szCs w:val="18"/>
                <w:lang w:eastAsia="ar-SA"/>
              </w:rPr>
            </w:pPr>
            <w:r w:rsidRPr="00655FC7">
              <w:rPr>
                <w:rFonts w:eastAsia="Lucida Sans Unicode" w:cstheme="minorHAnsi"/>
                <w:b w:val="0"/>
                <w:bCs w:val="0"/>
                <w:color w:val="auto"/>
                <w:kern w:val="1"/>
                <w:sz w:val="18"/>
                <w:szCs w:val="18"/>
                <w:lang w:eastAsia="ar-SA"/>
              </w:rPr>
              <w:t>3.</w:t>
            </w:r>
          </w:p>
        </w:tc>
        <w:tc>
          <w:tcPr>
            <w:tcW w:w="2534" w:type="pct"/>
            <w:tcBorders>
              <w:bottom w:val="single" w:sz="4" w:space="0" w:color="auto"/>
            </w:tcBorders>
            <w:vAlign w:val="center"/>
          </w:tcPr>
          <w:p w14:paraId="6A690448" w14:textId="77777777" w:rsidR="00D155AA" w:rsidRPr="00655FC7" w:rsidRDefault="00D155AA" w:rsidP="00827748">
            <w:pPr>
              <w:tabs>
                <w:tab w:val="left" w:pos="3119"/>
              </w:tabs>
              <w:suppressAutoHyphens/>
              <w:spacing w:line="100" w:lineRule="atLeast"/>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kern w:val="1"/>
                <w:sz w:val="18"/>
                <w:szCs w:val="18"/>
                <w:lang w:eastAsia="ar-SA"/>
              </w:rPr>
            </w:pPr>
            <w:r w:rsidRPr="00655FC7">
              <w:rPr>
                <w:rFonts w:eastAsia="Calibri" w:cstheme="minorHAnsi"/>
                <w:color w:val="auto"/>
                <w:kern w:val="1"/>
                <w:sz w:val="18"/>
                <w:szCs w:val="18"/>
                <w:lang w:eastAsia="ar-SA"/>
              </w:rPr>
              <w:t>Liczba mężczyzn</w:t>
            </w:r>
          </w:p>
        </w:tc>
        <w:tc>
          <w:tcPr>
            <w:tcW w:w="1242" w:type="pct"/>
            <w:tcBorders>
              <w:bottom w:val="single" w:sz="4" w:space="0" w:color="auto"/>
            </w:tcBorders>
            <w:vAlign w:val="center"/>
          </w:tcPr>
          <w:p w14:paraId="59D61CDD" w14:textId="77777777" w:rsidR="00D155AA" w:rsidRPr="00655FC7" w:rsidRDefault="00D155AA" w:rsidP="00827748">
            <w:pPr>
              <w:tabs>
                <w:tab w:val="left" w:pos="3119"/>
              </w:tabs>
              <w:suppressAutoHyphens/>
              <w:spacing w:line="100" w:lineRule="atLeast"/>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kern w:val="1"/>
                <w:sz w:val="18"/>
                <w:szCs w:val="18"/>
                <w:lang w:eastAsia="ar-SA"/>
              </w:rPr>
            </w:pPr>
            <w:r w:rsidRPr="00655FC7">
              <w:rPr>
                <w:rFonts w:eastAsia="Calibri" w:cstheme="minorHAnsi"/>
                <w:color w:val="auto"/>
                <w:kern w:val="1"/>
                <w:sz w:val="18"/>
                <w:szCs w:val="18"/>
                <w:lang w:eastAsia="ar-SA"/>
              </w:rPr>
              <w:t>Osoba</w:t>
            </w:r>
          </w:p>
        </w:tc>
        <w:tc>
          <w:tcPr>
            <w:tcW w:w="831" w:type="pct"/>
            <w:tcBorders>
              <w:bottom w:val="single" w:sz="4" w:space="0" w:color="auto"/>
              <w:right w:val="single" w:sz="4" w:space="0" w:color="auto"/>
            </w:tcBorders>
            <w:vAlign w:val="center"/>
          </w:tcPr>
          <w:p w14:paraId="061E3AE8" w14:textId="77777777" w:rsidR="00D155AA" w:rsidRPr="00655FC7" w:rsidRDefault="00D155AA" w:rsidP="00827748">
            <w:pPr>
              <w:suppressAutoHyphens/>
              <w:spacing w:line="100" w:lineRule="atLeast"/>
              <w:ind w:firstLine="0"/>
              <w:jc w:val="center"/>
              <w:cnfStyle w:val="000000000000" w:firstRow="0" w:lastRow="0" w:firstColumn="0" w:lastColumn="0" w:oddVBand="0" w:evenVBand="0" w:oddHBand="0" w:evenHBand="0" w:firstRowFirstColumn="0" w:firstRowLastColumn="0" w:lastRowFirstColumn="0" w:lastRowLastColumn="0"/>
              <w:rPr>
                <w:rFonts w:eastAsia="Lucida Sans Unicode" w:cstheme="minorHAnsi"/>
                <w:kern w:val="1"/>
                <w:sz w:val="18"/>
                <w:szCs w:val="18"/>
                <w:lang w:eastAsia="ar-SA"/>
              </w:rPr>
            </w:pPr>
            <w:r w:rsidRPr="00655FC7">
              <w:rPr>
                <w:rFonts w:eastAsia="Lucida Sans Unicode" w:cstheme="minorHAnsi"/>
                <w:kern w:val="1"/>
                <w:sz w:val="18"/>
                <w:szCs w:val="18"/>
                <w:lang w:eastAsia="ar-SA"/>
              </w:rPr>
              <w:t>1 536</w:t>
            </w:r>
          </w:p>
        </w:tc>
      </w:tr>
      <w:tr w:rsidR="00D155AA" w:rsidRPr="00655FC7" w14:paraId="31FC2DDE" w14:textId="77777777" w:rsidTr="0082774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4" w:space="0" w:color="auto"/>
              <w:left w:val="single" w:sz="4" w:space="0" w:color="auto"/>
              <w:right w:val="single" w:sz="4" w:space="0" w:color="auto"/>
            </w:tcBorders>
            <w:vAlign w:val="center"/>
          </w:tcPr>
          <w:p w14:paraId="6BA848C2" w14:textId="77777777" w:rsidR="00D155AA" w:rsidRPr="005B31C2" w:rsidRDefault="00D155AA" w:rsidP="00827748">
            <w:pPr>
              <w:tabs>
                <w:tab w:val="left" w:pos="3119"/>
              </w:tabs>
              <w:suppressAutoHyphens/>
              <w:spacing w:line="100" w:lineRule="atLeast"/>
              <w:ind w:firstLine="0"/>
              <w:jc w:val="center"/>
              <w:rPr>
                <w:rFonts w:eastAsia="Calibri" w:cstheme="minorHAnsi"/>
                <w:color w:val="auto"/>
                <w:kern w:val="1"/>
                <w:sz w:val="18"/>
                <w:szCs w:val="18"/>
                <w:lang w:eastAsia="ar-SA"/>
              </w:rPr>
            </w:pPr>
            <w:r w:rsidRPr="005B31C2">
              <w:rPr>
                <w:rFonts w:eastAsia="Calibri" w:cstheme="minorHAnsi"/>
                <w:color w:val="auto"/>
                <w:kern w:val="1"/>
                <w:sz w:val="18"/>
                <w:szCs w:val="18"/>
                <w:lang w:eastAsia="ar-SA"/>
              </w:rPr>
              <w:t>Wskaźnik modułu miejskiego</w:t>
            </w:r>
          </w:p>
        </w:tc>
      </w:tr>
      <w:tr w:rsidR="00D155AA" w:rsidRPr="00655FC7" w14:paraId="12EB5F18" w14:textId="77777777" w:rsidTr="00827748">
        <w:trPr>
          <w:trHeight w:val="340"/>
          <w:jc w:val="center"/>
        </w:trPr>
        <w:tc>
          <w:tcPr>
            <w:cnfStyle w:val="001000000000" w:firstRow="0" w:lastRow="0" w:firstColumn="1" w:lastColumn="0" w:oddVBand="0" w:evenVBand="0" w:oddHBand="0" w:evenHBand="0" w:firstRowFirstColumn="0" w:firstRowLastColumn="0" w:lastRowFirstColumn="0" w:lastRowLastColumn="0"/>
            <w:tcW w:w="393" w:type="pct"/>
            <w:tcBorders>
              <w:left w:val="single" w:sz="4" w:space="0" w:color="auto"/>
            </w:tcBorders>
            <w:vAlign w:val="center"/>
          </w:tcPr>
          <w:p w14:paraId="32786D00" w14:textId="77777777" w:rsidR="00D155AA" w:rsidRPr="00655FC7" w:rsidRDefault="00D155AA" w:rsidP="00827748">
            <w:pPr>
              <w:tabs>
                <w:tab w:val="left" w:pos="3119"/>
              </w:tabs>
              <w:suppressAutoHyphens/>
              <w:spacing w:line="100" w:lineRule="atLeast"/>
              <w:ind w:firstLine="0"/>
              <w:jc w:val="center"/>
              <w:rPr>
                <w:rFonts w:eastAsia="Lucida Sans Unicode" w:cstheme="minorHAnsi"/>
                <w:b w:val="0"/>
                <w:bCs w:val="0"/>
                <w:color w:val="auto"/>
                <w:kern w:val="1"/>
                <w:sz w:val="18"/>
                <w:szCs w:val="18"/>
                <w:lang w:eastAsia="ar-SA"/>
              </w:rPr>
            </w:pPr>
            <w:r w:rsidRPr="00655FC7">
              <w:rPr>
                <w:rFonts w:eastAsia="Lucida Sans Unicode" w:cstheme="minorHAnsi"/>
                <w:b w:val="0"/>
                <w:bCs w:val="0"/>
                <w:color w:val="auto"/>
                <w:kern w:val="1"/>
                <w:sz w:val="18"/>
                <w:szCs w:val="18"/>
                <w:lang w:eastAsia="ar-SA"/>
              </w:rPr>
              <w:t>4.</w:t>
            </w:r>
          </w:p>
        </w:tc>
        <w:tc>
          <w:tcPr>
            <w:tcW w:w="2534" w:type="pct"/>
            <w:vAlign w:val="center"/>
          </w:tcPr>
          <w:p w14:paraId="50FA5A30" w14:textId="77777777" w:rsidR="00D155AA" w:rsidRPr="00655FC7" w:rsidRDefault="00D155AA" w:rsidP="00827748">
            <w:pPr>
              <w:tabs>
                <w:tab w:val="left" w:pos="3119"/>
              </w:tabs>
              <w:suppressAutoHyphens/>
              <w:spacing w:line="100" w:lineRule="atLeast"/>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kern w:val="1"/>
                <w:sz w:val="18"/>
                <w:szCs w:val="18"/>
                <w:lang w:eastAsia="ar-SA"/>
              </w:rPr>
            </w:pPr>
            <w:r w:rsidRPr="00655FC7">
              <w:rPr>
                <w:rFonts w:eastAsia="Calibri" w:cstheme="minorHAnsi"/>
                <w:color w:val="auto"/>
                <w:kern w:val="1"/>
                <w:sz w:val="18"/>
                <w:szCs w:val="18"/>
                <w:lang w:eastAsia="ar-SA"/>
              </w:rPr>
              <w:t>Gęstość zaludnienia</w:t>
            </w:r>
          </w:p>
        </w:tc>
        <w:tc>
          <w:tcPr>
            <w:tcW w:w="1242" w:type="pct"/>
            <w:vAlign w:val="center"/>
          </w:tcPr>
          <w:p w14:paraId="2F62BE54" w14:textId="77777777" w:rsidR="00D155AA" w:rsidRPr="00655FC7" w:rsidRDefault="00D155AA" w:rsidP="00827748">
            <w:pPr>
              <w:tabs>
                <w:tab w:val="left" w:pos="3119"/>
              </w:tabs>
              <w:suppressAutoHyphens/>
              <w:spacing w:line="100" w:lineRule="atLeast"/>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kern w:val="1"/>
                <w:sz w:val="18"/>
                <w:szCs w:val="18"/>
                <w:lang w:eastAsia="ar-SA"/>
              </w:rPr>
            </w:pPr>
            <w:r w:rsidRPr="00655FC7">
              <w:rPr>
                <w:rFonts w:eastAsia="Calibri" w:cstheme="minorHAnsi"/>
                <w:color w:val="auto"/>
                <w:kern w:val="1"/>
                <w:sz w:val="18"/>
                <w:szCs w:val="18"/>
                <w:lang w:eastAsia="ar-SA"/>
              </w:rPr>
              <w:t>Liczba osób/km</w:t>
            </w:r>
            <w:r w:rsidRPr="00655FC7">
              <w:rPr>
                <w:rFonts w:eastAsia="Calibri" w:cstheme="minorHAnsi"/>
                <w:color w:val="auto"/>
                <w:kern w:val="1"/>
                <w:sz w:val="18"/>
                <w:szCs w:val="18"/>
                <w:vertAlign w:val="superscript"/>
                <w:lang w:eastAsia="ar-SA"/>
              </w:rPr>
              <w:t>2</w:t>
            </w:r>
          </w:p>
        </w:tc>
        <w:tc>
          <w:tcPr>
            <w:tcW w:w="831" w:type="pct"/>
            <w:tcBorders>
              <w:right w:val="single" w:sz="4" w:space="0" w:color="auto"/>
            </w:tcBorders>
            <w:vAlign w:val="center"/>
          </w:tcPr>
          <w:p w14:paraId="7A2C5CA7" w14:textId="77777777" w:rsidR="00D155AA" w:rsidRPr="00655FC7" w:rsidRDefault="00D155AA" w:rsidP="00827748">
            <w:pPr>
              <w:suppressAutoHyphens/>
              <w:spacing w:line="100" w:lineRule="atLeast"/>
              <w:ind w:firstLine="0"/>
              <w:jc w:val="center"/>
              <w:cnfStyle w:val="000000000000" w:firstRow="0" w:lastRow="0" w:firstColumn="0" w:lastColumn="0" w:oddVBand="0" w:evenVBand="0" w:oddHBand="0" w:evenHBand="0" w:firstRowFirstColumn="0" w:firstRowLastColumn="0" w:lastRowFirstColumn="0" w:lastRowLastColumn="0"/>
              <w:rPr>
                <w:rFonts w:eastAsia="Lucida Sans Unicode" w:cstheme="minorHAnsi"/>
                <w:kern w:val="1"/>
                <w:sz w:val="18"/>
                <w:szCs w:val="18"/>
                <w:lang w:eastAsia="ar-SA"/>
              </w:rPr>
            </w:pPr>
            <w:r w:rsidRPr="00655FC7">
              <w:rPr>
                <w:rFonts w:eastAsia="Lucida Sans Unicode" w:cstheme="minorHAnsi"/>
                <w:kern w:val="1"/>
                <w:sz w:val="18"/>
                <w:szCs w:val="18"/>
                <w:lang w:eastAsia="ar-SA"/>
              </w:rPr>
              <w:t>295,7</w:t>
            </w:r>
          </w:p>
        </w:tc>
      </w:tr>
      <w:tr w:rsidR="00D155AA" w:rsidRPr="00655FC7" w14:paraId="596EE985" w14:textId="77777777" w:rsidTr="0082774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393" w:type="pct"/>
            <w:tcBorders>
              <w:left w:val="single" w:sz="4" w:space="0" w:color="auto"/>
            </w:tcBorders>
            <w:vAlign w:val="center"/>
          </w:tcPr>
          <w:p w14:paraId="6AABC8E6" w14:textId="77777777" w:rsidR="00D155AA" w:rsidRPr="00655FC7" w:rsidRDefault="00D155AA" w:rsidP="00827748">
            <w:pPr>
              <w:tabs>
                <w:tab w:val="left" w:pos="3119"/>
              </w:tabs>
              <w:suppressAutoHyphens/>
              <w:spacing w:line="100" w:lineRule="atLeast"/>
              <w:ind w:firstLine="0"/>
              <w:jc w:val="center"/>
              <w:rPr>
                <w:rFonts w:eastAsia="Lucida Sans Unicode" w:cstheme="minorHAnsi"/>
                <w:b w:val="0"/>
                <w:bCs w:val="0"/>
                <w:color w:val="auto"/>
                <w:kern w:val="1"/>
                <w:sz w:val="18"/>
                <w:szCs w:val="18"/>
                <w:lang w:eastAsia="ar-SA"/>
              </w:rPr>
            </w:pPr>
            <w:r w:rsidRPr="00655FC7">
              <w:rPr>
                <w:rFonts w:eastAsia="Lucida Sans Unicode" w:cstheme="minorHAnsi"/>
                <w:b w:val="0"/>
                <w:bCs w:val="0"/>
                <w:color w:val="auto"/>
                <w:kern w:val="1"/>
                <w:sz w:val="18"/>
                <w:szCs w:val="18"/>
                <w:lang w:eastAsia="ar-SA"/>
              </w:rPr>
              <w:t>5.</w:t>
            </w:r>
          </w:p>
        </w:tc>
        <w:tc>
          <w:tcPr>
            <w:tcW w:w="2534" w:type="pct"/>
            <w:vAlign w:val="center"/>
          </w:tcPr>
          <w:p w14:paraId="5B470DB3" w14:textId="77777777" w:rsidR="00D155AA" w:rsidRPr="00655FC7" w:rsidRDefault="00D155AA" w:rsidP="00827748">
            <w:pPr>
              <w:tabs>
                <w:tab w:val="left" w:pos="3119"/>
              </w:tabs>
              <w:suppressAutoHyphens/>
              <w:spacing w:line="100" w:lineRule="atLeast"/>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kern w:val="1"/>
                <w:sz w:val="18"/>
                <w:szCs w:val="18"/>
                <w:lang w:eastAsia="ar-SA"/>
              </w:rPr>
            </w:pPr>
            <w:r w:rsidRPr="00655FC7">
              <w:rPr>
                <w:rFonts w:eastAsia="Calibri" w:cstheme="minorHAnsi"/>
                <w:color w:val="auto"/>
                <w:kern w:val="1"/>
                <w:sz w:val="18"/>
                <w:szCs w:val="18"/>
                <w:lang w:eastAsia="ar-SA"/>
              </w:rPr>
              <w:t>Zmiany liczby ludności na 1000 mieszkańców</w:t>
            </w:r>
          </w:p>
        </w:tc>
        <w:tc>
          <w:tcPr>
            <w:tcW w:w="1242" w:type="pct"/>
            <w:vAlign w:val="center"/>
          </w:tcPr>
          <w:p w14:paraId="4FE56651" w14:textId="77777777" w:rsidR="00D155AA" w:rsidRPr="00655FC7" w:rsidRDefault="00D155AA" w:rsidP="00827748">
            <w:pPr>
              <w:tabs>
                <w:tab w:val="left" w:pos="3119"/>
              </w:tabs>
              <w:suppressAutoHyphens/>
              <w:spacing w:line="100" w:lineRule="atLeast"/>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kern w:val="1"/>
                <w:sz w:val="18"/>
                <w:szCs w:val="18"/>
                <w:lang w:eastAsia="ar-SA"/>
              </w:rPr>
            </w:pPr>
            <w:r w:rsidRPr="00655FC7">
              <w:rPr>
                <w:rFonts w:eastAsia="Calibri" w:cstheme="minorHAnsi"/>
                <w:color w:val="auto"/>
                <w:kern w:val="1"/>
                <w:sz w:val="18"/>
                <w:szCs w:val="18"/>
                <w:lang w:eastAsia="ar-SA"/>
              </w:rPr>
              <w:t>Osoba</w:t>
            </w:r>
          </w:p>
        </w:tc>
        <w:tc>
          <w:tcPr>
            <w:tcW w:w="831" w:type="pct"/>
            <w:tcBorders>
              <w:right w:val="single" w:sz="4" w:space="0" w:color="auto"/>
            </w:tcBorders>
            <w:vAlign w:val="center"/>
          </w:tcPr>
          <w:p w14:paraId="2E93068C" w14:textId="77777777" w:rsidR="00D155AA" w:rsidRPr="00655FC7" w:rsidRDefault="00D155AA" w:rsidP="00827748">
            <w:pPr>
              <w:suppressAutoHyphens/>
              <w:spacing w:line="100" w:lineRule="atLeast"/>
              <w:ind w:firstLine="0"/>
              <w:jc w:val="center"/>
              <w:cnfStyle w:val="000000100000" w:firstRow="0" w:lastRow="0" w:firstColumn="0" w:lastColumn="0" w:oddVBand="0" w:evenVBand="0" w:oddHBand="1" w:evenHBand="0" w:firstRowFirstColumn="0" w:firstRowLastColumn="0" w:lastRowFirstColumn="0" w:lastRowLastColumn="0"/>
              <w:rPr>
                <w:rFonts w:eastAsia="Lucida Sans Unicode" w:cstheme="minorHAnsi"/>
                <w:kern w:val="1"/>
                <w:sz w:val="18"/>
                <w:szCs w:val="18"/>
                <w:lang w:eastAsia="ar-SA"/>
              </w:rPr>
            </w:pPr>
            <w:r w:rsidRPr="00655FC7">
              <w:rPr>
                <w:rFonts w:eastAsia="Lucida Sans Unicode" w:cstheme="minorHAnsi"/>
                <w:kern w:val="1"/>
                <w:sz w:val="18"/>
                <w:szCs w:val="18"/>
                <w:lang w:eastAsia="ar-SA"/>
              </w:rPr>
              <w:t>-7,2</w:t>
            </w:r>
          </w:p>
        </w:tc>
      </w:tr>
      <w:tr w:rsidR="00D155AA" w:rsidRPr="00655FC7" w14:paraId="718F1827" w14:textId="77777777" w:rsidTr="00827748">
        <w:trPr>
          <w:trHeight w:val="340"/>
          <w:jc w:val="center"/>
        </w:trPr>
        <w:tc>
          <w:tcPr>
            <w:cnfStyle w:val="001000000000" w:firstRow="0" w:lastRow="0" w:firstColumn="1" w:lastColumn="0" w:oddVBand="0" w:evenVBand="0" w:oddHBand="0" w:evenHBand="0" w:firstRowFirstColumn="0" w:firstRowLastColumn="0" w:lastRowFirstColumn="0" w:lastRowLastColumn="0"/>
            <w:tcW w:w="393" w:type="pct"/>
            <w:tcBorders>
              <w:left w:val="single" w:sz="4" w:space="0" w:color="auto"/>
              <w:bottom w:val="single" w:sz="4" w:space="0" w:color="auto"/>
            </w:tcBorders>
            <w:vAlign w:val="center"/>
          </w:tcPr>
          <w:p w14:paraId="0F018A28" w14:textId="77777777" w:rsidR="00D155AA" w:rsidRPr="00655FC7" w:rsidRDefault="00D155AA" w:rsidP="00827748">
            <w:pPr>
              <w:tabs>
                <w:tab w:val="left" w:pos="3119"/>
              </w:tabs>
              <w:suppressAutoHyphens/>
              <w:spacing w:line="100" w:lineRule="atLeast"/>
              <w:ind w:firstLine="0"/>
              <w:jc w:val="center"/>
              <w:rPr>
                <w:rFonts w:eastAsia="Lucida Sans Unicode" w:cstheme="minorHAnsi"/>
                <w:b w:val="0"/>
                <w:bCs w:val="0"/>
                <w:color w:val="auto"/>
                <w:kern w:val="1"/>
                <w:sz w:val="18"/>
                <w:szCs w:val="18"/>
                <w:lang w:eastAsia="ar-SA"/>
              </w:rPr>
            </w:pPr>
            <w:r w:rsidRPr="00655FC7">
              <w:rPr>
                <w:rFonts w:eastAsia="Lucida Sans Unicode" w:cstheme="minorHAnsi"/>
                <w:b w:val="0"/>
                <w:bCs w:val="0"/>
                <w:color w:val="auto"/>
                <w:kern w:val="1"/>
                <w:sz w:val="18"/>
                <w:szCs w:val="18"/>
                <w:lang w:eastAsia="ar-SA"/>
              </w:rPr>
              <w:t>6.</w:t>
            </w:r>
          </w:p>
        </w:tc>
        <w:tc>
          <w:tcPr>
            <w:tcW w:w="2534" w:type="pct"/>
            <w:tcBorders>
              <w:bottom w:val="single" w:sz="4" w:space="0" w:color="auto"/>
            </w:tcBorders>
            <w:vAlign w:val="center"/>
          </w:tcPr>
          <w:p w14:paraId="491DD727" w14:textId="77777777" w:rsidR="00D155AA" w:rsidRPr="00655FC7" w:rsidRDefault="00D155AA" w:rsidP="00827748">
            <w:pPr>
              <w:tabs>
                <w:tab w:val="left" w:pos="3119"/>
              </w:tabs>
              <w:suppressAutoHyphens/>
              <w:spacing w:line="100" w:lineRule="atLeast"/>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kern w:val="1"/>
                <w:sz w:val="18"/>
                <w:szCs w:val="18"/>
                <w:lang w:eastAsia="ar-SA"/>
              </w:rPr>
            </w:pPr>
            <w:r w:rsidRPr="00655FC7">
              <w:rPr>
                <w:rFonts w:eastAsia="Calibri" w:cstheme="minorHAnsi"/>
                <w:color w:val="auto"/>
                <w:kern w:val="1"/>
                <w:sz w:val="18"/>
                <w:szCs w:val="18"/>
                <w:lang w:eastAsia="ar-SA"/>
              </w:rPr>
              <w:t>Współczynnik feminizacji</w:t>
            </w:r>
          </w:p>
        </w:tc>
        <w:tc>
          <w:tcPr>
            <w:tcW w:w="1242" w:type="pct"/>
            <w:tcBorders>
              <w:bottom w:val="single" w:sz="4" w:space="0" w:color="auto"/>
            </w:tcBorders>
            <w:vAlign w:val="center"/>
          </w:tcPr>
          <w:p w14:paraId="18D3DCF8" w14:textId="77777777" w:rsidR="00D155AA" w:rsidRPr="00655FC7" w:rsidRDefault="00D155AA" w:rsidP="00827748">
            <w:pPr>
              <w:tabs>
                <w:tab w:val="left" w:pos="3119"/>
              </w:tabs>
              <w:suppressAutoHyphens/>
              <w:spacing w:line="100" w:lineRule="atLeast"/>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kern w:val="1"/>
                <w:sz w:val="18"/>
                <w:szCs w:val="18"/>
                <w:lang w:eastAsia="ar-SA"/>
              </w:rPr>
            </w:pPr>
            <w:r w:rsidRPr="00655FC7">
              <w:rPr>
                <w:rFonts w:eastAsia="Calibri" w:cstheme="minorHAnsi"/>
                <w:color w:val="auto"/>
                <w:kern w:val="1"/>
                <w:sz w:val="18"/>
                <w:szCs w:val="18"/>
                <w:lang w:eastAsia="ar-SA"/>
              </w:rPr>
              <w:t>Osoba</w:t>
            </w:r>
          </w:p>
        </w:tc>
        <w:tc>
          <w:tcPr>
            <w:tcW w:w="831" w:type="pct"/>
            <w:tcBorders>
              <w:bottom w:val="single" w:sz="4" w:space="0" w:color="auto"/>
              <w:right w:val="single" w:sz="4" w:space="0" w:color="auto"/>
            </w:tcBorders>
            <w:vAlign w:val="center"/>
          </w:tcPr>
          <w:p w14:paraId="12D0DBDB" w14:textId="77777777" w:rsidR="00D155AA" w:rsidRPr="00655FC7" w:rsidRDefault="00D155AA" w:rsidP="00827748">
            <w:pPr>
              <w:suppressAutoHyphens/>
              <w:spacing w:line="100" w:lineRule="atLeast"/>
              <w:ind w:firstLine="0"/>
              <w:jc w:val="center"/>
              <w:cnfStyle w:val="000000000000" w:firstRow="0" w:lastRow="0" w:firstColumn="0" w:lastColumn="0" w:oddVBand="0" w:evenVBand="0" w:oddHBand="0" w:evenHBand="0" w:firstRowFirstColumn="0" w:firstRowLastColumn="0" w:lastRowFirstColumn="0" w:lastRowLastColumn="0"/>
              <w:rPr>
                <w:rFonts w:eastAsia="Lucida Sans Unicode" w:cstheme="minorHAnsi"/>
                <w:kern w:val="1"/>
                <w:sz w:val="18"/>
                <w:szCs w:val="18"/>
                <w:lang w:eastAsia="ar-SA"/>
              </w:rPr>
            </w:pPr>
            <w:r w:rsidRPr="00655FC7">
              <w:rPr>
                <w:rFonts w:eastAsia="Lucida Sans Unicode" w:cstheme="minorHAnsi"/>
                <w:kern w:val="1"/>
                <w:sz w:val="18"/>
                <w:szCs w:val="18"/>
                <w:lang w:eastAsia="ar-SA"/>
              </w:rPr>
              <w:t>106</w:t>
            </w:r>
          </w:p>
        </w:tc>
      </w:tr>
      <w:tr w:rsidR="00D155AA" w:rsidRPr="00655FC7" w14:paraId="71CDAD00" w14:textId="77777777" w:rsidTr="0082774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5000" w:type="pct"/>
            <w:gridSpan w:val="4"/>
            <w:tcBorders>
              <w:top w:val="single" w:sz="4" w:space="0" w:color="auto"/>
              <w:left w:val="single" w:sz="4" w:space="0" w:color="auto"/>
              <w:right w:val="single" w:sz="4" w:space="0" w:color="auto"/>
            </w:tcBorders>
            <w:vAlign w:val="center"/>
          </w:tcPr>
          <w:p w14:paraId="199E87D5" w14:textId="77777777" w:rsidR="00D155AA" w:rsidRPr="005B31C2" w:rsidRDefault="00D155AA" w:rsidP="00827748">
            <w:pPr>
              <w:tabs>
                <w:tab w:val="left" w:pos="3119"/>
              </w:tabs>
              <w:suppressAutoHyphens/>
              <w:spacing w:line="100" w:lineRule="atLeast"/>
              <w:ind w:firstLine="0"/>
              <w:jc w:val="center"/>
              <w:rPr>
                <w:rFonts w:eastAsia="Calibri" w:cstheme="minorHAnsi"/>
                <w:color w:val="auto"/>
                <w:kern w:val="1"/>
                <w:sz w:val="18"/>
                <w:szCs w:val="18"/>
                <w:lang w:eastAsia="ar-SA"/>
              </w:rPr>
            </w:pPr>
            <w:r w:rsidRPr="005B31C2">
              <w:rPr>
                <w:rFonts w:eastAsia="Calibri" w:cstheme="minorHAnsi"/>
                <w:color w:val="auto"/>
                <w:kern w:val="1"/>
                <w:sz w:val="18"/>
                <w:szCs w:val="18"/>
                <w:lang w:eastAsia="ar-SA"/>
              </w:rPr>
              <w:t>Udział ludności według ekonomicznych grup wieku w % ludności ogółem</w:t>
            </w:r>
          </w:p>
        </w:tc>
      </w:tr>
      <w:tr w:rsidR="00D155AA" w:rsidRPr="00655FC7" w14:paraId="1E666CB7" w14:textId="77777777" w:rsidTr="00827748">
        <w:trPr>
          <w:trHeight w:val="340"/>
          <w:jc w:val="center"/>
        </w:trPr>
        <w:tc>
          <w:tcPr>
            <w:cnfStyle w:val="001000000000" w:firstRow="0" w:lastRow="0" w:firstColumn="1" w:lastColumn="0" w:oddVBand="0" w:evenVBand="0" w:oddHBand="0" w:evenHBand="0" w:firstRowFirstColumn="0" w:firstRowLastColumn="0" w:lastRowFirstColumn="0" w:lastRowLastColumn="0"/>
            <w:tcW w:w="393" w:type="pct"/>
            <w:tcBorders>
              <w:left w:val="single" w:sz="4" w:space="0" w:color="auto"/>
            </w:tcBorders>
            <w:vAlign w:val="center"/>
          </w:tcPr>
          <w:p w14:paraId="7A72C2CC" w14:textId="77777777" w:rsidR="00D155AA" w:rsidRPr="00655FC7" w:rsidRDefault="00D155AA" w:rsidP="00827748">
            <w:pPr>
              <w:tabs>
                <w:tab w:val="left" w:pos="3119"/>
              </w:tabs>
              <w:suppressAutoHyphens/>
              <w:spacing w:line="100" w:lineRule="atLeast"/>
              <w:ind w:firstLine="0"/>
              <w:jc w:val="center"/>
              <w:rPr>
                <w:rFonts w:eastAsia="Lucida Sans Unicode" w:cstheme="minorHAnsi"/>
                <w:b w:val="0"/>
                <w:bCs w:val="0"/>
                <w:color w:val="auto"/>
                <w:kern w:val="1"/>
                <w:sz w:val="18"/>
                <w:szCs w:val="18"/>
                <w:lang w:eastAsia="ar-SA"/>
              </w:rPr>
            </w:pPr>
            <w:r w:rsidRPr="00655FC7">
              <w:rPr>
                <w:rFonts w:eastAsia="Lucida Sans Unicode" w:cstheme="minorHAnsi"/>
                <w:b w:val="0"/>
                <w:bCs w:val="0"/>
                <w:color w:val="auto"/>
                <w:kern w:val="1"/>
                <w:sz w:val="18"/>
                <w:szCs w:val="18"/>
                <w:lang w:eastAsia="ar-SA"/>
              </w:rPr>
              <w:t>7.</w:t>
            </w:r>
          </w:p>
        </w:tc>
        <w:tc>
          <w:tcPr>
            <w:tcW w:w="2534" w:type="pct"/>
            <w:vAlign w:val="center"/>
          </w:tcPr>
          <w:p w14:paraId="1FA7F83C" w14:textId="77777777" w:rsidR="00D155AA" w:rsidRPr="00655FC7" w:rsidRDefault="00D155AA" w:rsidP="00827748">
            <w:pPr>
              <w:tabs>
                <w:tab w:val="left" w:pos="3119"/>
              </w:tabs>
              <w:suppressAutoHyphens/>
              <w:spacing w:line="100" w:lineRule="atLeast"/>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kern w:val="1"/>
                <w:sz w:val="18"/>
                <w:szCs w:val="18"/>
                <w:lang w:eastAsia="ar-SA"/>
              </w:rPr>
            </w:pPr>
            <w:r w:rsidRPr="00655FC7">
              <w:rPr>
                <w:rFonts w:eastAsia="Calibri" w:cstheme="minorHAnsi"/>
                <w:color w:val="auto"/>
                <w:kern w:val="1"/>
                <w:sz w:val="18"/>
                <w:szCs w:val="18"/>
                <w:lang w:eastAsia="ar-SA"/>
              </w:rPr>
              <w:t>W wieku przedprodukcyjnym</w:t>
            </w:r>
          </w:p>
        </w:tc>
        <w:tc>
          <w:tcPr>
            <w:tcW w:w="1242" w:type="pct"/>
            <w:vAlign w:val="center"/>
          </w:tcPr>
          <w:p w14:paraId="09EACD79" w14:textId="77777777" w:rsidR="00D155AA" w:rsidRPr="00655FC7" w:rsidRDefault="00D155AA" w:rsidP="00827748">
            <w:pPr>
              <w:tabs>
                <w:tab w:val="left" w:pos="3119"/>
              </w:tabs>
              <w:suppressAutoHyphens/>
              <w:spacing w:line="100" w:lineRule="atLeast"/>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kern w:val="1"/>
                <w:sz w:val="18"/>
                <w:szCs w:val="18"/>
                <w:lang w:eastAsia="ar-SA"/>
              </w:rPr>
            </w:pPr>
            <w:r w:rsidRPr="00655FC7">
              <w:rPr>
                <w:rFonts w:eastAsia="Calibri" w:cstheme="minorHAnsi"/>
                <w:color w:val="auto"/>
                <w:kern w:val="1"/>
                <w:sz w:val="18"/>
                <w:szCs w:val="18"/>
                <w:lang w:eastAsia="ar-SA"/>
              </w:rPr>
              <w:t>%</w:t>
            </w:r>
          </w:p>
        </w:tc>
        <w:tc>
          <w:tcPr>
            <w:tcW w:w="831" w:type="pct"/>
            <w:tcBorders>
              <w:right w:val="single" w:sz="4" w:space="0" w:color="auto"/>
            </w:tcBorders>
            <w:vAlign w:val="center"/>
          </w:tcPr>
          <w:p w14:paraId="0FD94CDD" w14:textId="77777777" w:rsidR="00D155AA" w:rsidRPr="00655FC7" w:rsidRDefault="00D155AA" w:rsidP="00827748">
            <w:pPr>
              <w:suppressAutoHyphens/>
              <w:spacing w:line="100" w:lineRule="atLeast"/>
              <w:ind w:firstLine="0"/>
              <w:jc w:val="center"/>
              <w:cnfStyle w:val="000000000000" w:firstRow="0" w:lastRow="0" w:firstColumn="0" w:lastColumn="0" w:oddVBand="0" w:evenVBand="0" w:oddHBand="0" w:evenHBand="0" w:firstRowFirstColumn="0" w:firstRowLastColumn="0" w:lastRowFirstColumn="0" w:lastRowLastColumn="0"/>
              <w:rPr>
                <w:rFonts w:eastAsia="Lucida Sans Unicode" w:cstheme="minorHAnsi"/>
                <w:kern w:val="1"/>
                <w:sz w:val="18"/>
                <w:szCs w:val="18"/>
                <w:lang w:eastAsia="ar-SA"/>
              </w:rPr>
            </w:pPr>
            <w:r w:rsidRPr="00655FC7">
              <w:rPr>
                <w:rFonts w:eastAsia="Lucida Sans Unicode" w:cstheme="minorHAnsi"/>
                <w:kern w:val="1"/>
                <w:sz w:val="18"/>
                <w:szCs w:val="18"/>
                <w:lang w:eastAsia="ar-SA"/>
              </w:rPr>
              <w:t>17,7</w:t>
            </w:r>
          </w:p>
        </w:tc>
      </w:tr>
      <w:tr w:rsidR="00D155AA" w:rsidRPr="00655FC7" w14:paraId="62C2DD95" w14:textId="77777777" w:rsidTr="0082774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393" w:type="pct"/>
            <w:tcBorders>
              <w:left w:val="single" w:sz="4" w:space="0" w:color="auto"/>
            </w:tcBorders>
            <w:vAlign w:val="center"/>
          </w:tcPr>
          <w:p w14:paraId="5A656552" w14:textId="77777777" w:rsidR="00D155AA" w:rsidRPr="00655FC7" w:rsidRDefault="00D155AA" w:rsidP="00827748">
            <w:pPr>
              <w:tabs>
                <w:tab w:val="left" w:pos="3119"/>
              </w:tabs>
              <w:suppressAutoHyphens/>
              <w:spacing w:line="100" w:lineRule="atLeast"/>
              <w:ind w:firstLine="0"/>
              <w:jc w:val="center"/>
              <w:rPr>
                <w:rFonts w:eastAsia="Lucida Sans Unicode" w:cstheme="minorHAnsi"/>
                <w:b w:val="0"/>
                <w:bCs w:val="0"/>
                <w:color w:val="auto"/>
                <w:kern w:val="1"/>
                <w:sz w:val="18"/>
                <w:szCs w:val="18"/>
                <w:lang w:eastAsia="ar-SA"/>
              </w:rPr>
            </w:pPr>
            <w:r w:rsidRPr="00655FC7">
              <w:rPr>
                <w:rFonts w:eastAsia="Lucida Sans Unicode" w:cstheme="minorHAnsi"/>
                <w:b w:val="0"/>
                <w:bCs w:val="0"/>
                <w:color w:val="auto"/>
                <w:kern w:val="1"/>
                <w:sz w:val="18"/>
                <w:szCs w:val="18"/>
                <w:lang w:eastAsia="ar-SA"/>
              </w:rPr>
              <w:t>8.</w:t>
            </w:r>
          </w:p>
        </w:tc>
        <w:tc>
          <w:tcPr>
            <w:tcW w:w="2534" w:type="pct"/>
            <w:vAlign w:val="center"/>
          </w:tcPr>
          <w:p w14:paraId="7EECE782" w14:textId="77777777" w:rsidR="00D155AA" w:rsidRPr="00655FC7" w:rsidRDefault="00D155AA" w:rsidP="00827748">
            <w:pPr>
              <w:tabs>
                <w:tab w:val="left" w:pos="3119"/>
              </w:tabs>
              <w:suppressAutoHyphens/>
              <w:spacing w:line="100" w:lineRule="atLeast"/>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kern w:val="1"/>
                <w:sz w:val="18"/>
                <w:szCs w:val="18"/>
                <w:lang w:eastAsia="ar-SA"/>
              </w:rPr>
            </w:pPr>
            <w:r w:rsidRPr="00655FC7">
              <w:rPr>
                <w:rFonts w:eastAsia="Calibri" w:cstheme="minorHAnsi"/>
                <w:color w:val="auto"/>
                <w:kern w:val="1"/>
                <w:sz w:val="18"/>
                <w:szCs w:val="18"/>
                <w:lang w:eastAsia="ar-SA"/>
              </w:rPr>
              <w:t>W wieku produkcyjnym</w:t>
            </w:r>
          </w:p>
        </w:tc>
        <w:tc>
          <w:tcPr>
            <w:tcW w:w="1242" w:type="pct"/>
            <w:vAlign w:val="center"/>
          </w:tcPr>
          <w:p w14:paraId="617A5591" w14:textId="77777777" w:rsidR="00D155AA" w:rsidRPr="00655FC7" w:rsidRDefault="00D155AA" w:rsidP="00827748">
            <w:pPr>
              <w:tabs>
                <w:tab w:val="left" w:pos="3119"/>
              </w:tabs>
              <w:suppressAutoHyphens/>
              <w:spacing w:line="100" w:lineRule="atLeast"/>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kern w:val="1"/>
                <w:sz w:val="18"/>
                <w:szCs w:val="18"/>
                <w:lang w:eastAsia="ar-SA"/>
              </w:rPr>
            </w:pPr>
            <w:r w:rsidRPr="00655FC7">
              <w:rPr>
                <w:rFonts w:eastAsia="Calibri" w:cstheme="minorHAnsi"/>
                <w:color w:val="auto"/>
                <w:kern w:val="1"/>
                <w:sz w:val="18"/>
                <w:szCs w:val="18"/>
                <w:lang w:eastAsia="ar-SA"/>
              </w:rPr>
              <w:t>%</w:t>
            </w:r>
          </w:p>
        </w:tc>
        <w:tc>
          <w:tcPr>
            <w:tcW w:w="831" w:type="pct"/>
            <w:tcBorders>
              <w:right w:val="single" w:sz="4" w:space="0" w:color="auto"/>
            </w:tcBorders>
            <w:vAlign w:val="center"/>
          </w:tcPr>
          <w:p w14:paraId="2D3198E2" w14:textId="77777777" w:rsidR="00D155AA" w:rsidRPr="00655FC7" w:rsidRDefault="00D155AA" w:rsidP="00827748">
            <w:pPr>
              <w:suppressAutoHyphens/>
              <w:spacing w:line="100" w:lineRule="atLeast"/>
              <w:ind w:firstLine="0"/>
              <w:jc w:val="center"/>
              <w:cnfStyle w:val="000000100000" w:firstRow="0" w:lastRow="0" w:firstColumn="0" w:lastColumn="0" w:oddVBand="0" w:evenVBand="0" w:oddHBand="1" w:evenHBand="0" w:firstRowFirstColumn="0" w:firstRowLastColumn="0" w:lastRowFirstColumn="0" w:lastRowLastColumn="0"/>
              <w:rPr>
                <w:rFonts w:eastAsia="Lucida Sans Unicode" w:cstheme="minorHAnsi"/>
                <w:kern w:val="1"/>
                <w:sz w:val="18"/>
                <w:szCs w:val="18"/>
                <w:lang w:eastAsia="ar-SA"/>
              </w:rPr>
            </w:pPr>
            <w:r w:rsidRPr="00655FC7">
              <w:rPr>
                <w:rFonts w:eastAsia="Lucida Sans Unicode" w:cstheme="minorHAnsi"/>
                <w:kern w:val="1"/>
                <w:sz w:val="18"/>
                <w:szCs w:val="18"/>
                <w:lang w:eastAsia="ar-SA"/>
              </w:rPr>
              <w:t>56,7</w:t>
            </w:r>
          </w:p>
        </w:tc>
      </w:tr>
      <w:tr w:rsidR="00D155AA" w:rsidRPr="00655FC7" w14:paraId="70FBEAFC" w14:textId="77777777" w:rsidTr="00827748">
        <w:trPr>
          <w:trHeight w:val="340"/>
          <w:jc w:val="center"/>
        </w:trPr>
        <w:tc>
          <w:tcPr>
            <w:cnfStyle w:val="001000000000" w:firstRow="0" w:lastRow="0" w:firstColumn="1" w:lastColumn="0" w:oddVBand="0" w:evenVBand="0" w:oddHBand="0" w:evenHBand="0" w:firstRowFirstColumn="0" w:firstRowLastColumn="0" w:lastRowFirstColumn="0" w:lastRowLastColumn="0"/>
            <w:tcW w:w="393" w:type="pct"/>
            <w:tcBorders>
              <w:left w:val="single" w:sz="4" w:space="0" w:color="auto"/>
              <w:bottom w:val="single" w:sz="4" w:space="0" w:color="auto"/>
            </w:tcBorders>
            <w:vAlign w:val="center"/>
          </w:tcPr>
          <w:p w14:paraId="68BB81E8" w14:textId="77777777" w:rsidR="00D155AA" w:rsidRPr="00655FC7" w:rsidRDefault="00D155AA" w:rsidP="00827748">
            <w:pPr>
              <w:tabs>
                <w:tab w:val="left" w:pos="3119"/>
              </w:tabs>
              <w:suppressAutoHyphens/>
              <w:spacing w:line="100" w:lineRule="atLeast"/>
              <w:ind w:firstLine="0"/>
              <w:jc w:val="center"/>
              <w:rPr>
                <w:rFonts w:eastAsia="Lucida Sans Unicode" w:cstheme="minorHAnsi"/>
                <w:b w:val="0"/>
                <w:bCs w:val="0"/>
                <w:color w:val="auto"/>
                <w:kern w:val="1"/>
                <w:sz w:val="18"/>
                <w:szCs w:val="18"/>
                <w:lang w:eastAsia="ar-SA"/>
              </w:rPr>
            </w:pPr>
            <w:r w:rsidRPr="00655FC7">
              <w:rPr>
                <w:rFonts w:eastAsia="Lucida Sans Unicode" w:cstheme="minorHAnsi"/>
                <w:b w:val="0"/>
                <w:bCs w:val="0"/>
                <w:color w:val="auto"/>
                <w:kern w:val="1"/>
                <w:sz w:val="18"/>
                <w:szCs w:val="18"/>
                <w:lang w:eastAsia="ar-SA"/>
              </w:rPr>
              <w:t>9.</w:t>
            </w:r>
          </w:p>
        </w:tc>
        <w:tc>
          <w:tcPr>
            <w:tcW w:w="2534" w:type="pct"/>
            <w:tcBorders>
              <w:bottom w:val="single" w:sz="4" w:space="0" w:color="auto"/>
            </w:tcBorders>
            <w:vAlign w:val="center"/>
          </w:tcPr>
          <w:p w14:paraId="7C7386E1" w14:textId="77777777" w:rsidR="00D155AA" w:rsidRPr="00655FC7" w:rsidRDefault="00D155AA" w:rsidP="00827748">
            <w:pPr>
              <w:tabs>
                <w:tab w:val="left" w:pos="3119"/>
              </w:tabs>
              <w:suppressAutoHyphens/>
              <w:spacing w:line="100" w:lineRule="atLeast"/>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kern w:val="1"/>
                <w:sz w:val="18"/>
                <w:szCs w:val="18"/>
                <w:lang w:eastAsia="ar-SA"/>
              </w:rPr>
            </w:pPr>
            <w:r w:rsidRPr="00655FC7">
              <w:rPr>
                <w:rFonts w:eastAsia="Calibri" w:cstheme="minorHAnsi"/>
                <w:color w:val="auto"/>
                <w:kern w:val="1"/>
                <w:sz w:val="18"/>
                <w:szCs w:val="18"/>
                <w:lang w:eastAsia="ar-SA"/>
              </w:rPr>
              <w:t>W wieku poprodukcyjnym</w:t>
            </w:r>
          </w:p>
        </w:tc>
        <w:tc>
          <w:tcPr>
            <w:tcW w:w="1242" w:type="pct"/>
            <w:tcBorders>
              <w:bottom w:val="single" w:sz="4" w:space="0" w:color="auto"/>
            </w:tcBorders>
            <w:vAlign w:val="center"/>
          </w:tcPr>
          <w:p w14:paraId="770A71A0" w14:textId="77777777" w:rsidR="00D155AA" w:rsidRPr="00655FC7" w:rsidRDefault="00D155AA" w:rsidP="00827748">
            <w:pPr>
              <w:tabs>
                <w:tab w:val="left" w:pos="3119"/>
              </w:tabs>
              <w:suppressAutoHyphens/>
              <w:spacing w:line="100" w:lineRule="atLeast"/>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kern w:val="1"/>
                <w:sz w:val="18"/>
                <w:szCs w:val="18"/>
                <w:lang w:eastAsia="ar-SA"/>
              </w:rPr>
            </w:pPr>
            <w:r w:rsidRPr="00655FC7">
              <w:rPr>
                <w:rFonts w:eastAsia="Calibri" w:cstheme="minorHAnsi"/>
                <w:color w:val="auto"/>
                <w:kern w:val="1"/>
                <w:sz w:val="18"/>
                <w:szCs w:val="18"/>
                <w:lang w:eastAsia="ar-SA"/>
              </w:rPr>
              <w:t>%</w:t>
            </w:r>
          </w:p>
        </w:tc>
        <w:tc>
          <w:tcPr>
            <w:tcW w:w="831" w:type="pct"/>
            <w:tcBorders>
              <w:bottom w:val="single" w:sz="4" w:space="0" w:color="auto"/>
              <w:right w:val="single" w:sz="4" w:space="0" w:color="auto"/>
            </w:tcBorders>
            <w:vAlign w:val="center"/>
          </w:tcPr>
          <w:p w14:paraId="66B60C1F" w14:textId="77777777" w:rsidR="00D155AA" w:rsidRPr="00655FC7" w:rsidRDefault="00D155AA" w:rsidP="00827748">
            <w:pPr>
              <w:suppressAutoHyphens/>
              <w:spacing w:line="100" w:lineRule="atLeast"/>
              <w:ind w:firstLine="0"/>
              <w:jc w:val="center"/>
              <w:cnfStyle w:val="000000000000" w:firstRow="0" w:lastRow="0" w:firstColumn="0" w:lastColumn="0" w:oddVBand="0" w:evenVBand="0" w:oddHBand="0" w:evenHBand="0" w:firstRowFirstColumn="0" w:firstRowLastColumn="0" w:lastRowFirstColumn="0" w:lastRowLastColumn="0"/>
              <w:rPr>
                <w:rFonts w:eastAsia="Lucida Sans Unicode" w:cstheme="minorHAnsi"/>
                <w:kern w:val="1"/>
                <w:sz w:val="18"/>
                <w:szCs w:val="18"/>
                <w:lang w:eastAsia="ar-SA"/>
              </w:rPr>
            </w:pPr>
            <w:r w:rsidRPr="00655FC7">
              <w:rPr>
                <w:rFonts w:eastAsia="Lucida Sans Unicode" w:cstheme="minorHAnsi"/>
                <w:kern w:val="1"/>
                <w:sz w:val="18"/>
                <w:szCs w:val="18"/>
                <w:lang w:eastAsia="ar-SA"/>
              </w:rPr>
              <w:t>25,7</w:t>
            </w:r>
          </w:p>
        </w:tc>
      </w:tr>
    </w:tbl>
    <w:p w14:paraId="0B72AAB4" w14:textId="77777777" w:rsidR="00D155AA" w:rsidRPr="00655FC7" w:rsidRDefault="00D155AA" w:rsidP="00D155AA">
      <w:pPr>
        <w:pStyle w:val="Cytat"/>
      </w:pPr>
      <w:r w:rsidRPr="00655FC7">
        <w:t>źródło: BDL GUS, stan na 31.12.2022</w:t>
      </w:r>
    </w:p>
    <w:p w14:paraId="490B7742" w14:textId="77777777" w:rsidR="00D155AA" w:rsidRPr="00655FC7" w:rsidRDefault="00D155AA" w:rsidP="00D155AA">
      <w:pPr>
        <w:tabs>
          <w:tab w:val="left" w:pos="3119"/>
        </w:tabs>
        <w:jc w:val="center"/>
        <w:rPr>
          <w:rFonts w:cstheme="minorHAnsi"/>
          <w:color w:val="auto"/>
          <w:szCs w:val="24"/>
        </w:rPr>
      </w:pPr>
    </w:p>
    <w:p w14:paraId="57EAFDD6" w14:textId="77777777" w:rsidR="00D155AA" w:rsidRPr="00655FC7" w:rsidRDefault="00D155AA" w:rsidP="00D155AA">
      <w:pPr>
        <w:rPr>
          <w:rFonts w:cstheme="minorHAnsi"/>
        </w:rPr>
      </w:pPr>
      <w:r w:rsidRPr="00655FC7">
        <w:rPr>
          <w:rFonts w:cstheme="minorHAnsi"/>
        </w:rPr>
        <w:t>W ostatnim roku zmiana liczby ludności na 1000 mieszkańców była ujemna, co jest kontynuacją wieloletniego trendu spadku liczby ludności zamieszkującej omawiany obszar. Zmniejsza się zarówno liczba ludności Miasta jak i Gminy Tarnogród, co w konsekwencji przejawia się w zmniejszającej się liczbie osób w wieku przed- i produkcyjnym oraz zwiększającej się liczbie osób w wieku poprodukcyjnym. Zjawisko to przedstawiono w tabeli i na wykresach poniżej.</w:t>
      </w:r>
    </w:p>
    <w:p w14:paraId="6D18D2EE" w14:textId="77777777" w:rsidR="00D155AA" w:rsidRPr="00655FC7" w:rsidRDefault="00D155AA" w:rsidP="00D155AA">
      <w:pPr>
        <w:rPr>
          <w:rFonts w:cstheme="minorHAnsi"/>
        </w:rPr>
      </w:pPr>
    </w:p>
    <w:p w14:paraId="6C60ECA5" w14:textId="6DABB8EB" w:rsidR="00D155AA" w:rsidRPr="00655FC7" w:rsidRDefault="00D155AA" w:rsidP="00D155AA">
      <w:pPr>
        <w:pStyle w:val="Styltabela"/>
        <w:rPr>
          <w:rFonts w:eastAsiaTheme="minorEastAsia"/>
        </w:rPr>
      </w:pPr>
      <w:bookmarkStart w:id="74" w:name="_Toc178846310"/>
      <w:r w:rsidRPr="00655FC7">
        <w:rPr>
          <w:rFonts w:eastAsiaTheme="minorEastAsia"/>
        </w:rPr>
        <w:t xml:space="preserve">Tabela </w:t>
      </w:r>
      <w:r w:rsidR="00E833A9">
        <w:rPr>
          <w:rFonts w:eastAsiaTheme="minorEastAsia"/>
        </w:rPr>
        <w:fldChar w:fldCharType="begin"/>
      </w:r>
      <w:r w:rsidR="00E833A9">
        <w:rPr>
          <w:rFonts w:eastAsiaTheme="minorEastAsia"/>
        </w:rPr>
        <w:instrText xml:space="preserve"> SEQ Tabela \* ARABIC </w:instrText>
      </w:r>
      <w:r w:rsidR="00E833A9">
        <w:rPr>
          <w:rFonts w:eastAsiaTheme="minorEastAsia"/>
        </w:rPr>
        <w:fldChar w:fldCharType="separate"/>
      </w:r>
      <w:r w:rsidR="00A654D8">
        <w:rPr>
          <w:rFonts w:eastAsiaTheme="minorEastAsia"/>
          <w:noProof/>
        </w:rPr>
        <w:t>4</w:t>
      </w:r>
      <w:r w:rsidR="00E833A9">
        <w:rPr>
          <w:rFonts w:eastAsiaTheme="minorEastAsia"/>
        </w:rPr>
        <w:fldChar w:fldCharType="end"/>
      </w:r>
      <w:r w:rsidRPr="00655FC7">
        <w:rPr>
          <w:rFonts w:eastAsiaTheme="minorEastAsia"/>
        </w:rPr>
        <w:t>. Liczba ludności miasta w latach 2013-2022.</w:t>
      </w:r>
      <w:bookmarkEnd w:id="74"/>
    </w:p>
    <w:tbl>
      <w:tblPr>
        <w:tblStyle w:val="Tabelalisty1jasnaakcent1"/>
        <w:tblpPr w:leftFromText="141" w:rightFromText="141" w:vertAnchor="text" w:tblpXSpec="center" w:tblpY="1"/>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3"/>
        <w:gridCol w:w="793"/>
        <w:gridCol w:w="794"/>
        <w:gridCol w:w="794"/>
        <w:gridCol w:w="794"/>
        <w:gridCol w:w="794"/>
        <w:gridCol w:w="794"/>
        <w:gridCol w:w="794"/>
        <w:gridCol w:w="794"/>
        <w:gridCol w:w="794"/>
        <w:gridCol w:w="794"/>
      </w:tblGrid>
      <w:tr w:rsidR="00D155AA" w:rsidRPr="00655FC7" w14:paraId="0FE1E64C" w14:textId="77777777" w:rsidTr="00827748">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1133" w:type="dxa"/>
            <w:shd w:val="clear" w:color="auto" w:fill="638A29" w:themeFill="accent1"/>
            <w:noWrap/>
            <w:vAlign w:val="center"/>
            <w:hideMark/>
          </w:tcPr>
          <w:p w14:paraId="5D635D44" w14:textId="77777777" w:rsidR="00D155AA" w:rsidRPr="00655FC7" w:rsidRDefault="00D155AA" w:rsidP="00827748">
            <w:pPr>
              <w:ind w:firstLine="0"/>
              <w:jc w:val="center"/>
              <w:rPr>
                <w:rFonts w:eastAsia="Times New Roman" w:cstheme="minorHAnsi"/>
                <w:b w:val="0"/>
                <w:color w:val="000000"/>
                <w:sz w:val="18"/>
                <w:szCs w:val="16"/>
                <w:lang w:eastAsia="pl-PL"/>
              </w:rPr>
            </w:pPr>
            <w:r w:rsidRPr="00655FC7">
              <w:rPr>
                <w:rFonts w:eastAsia="Times New Roman" w:cstheme="minorHAnsi"/>
                <w:color w:val="000000"/>
                <w:sz w:val="18"/>
                <w:szCs w:val="16"/>
                <w:lang w:eastAsia="pl-PL"/>
              </w:rPr>
              <w:t>Rok</w:t>
            </w:r>
          </w:p>
        </w:tc>
        <w:tc>
          <w:tcPr>
            <w:tcW w:w="793" w:type="dxa"/>
            <w:shd w:val="clear" w:color="auto" w:fill="638A29" w:themeFill="accent1"/>
            <w:noWrap/>
            <w:vAlign w:val="center"/>
            <w:hideMark/>
          </w:tcPr>
          <w:p w14:paraId="47FDE620"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18"/>
                <w:szCs w:val="16"/>
                <w:lang w:eastAsia="pl-PL"/>
              </w:rPr>
            </w:pPr>
            <w:r w:rsidRPr="00655FC7">
              <w:rPr>
                <w:rFonts w:eastAsia="Times New Roman" w:cstheme="minorHAnsi"/>
                <w:color w:val="000000"/>
                <w:sz w:val="18"/>
                <w:szCs w:val="16"/>
                <w:lang w:eastAsia="pl-PL"/>
              </w:rPr>
              <w:t>2013</w:t>
            </w:r>
          </w:p>
        </w:tc>
        <w:tc>
          <w:tcPr>
            <w:tcW w:w="794" w:type="dxa"/>
            <w:shd w:val="clear" w:color="auto" w:fill="638A29" w:themeFill="accent1"/>
            <w:noWrap/>
            <w:vAlign w:val="center"/>
            <w:hideMark/>
          </w:tcPr>
          <w:p w14:paraId="72722D18"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18"/>
                <w:szCs w:val="16"/>
                <w:lang w:eastAsia="pl-PL"/>
              </w:rPr>
            </w:pPr>
            <w:r w:rsidRPr="00655FC7">
              <w:rPr>
                <w:rFonts w:eastAsia="Times New Roman" w:cstheme="minorHAnsi"/>
                <w:color w:val="000000"/>
                <w:sz w:val="18"/>
                <w:szCs w:val="16"/>
                <w:lang w:eastAsia="pl-PL"/>
              </w:rPr>
              <w:t>2014</w:t>
            </w:r>
          </w:p>
        </w:tc>
        <w:tc>
          <w:tcPr>
            <w:tcW w:w="794" w:type="dxa"/>
            <w:shd w:val="clear" w:color="auto" w:fill="638A29" w:themeFill="accent1"/>
            <w:noWrap/>
            <w:vAlign w:val="center"/>
            <w:hideMark/>
          </w:tcPr>
          <w:p w14:paraId="2138D8E6"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18"/>
                <w:szCs w:val="16"/>
                <w:lang w:eastAsia="pl-PL"/>
              </w:rPr>
            </w:pPr>
            <w:r w:rsidRPr="00655FC7">
              <w:rPr>
                <w:rFonts w:eastAsia="Times New Roman" w:cstheme="minorHAnsi"/>
                <w:color w:val="000000"/>
                <w:sz w:val="18"/>
                <w:szCs w:val="16"/>
                <w:lang w:eastAsia="pl-PL"/>
              </w:rPr>
              <w:t>2015</w:t>
            </w:r>
          </w:p>
        </w:tc>
        <w:tc>
          <w:tcPr>
            <w:tcW w:w="794" w:type="dxa"/>
            <w:shd w:val="clear" w:color="auto" w:fill="638A29" w:themeFill="accent1"/>
            <w:noWrap/>
            <w:vAlign w:val="center"/>
            <w:hideMark/>
          </w:tcPr>
          <w:p w14:paraId="1CE5A7AE"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18"/>
                <w:szCs w:val="16"/>
                <w:lang w:eastAsia="pl-PL"/>
              </w:rPr>
            </w:pPr>
            <w:r w:rsidRPr="00655FC7">
              <w:rPr>
                <w:rFonts w:eastAsia="Times New Roman" w:cstheme="minorHAnsi"/>
                <w:color w:val="000000"/>
                <w:sz w:val="18"/>
                <w:szCs w:val="16"/>
                <w:lang w:eastAsia="pl-PL"/>
              </w:rPr>
              <w:t>2016</w:t>
            </w:r>
          </w:p>
        </w:tc>
        <w:tc>
          <w:tcPr>
            <w:tcW w:w="794" w:type="dxa"/>
            <w:shd w:val="clear" w:color="auto" w:fill="638A29" w:themeFill="accent1"/>
            <w:noWrap/>
            <w:vAlign w:val="center"/>
            <w:hideMark/>
          </w:tcPr>
          <w:p w14:paraId="315E7390"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18"/>
                <w:szCs w:val="16"/>
                <w:lang w:eastAsia="pl-PL"/>
              </w:rPr>
            </w:pPr>
            <w:r w:rsidRPr="00655FC7">
              <w:rPr>
                <w:rFonts w:eastAsia="Times New Roman" w:cstheme="minorHAnsi"/>
                <w:color w:val="000000"/>
                <w:sz w:val="18"/>
                <w:szCs w:val="16"/>
                <w:lang w:eastAsia="pl-PL"/>
              </w:rPr>
              <w:t>2017</w:t>
            </w:r>
          </w:p>
        </w:tc>
        <w:tc>
          <w:tcPr>
            <w:tcW w:w="794" w:type="dxa"/>
            <w:shd w:val="clear" w:color="auto" w:fill="638A29" w:themeFill="accent1"/>
            <w:noWrap/>
            <w:vAlign w:val="center"/>
            <w:hideMark/>
          </w:tcPr>
          <w:p w14:paraId="0F841B61"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18"/>
                <w:szCs w:val="16"/>
                <w:lang w:eastAsia="pl-PL"/>
              </w:rPr>
            </w:pPr>
            <w:r w:rsidRPr="00655FC7">
              <w:rPr>
                <w:rFonts w:eastAsia="Times New Roman" w:cstheme="minorHAnsi"/>
                <w:color w:val="000000"/>
                <w:sz w:val="18"/>
                <w:szCs w:val="16"/>
                <w:lang w:eastAsia="pl-PL"/>
              </w:rPr>
              <w:t>2018</w:t>
            </w:r>
          </w:p>
        </w:tc>
        <w:tc>
          <w:tcPr>
            <w:tcW w:w="794" w:type="dxa"/>
            <w:shd w:val="clear" w:color="auto" w:fill="638A29" w:themeFill="accent1"/>
            <w:noWrap/>
            <w:vAlign w:val="center"/>
            <w:hideMark/>
          </w:tcPr>
          <w:p w14:paraId="5A1B1754"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18"/>
                <w:szCs w:val="16"/>
                <w:lang w:eastAsia="pl-PL"/>
              </w:rPr>
            </w:pPr>
            <w:r w:rsidRPr="00655FC7">
              <w:rPr>
                <w:rFonts w:eastAsia="Times New Roman" w:cstheme="minorHAnsi"/>
                <w:color w:val="000000"/>
                <w:sz w:val="18"/>
                <w:szCs w:val="16"/>
                <w:lang w:eastAsia="pl-PL"/>
              </w:rPr>
              <w:t>2019</w:t>
            </w:r>
          </w:p>
        </w:tc>
        <w:tc>
          <w:tcPr>
            <w:tcW w:w="794" w:type="dxa"/>
            <w:shd w:val="clear" w:color="auto" w:fill="638A29" w:themeFill="accent1"/>
            <w:noWrap/>
            <w:vAlign w:val="center"/>
            <w:hideMark/>
          </w:tcPr>
          <w:p w14:paraId="5C5AC91B"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18"/>
                <w:szCs w:val="16"/>
                <w:lang w:eastAsia="pl-PL"/>
              </w:rPr>
            </w:pPr>
            <w:r w:rsidRPr="00655FC7">
              <w:rPr>
                <w:rFonts w:eastAsia="Times New Roman" w:cstheme="minorHAnsi"/>
                <w:color w:val="000000"/>
                <w:sz w:val="18"/>
                <w:szCs w:val="16"/>
                <w:lang w:eastAsia="pl-PL"/>
              </w:rPr>
              <w:t>2020</w:t>
            </w:r>
          </w:p>
        </w:tc>
        <w:tc>
          <w:tcPr>
            <w:tcW w:w="794" w:type="dxa"/>
            <w:shd w:val="clear" w:color="auto" w:fill="638A29" w:themeFill="accent1"/>
            <w:noWrap/>
            <w:vAlign w:val="center"/>
            <w:hideMark/>
          </w:tcPr>
          <w:p w14:paraId="21E1F79D"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18"/>
                <w:szCs w:val="16"/>
                <w:lang w:eastAsia="pl-PL"/>
              </w:rPr>
            </w:pPr>
            <w:r w:rsidRPr="00655FC7">
              <w:rPr>
                <w:rFonts w:eastAsia="Times New Roman" w:cstheme="minorHAnsi"/>
                <w:color w:val="000000"/>
                <w:sz w:val="18"/>
                <w:szCs w:val="16"/>
                <w:lang w:eastAsia="pl-PL"/>
              </w:rPr>
              <w:t>202</w:t>
            </w:r>
            <w:r w:rsidRPr="00655FC7">
              <w:rPr>
                <w:rFonts w:eastAsia="Times New Roman" w:cstheme="minorHAnsi"/>
                <w:bCs w:val="0"/>
                <w:color w:val="000000"/>
                <w:sz w:val="18"/>
                <w:szCs w:val="16"/>
                <w:lang w:eastAsia="pl-PL"/>
              </w:rPr>
              <w:t>1</w:t>
            </w:r>
          </w:p>
        </w:tc>
        <w:tc>
          <w:tcPr>
            <w:tcW w:w="794" w:type="dxa"/>
            <w:shd w:val="clear" w:color="auto" w:fill="638A29" w:themeFill="accent1"/>
            <w:vAlign w:val="center"/>
          </w:tcPr>
          <w:p w14:paraId="74E4FD9A"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Cs w:val="0"/>
                <w:color w:val="000000"/>
                <w:sz w:val="18"/>
                <w:szCs w:val="16"/>
                <w:lang w:eastAsia="pl-PL"/>
              </w:rPr>
            </w:pPr>
            <w:r w:rsidRPr="00655FC7">
              <w:rPr>
                <w:rFonts w:eastAsia="Times New Roman" w:cstheme="minorHAnsi"/>
                <w:color w:val="000000"/>
                <w:sz w:val="18"/>
                <w:szCs w:val="16"/>
                <w:lang w:eastAsia="pl-PL"/>
              </w:rPr>
              <w:t>2022</w:t>
            </w:r>
          </w:p>
        </w:tc>
      </w:tr>
      <w:tr w:rsidR="00D155AA" w:rsidRPr="00655FC7" w14:paraId="0DF8394B" w14:textId="77777777" w:rsidTr="00827748">
        <w:trPr>
          <w:cnfStyle w:val="000000100000" w:firstRow="0" w:lastRow="0" w:firstColumn="0" w:lastColumn="0" w:oddVBand="0" w:evenVBand="0" w:oddHBand="1" w:evenHBand="0" w:firstRowFirstColumn="0" w:firstRowLastColumn="0" w:lastRowFirstColumn="0" w:lastRowLastColumn="0"/>
          <w:trHeight w:val="1062"/>
        </w:trPr>
        <w:tc>
          <w:tcPr>
            <w:cnfStyle w:val="001000000000" w:firstRow="0" w:lastRow="0" w:firstColumn="1" w:lastColumn="0" w:oddVBand="0" w:evenVBand="0" w:oddHBand="0" w:evenHBand="0" w:firstRowFirstColumn="0" w:firstRowLastColumn="0" w:lastRowFirstColumn="0" w:lastRowLastColumn="0"/>
            <w:tcW w:w="1133" w:type="dxa"/>
            <w:noWrap/>
            <w:vAlign w:val="center"/>
            <w:hideMark/>
          </w:tcPr>
          <w:p w14:paraId="684CB412" w14:textId="77777777" w:rsidR="00D155AA" w:rsidRPr="00655FC7" w:rsidRDefault="00D155AA" w:rsidP="00827748">
            <w:pPr>
              <w:ind w:firstLine="0"/>
              <w:jc w:val="center"/>
              <w:rPr>
                <w:rFonts w:eastAsia="Times New Roman" w:cstheme="minorHAnsi"/>
                <w:b w:val="0"/>
                <w:color w:val="000000"/>
                <w:sz w:val="18"/>
                <w:szCs w:val="16"/>
                <w:lang w:eastAsia="pl-PL"/>
              </w:rPr>
            </w:pPr>
            <w:r w:rsidRPr="00655FC7">
              <w:rPr>
                <w:rFonts w:eastAsia="Times New Roman" w:cstheme="minorHAnsi"/>
                <w:b w:val="0"/>
                <w:color w:val="000000"/>
                <w:sz w:val="18"/>
                <w:szCs w:val="16"/>
                <w:lang w:eastAsia="pl-PL"/>
              </w:rPr>
              <w:t>Liczba ludności Miasta Tarnogród</w:t>
            </w:r>
          </w:p>
        </w:tc>
        <w:tc>
          <w:tcPr>
            <w:tcW w:w="793" w:type="dxa"/>
            <w:noWrap/>
            <w:vAlign w:val="center"/>
          </w:tcPr>
          <w:p w14:paraId="61A4F4CC"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6"/>
                <w:lang w:eastAsia="pl-PL"/>
              </w:rPr>
            </w:pPr>
            <w:r w:rsidRPr="00655FC7">
              <w:rPr>
                <w:sz w:val="18"/>
                <w:szCs w:val="16"/>
              </w:rPr>
              <w:t>3 464</w:t>
            </w:r>
          </w:p>
        </w:tc>
        <w:tc>
          <w:tcPr>
            <w:tcW w:w="794" w:type="dxa"/>
            <w:noWrap/>
            <w:vAlign w:val="center"/>
          </w:tcPr>
          <w:p w14:paraId="10502348"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6"/>
                <w:lang w:eastAsia="pl-PL"/>
              </w:rPr>
            </w:pPr>
            <w:r w:rsidRPr="00655FC7">
              <w:rPr>
                <w:sz w:val="18"/>
                <w:szCs w:val="16"/>
              </w:rPr>
              <w:t>3 457</w:t>
            </w:r>
          </w:p>
        </w:tc>
        <w:tc>
          <w:tcPr>
            <w:tcW w:w="794" w:type="dxa"/>
            <w:noWrap/>
            <w:vAlign w:val="center"/>
          </w:tcPr>
          <w:p w14:paraId="6D664D95"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6"/>
                <w:lang w:eastAsia="pl-PL"/>
              </w:rPr>
            </w:pPr>
            <w:r w:rsidRPr="00655FC7">
              <w:rPr>
                <w:sz w:val="18"/>
                <w:szCs w:val="16"/>
              </w:rPr>
              <w:t>3 438</w:t>
            </w:r>
          </w:p>
        </w:tc>
        <w:tc>
          <w:tcPr>
            <w:tcW w:w="794" w:type="dxa"/>
            <w:noWrap/>
            <w:vAlign w:val="center"/>
          </w:tcPr>
          <w:p w14:paraId="08BB3176"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6"/>
                <w:lang w:eastAsia="pl-PL"/>
              </w:rPr>
            </w:pPr>
            <w:r w:rsidRPr="00655FC7">
              <w:rPr>
                <w:sz w:val="18"/>
                <w:szCs w:val="16"/>
              </w:rPr>
              <w:t>3 406</w:t>
            </w:r>
          </w:p>
        </w:tc>
        <w:tc>
          <w:tcPr>
            <w:tcW w:w="794" w:type="dxa"/>
            <w:noWrap/>
            <w:vAlign w:val="center"/>
          </w:tcPr>
          <w:p w14:paraId="106537BD"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6"/>
                <w:lang w:eastAsia="pl-PL"/>
              </w:rPr>
            </w:pPr>
            <w:r w:rsidRPr="00655FC7">
              <w:rPr>
                <w:sz w:val="18"/>
                <w:szCs w:val="16"/>
              </w:rPr>
              <w:t>3 395</w:t>
            </w:r>
          </w:p>
        </w:tc>
        <w:tc>
          <w:tcPr>
            <w:tcW w:w="794" w:type="dxa"/>
            <w:noWrap/>
            <w:vAlign w:val="center"/>
          </w:tcPr>
          <w:p w14:paraId="16180629"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6"/>
                <w:lang w:eastAsia="pl-PL"/>
              </w:rPr>
            </w:pPr>
            <w:r w:rsidRPr="00655FC7">
              <w:rPr>
                <w:sz w:val="18"/>
                <w:szCs w:val="16"/>
              </w:rPr>
              <w:t>3 351</w:t>
            </w:r>
          </w:p>
        </w:tc>
        <w:tc>
          <w:tcPr>
            <w:tcW w:w="794" w:type="dxa"/>
            <w:noWrap/>
            <w:vAlign w:val="center"/>
          </w:tcPr>
          <w:p w14:paraId="32B104B9"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6"/>
                <w:lang w:eastAsia="pl-PL"/>
              </w:rPr>
            </w:pPr>
            <w:r w:rsidRPr="00655FC7">
              <w:rPr>
                <w:sz w:val="18"/>
                <w:szCs w:val="16"/>
              </w:rPr>
              <w:t>3 308</w:t>
            </w:r>
          </w:p>
        </w:tc>
        <w:tc>
          <w:tcPr>
            <w:tcW w:w="794" w:type="dxa"/>
            <w:noWrap/>
            <w:vAlign w:val="center"/>
          </w:tcPr>
          <w:p w14:paraId="4C0EFF07"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6"/>
                <w:lang w:eastAsia="pl-PL"/>
              </w:rPr>
            </w:pPr>
            <w:r w:rsidRPr="00655FC7">
              <w:rPr>
                <w:sz w:val="18"/>
                <w:szCs w:val="16"/>
              </w:rPr>
              <w:t>3 220</w:t>
            </w:r>
          </w:p>
        </w:tc>
        <w:tc>
          <w:tcPr>
            <w:tcW w:w="794" w:type="dxa"/>
            <w:noWrap/>
            <w:vAlign w:val="center"/>
          </w:tcPr>
          <w:p w14:paraId="765A96DE"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6"/>
                <w:lang w:eastAsia="pl-PL"/>
              </w:rPr>
            </w:pPr>
            <w:r w:rsidRPr="00655FC7">
              <w:rPr>
                <w:sz w:val="18"/>
                <w:szCs w:val="16"/>
              </w:rPr>
              <w:t>3 184</w:t>
            </w:r>
          </w:p>
        </w:tc>
        <w:tc>
          <w:tcPr>
            <w:tcW w:w="794" w:type="dxa"/>
            <w:vAlign w:val="center"/>
          </w:tcPr>
          <w:p w14:paraId="0C5AAF00"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6"/>
                <w:lang w:eastAsia="pl-PL"/>
              </w:rPr>
            </w:pPr>
            <w:r w:rsidRPr="00655FC7">
              <w:rPr>
                <w:sz w:val="18"/>
                <w:szCs w:val="16"/>
              </w:rPr>
              <w:t>3 161</w:t>
            </w:r>
          </w:p>
        </w:tc>
      </w:tr>
      <w:tr w:rsidR="00D155AA" w:rsidRPr="00655FC7" w14:paraId="5C8A2795" w14:textId="77777777" w:rsidTr="00827748">
        <w:trPr>
          <w:trHeight w:val="1062"/>
        </w:trPr>
        <w:tc>
          <w:tcPr>
            <w:cnfStyle w:val="001000000000" w:firstRow="0" w:lastRow="0" w:firstColumn="1" w:lastColumn="0" w:oddVBand="0" w:evenVBand="0" w:oddHBand="0" w:evenHBand="0" w:firstRowFirstColumn="0" w:firstRowLastColumn="0" w:lastRowFirstColumn="0" w:lastRowLastColumn="0"/>
            <w:tcW w:w="1133" w:type="dxa"/>
            <w:noWrap/>
            <w:vAlign w:val="center"/>
          </w:tcPr>
          <w:p w14:paraId="06BA9EC2" w14:textId="77777777" w:rsidR="00D155AA" w:rsidRPr="00655FC7" w:rsidRDefault="00D155AA" w:rsidP="00827748">
            <w:pPr>
              <w:ind w:firstLine="0"/>
              <w:jc w:val="center"/>
              <w:rPr>
                <w:rFonts w:eastAsia="Times New Roman" w:cstheme="minorHAnsi"/>
                <w:b w:val="0"/>
                <w:color w:val="000000"/>
                <w:sz w:val="18"/>
                <w:szCs w:val="16"/>
                <w:lang w:eastAsia="pl-PL"/>
              </w:rPr>
            </w:pPr>
            <w:r w:rsidRPr="00655FC7">
              <w:rPr>
                <w:rFonts w:eastAsia="Times New Roman" w:cstheme="minorHAnsi"/>
                <w:b w:val="0"/>
                <w:color w:val="000000"/>
                <w:sz w:val="18"/>
                <w:szCs w:val="16"/>
                <w:lang w:eastAsia="pl-PL"/>
              </w:rPr>
              <w:t>Liczba ludności Gminy Tarnogród</w:t>
            </w:r>
          </w:p>
        </w:tc>
        <w:tc>
          <w:tcPr>
            <w:tcW w:w="793" w:type="dxa"/>
            <w:noWrap/>
            <w:vAlign w:val="center"/>
          </w:tcPr>
          <w:p w14:paraId="406927E8"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333333"/>
                <w:sz w:val="18"/>
                <w:szCs w:val="16"/>
              </w:rPr>
            </w:pPr>
            <w:r w:rsidRPr="00655FC7">
              <w:rPr>
                <w:sz w:val="18"/>
                <w:szCs w:val="16"/>
              </w:rPr>
              <w:t>6 892</w:t>
            </w:r>
          </w:p>
        </w:tc>
        <w:tc>
          <w:tcPr>
            <w:tcW w:w="794" w:type="dxa"/>
            <w:noWrap/>
            <w:vAlign w:val="center"/>
          </w:tcPr>
          <w:p w14:paraId="1D2CC84C"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333333"/>
                <w:sz w:val="18"/>
                <w:szCs w:val="16"/>
              </w:rPr>
            </w:pPr>
            <w:r w:rsidRPr="00655FC7">
              <w:rPr>
                <w:sz w:val="18"/>
                <w:szCs w:val="16"/>
              </w:rPr>
              <w:t>6 857</w:t>
            </w:r>
          </w:p>
        </w:tc>
        <w:tc>
          <w:tcPr>
            <w:tcW w:w="794" w:type="dxa"/>
            <w:noWrap/>
            <w:vAlign w:val="center"/>
          </w:tcPr>
          <w:p w14:paraId="5A0CDD5B"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333333"/>
                <w:sz w:val="18"/>
                <w:szCs w:val="16"/>
              </w:rPr>
            </w:pPr>
            <w:r w:rsidRPr="00655FC7">
              <w:rPr>
                <w:sz w:val="18"/>
                <w:szCs w:val="16"/>
              </w:rPr>
              <w:t>6 829</w:t>
            </w:r>
          </w:p>
        </w:tc>
        <w:tc>
          <w:tcPr>
            <w:tcW w:w="794" w:type="dxa"/>
            <w:noWrap/>
            <w:vAlign w:val="center"/>
          </w:tcPr>
          <w:p w14:paraId="3A94CC6B"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333333"/>
                <w:sz w:val="18"/>
                <w:szCs w:val="16"/>
              </w:rPr>
            </w:pPr>
            <w:r w:rsidRPr="00655FC7">
              <w:rPr>
                <w:sz w:val="18"/>
                <w:szCs w:val="16"/>
              </w:rPr>
              <w:t>6 776</w:t>
            </w:r>
          </w:p>
        </w:tc>
        <w:tc>
          <w:tcPr>
            <w:tcW w:w="794" w:type="dxa"/>
            <w:noWrap/>
            <w:vAlign w:val="center"/>
          </w:tcPr>
          <w:p w14:paraId="7972EEF9"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333333"/>
                <w:sz w:val="18"/>
                <w:szCs w:val="16"/>
              </w:rPr>
            </w:pPr>
            <w:r w:rsidRPr="00655FC7">
              <w:rPr>
                <w:sz w:val="18"/>
                <w:szCs w:val="16"/>
              </w:rPr>
              <w:t>6 744</w:t>
            </w:r>
          </w:p>
        </w:tc>
        <w:tc>
          <w:tcPr>
            <w:tcW w:w="794" w:type="dxa"/>
            <w:noWrap/>
            <w:vAlign w:val="center"/>
          </w:tcPr>
          <w:p w14:paraId="4946B8F2"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333333"/>
                <w:sz w:val="18"/>
                <w:szCs w:val="16"/>
              </w:rPr>
            </w:pPr>
            <w:r w:rsidRPr="00655FC7">
              <w:rPr>
                <w:sz w:val="18"/>
                <w:szCs w:val="16"/>
              </w:rPr>
              <w:t>6 700</w:t>
            </w:r>
          </w:p>
        </w:tc>
        <w:tc>
          <w:tcPr>
            <w:tcW w:w="794" w:type="dxa"/>
            <w:noWrap/>
            <w:vAlign w:val="center"/>
          </w:tcPr>
          <w:p w14:paraId="39320ABC"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333333"/>
                <w:sz w:val="18"/>
                <w:szCs w:val="16"/>
              </w:rPr>
            </w:pPr>
            <w:r w:rsidRPr="00655FC7">
              <w:rPr>
                <w:sz w:val="18"/>
                <w:szCs w:val="16"/>
              </w:rPr>
              <w:t>6 655</w:t>
            </w:r>
          </w:p>
        </w:tc>
        <w:tc>
          <w:tcPr>
            <w:tcW w:w="794" w:type="dxa"/>
            <w:noWrap/>
            <w:vAlign w:val="center"/>
          </w:tcPr>
          <w:p w14:paraId="4FD29A93"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333333"/>
                <w:sz w:val="18"/>
                <w:szCs w:val="16"/>
              </w:rPr>
            </w:pPr>
            <w:r w:rsidRPr="00655FC7">
              <w:rPr>
                <w:sz w:val="18"/>
                <w:szCs w:val="16"/>
              </w:rPr>
              <w:t>6 369</w:t>
            </w:r>
          </w:p>
        </w:tc>
        <w:tc>
          <w:tcPr>
            <w:tcW w:w="794" w:type="dxa"/>
            <w:noWrap/>
            <w:vAlign w:val="center"/>
          </w:tcPr>
          <w:p w14:paraId="5D80CFCB"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333333"/>
                <w:sz w:val="18"/>
                <w:szCs w:val="16"/>
              </w:rPr>
            </w:pPr>
            <w:r w:rsidRPr="00655FC7">
              <w:rPr>
                <w:sz w:val="18"/>
                <w:szCs w:val="16"/>
              </w:rPr>
              <w:t>6 316</w:t>
            </w:r>
          </w:p>
        </w:tc>
        <w:tc>
          <w:tcPr>
            <w:tcW w:w="794" w:type="dxa"/>
            <w:vAlign w:val="center"/>
          </w:tcPr>
          <w:p w14:paraId="31B08925"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333333"/>
                <w:sz w:val="18"/>
                <w:szCs w:val="16"/>
              </w:rPr>
            </w:pPr>
            <w:r w:rsidRPr="00655FC7">
              <w:rPr>
                <w:sz w:val="18"/>
                <w:szCs w:val="16"/>
              </w:rPr>
              <w:t>6 273</w:t>
            </w:r>
          </w:p>
        </w:tc>
      </w:tr>
    </w:tbl>
    <w:p w14:paraId="3B1D627C" w14:textId="77777777" w:rsidR="00D155AA" w:rsidRPr="00655FC7" w:rsidRDefault="00D155AA" w:rsidP="00D155AA">
      <w:pPr>
        <w:spacing w:line="240" w:lineRule="auto"/>
        <w:jc w:val="center"/>
        <w:rPr>
          <w:rFonts w:eastAsiaTheme="minorEastAsia" w:cstheme="minorHAnsi"/>
          <w:color w:val="FF0000"/>
          <w:sz w:val="20"/>
          <w:szCs w:val="18"/>
          <w:lang w:eastAsia="pl-PL"/>
        </w:rPr>
      </w:pPr>
      <w:r w:rsidRPr="00655FC7">
        <w:rPr>
          <w:rFonts w:eastAsiaTheme="minorEastAsia" w:cstheme="minorHAnsi"/>
          <w:sz w:val="20"/>
          <w:szCs w:val="18"/>
          <w:lang w:eastAsia="pl-PL"/>
        </w:rPr>
        <w:t>źródło: GUS, stan na 31.</w:t>
      </w:r>
      <w:r w:rsidRPr="00655FC7">
        <w:rPr>
          <w:rFonts w:eastAsiaTheme="minorEastAsia" w:cstheme="minorHAnsi"/>
          <w:color w:val="auto"/>
          <w:sz w:val="20"/>
          <w:szCs w:val="18"/>
          <w:lang w:eastAsia="pl-PL"/>
        </w:rPr>
        <w:t>12.2022 r.</w:t>
      </w:r>
    </w:p>
    <w:p w14:paraId="71580357" w14:textId="77777777" w:rsidR="00D155AA" w:rsidRPr="00655FC7" w:rsidRDefault="00D155AA" w:rsidP="00D155AA">
      <w:pPr>
        <w:ind w:firstLine="0"/>
        <w:rPr>
          <w:rFonts w:cstheme="minorHAnsi"/>
        </w:rPr>
      </w:pPr>
    </w:p>
    <w:p w14:paraId="02858233" w14:textId="77777777" w:rsidR="00D155AA" w:rsidRPr="00655FC7" w:rsidRDefault="00D155AA" w:rsidP="00D155AA">
      <w:pPr>
        <w:ind w:firstLine="0"/>
        <w:rPr>
          <w:rFonts w:cstheme="minorHAnsi"/>
          <w:sz w:val="20"/>
        </w:rPr>
      </w:pPr>
      <w:r w:rsidRPr="00655FC7">
        <w:rPr>
          <w:noProof/>
        </w:rPr>
        <w:lastRenderedPageBreak/>
        <w:drawing>
          <wp:inline distT="0" distB="0" distL="0" distR="0" wp14:anchorId="24382E76" wp14:editId="1A5B1ECA">
            <wp:extent cx="5760000" cy="3600000"/>
            <wp:effectExtent l="0" t="0" r="12700" b="635"/>
            <wp:docPr id="382715812" name="Wykres 1">
              <a:extLst xmlns:a="http://schemas.openxmlformats.org/drawingml/2006/main">
                <a:ext uri="{FF2B5EF4-FFF2-40B4-BE49-F238E27FC236}">
                  <a16:creationId xmlns:a16="http://schemas.microsoft.com/office/drawing/2014/main" id="{00000000-0008-0000-00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6E09107" w14:textId="411B403A" w:rsidR="00D155AA" w:rsidRPr="00655FC7" w:rsidRDefault="00D155AA" w:rsidP="00D155AA">
      <w:pPr>
        <w:pStyle w:val="Stylrysunek"/>
      </w:pPr>
      <w:bookmarkStart w:id="75" w:name="_Toc178846348"/>
      <w:r w:rsidRPr="00655FC7">
        <w:t xml:space="preserve">Rysunek </w:t>
      </w:r>
      <w:r w:rsidR="00EA4C85">
        <w:fldChar w:fldCharType="begin"/>
      </w:r>
      <w:r w:rsidR="00EA4C85">
        <w:instrText xml:space="preserve"> SEQ Rysunek \* ARABIC </w:instrText>
      </w:r>
      <w:r w:rsidR="00EA4C85">
        <w:fldChar w:fldCharType="separate"/>
      </w:r>
      <w:r w:rsidR="00A654D8">
        <w:rPr>
          <w:noProof/>
        </w:rPr>
        <w:t>6</w:t>
      </w:r>
      <w:r w:rsidR="00EA4C85">
        <w:rPr>
          <w:noProof/>
        </w:rPr>
        <w:fldChar w:fldCharType="end"/>
      </w:r>
      <w:r w:rsidRPr="00655FC7">
        <w:t>. Ilość ludności wg płci.</w:t>
      </w:r>
      <w:bookmarkEnd w:id="75"/>
    </w:p>
    <w:p w14:paraId="0028A3B9" w14:textId="77777777" w:rsidR="00D155AA" w:rsidRPr="00655FC7" w:rsidRDefault="00D155AA" w:rsidP="00D155AA">
      <w:pPr>
        <w:pStyle w:val="Cytat"/>
      </w:pPr>
      <w:r w:rsidRPr="00655FC7">
        <w:t>źródło: BDL GUS, opracowanie własne</w:t>
      </w:r>
    </w:p>
    <w:p w14:paraId="321DA316" w14:textId="77777777" w:rsidR="00D155AA" w:rsidRPr="00655FC7" w:rsidRDefault="00D155AA" w:rsidP="00D155AA">
      <w:pPr>
        <w:rPr>
          <w:rFonts w:cstheme="minorHAnsi"/>
        </w:rPr>
      </w:pPr>
    </w:p>
    <w:p w14:paraId="36064348" w14:textId="77777777" w:rsidR="00D155AA" w:rsidRPr="00655FC7" w:rsidRDefault="00D155AA" w:rsidP="00D155AA">
      <w:pPr>
        <w:tabs>
          <w:tab w:val="left" w:pos="3119"/>
        </w:tabs>
        <w:ind w:firstLine="0"/>
        <w:jc w:val="center"/>
        <w:rPr>
          <w:rFonts w:eastAsiaTheme="majorEastAsia" w:cstheme="minorHAnsi"/>
          <w:b/>
          <w:color w:val="auto"/>
          <w:sz w:val="20"/>
          <w:szCs w:val="20"/>
          <w:lang w:eastAsia="pl-PL"/>
        </w:rPr>
      </w:pPr>
      <w:r w:rsidRPr="00655FC7">
        <w:rPr>
          <w:noProof/>
        </w:rPr>
        <w:drawing>
          <wp:inline distT="0" distB="0" distL="0" distR="0" wp14:anchorId="34B8EE85" wp14:editId="35A33491">
            <wp:extent cx="5760000" cy="3600000"/>
            <wp:effectExtent l="0" t="0" r="12700" b="635"/>
            <wp:docPr id="897645886" name="Wykres 1">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2950038A" w14:textId="03F8A1D4" w:rsidR="00D155AA" w:rsidRPr="00655FC7" w:rsidRDefault="00D155AA" w:rsidP="00D155AA">
      <w:pPr>
        <w:pStyle w:val="Stylrysunek"/>
      </w:pPr>
      <w:bookmarkStart w:id="76" w:name="_Toc42082121"/>
      <w:bookmarkStart w:id="77" w:name="_Toc523148499"/>
      <w:bookmarkStart w:id="78" w:name="_Toc178846349"/>
      <w:r w:rsidRPr="00655FC7">
        <w:t xml:space="preserve">Rysunek </w:t>
      </w:r>
      <w:r w:rsidR="00EA4C85">
        <w:fldChar w:fldCharType="begin"/>
      </w:r>
      <w:r w:rsidR="00EA4C85">
        <w:instrText xml:space="preserve"> SEQ Rysunek \* ARABIC </w:instrText>
      </w:r>
      <w:r w:rsidR="00EA4C85">
        <w:fldChar w:fldCharType="separate"/>
      </w:r>
      <w:r w:rsidR="00A654D8">
        <w:rPr>
          <w:noProof/>
        </w:rPr>
        <w:t>7</w:t>
      </w:r>
      <w:r w:rsidR="00EA4C85">
        <w:rPr>
          <w:noProof/>
        </w:rPr>
        <w:fldChar w:fldCharType="end"/>
      </w:r>
      <w:r w:rsidRPr="00655FC7">
        <w:t>. Udział ludności wg ekonomicznych grup wieku w procencie ludności ogółem</w:t>
      </w:r>
      <w:bookmarkEnd w:id="76"/>
      <w:bookmarkEnd w:id="77"/>
      <w:r w:rsidRPr="00655FC7">
        <w:t>.</w:t>
      </w:r>
      <w:bookmarkEnd w:id="78"/>
    </w:p>
    <w:p w14:paraId="7DA48B90" w14:textId="77777777" w:rsidR="00D155AA" w:rsidRPr="00655FC7" w:rsidRDefault="00D155AA" w:rsidP="00D155AA">
      <w:pPr>
        <w:pStyle w:val="Cytat"/>
      </w:pPr>
      <w:r w:rsidRPr="00655FC7">
        <w:t>źródło: BDL GUS, opracowanie własne</w:t>
      </w:r>
    </w:p>
    <w:p w14:paraId="2C8B09A0" w14:textId="77777777" w:rsidR="00D155AA" w:rsidRPr="00655FC7" w:rsidRDefault="00D155AA" w:rsidP="00D155AA">
      <w:pPr>
        <w:tabs>
          <w:tab w:val="left" w:pos="3119"/>
        </w:tabs>
        <w:spacing w:before="40"/>
        <w:rPr>
          <w:rFonts w:cstheme="minorHAnsi"/>
          <w:color w:val="auto"/>
        </w:rPr>
      </w:pPr>
    </w:p>
    <w:p w14:paraId="6CFD11C5" w14:textId="77777777" w:rsidR="00D155AA" w:rsidRPr="00655FC7" w:rsidRDefault="00D155AA" w:rsidP="00D155AA">
      <w:pPr>
        <w:rPr>
          <w:rFonts w:cstheme="minorHAnsi"/>
        </w:rPr>
      </w:pPr>
      <w:r w:rsidRPr="00655FC7">
        <w:rPr>
          <w:rFonts w:cstheme="minorHAnsi"/>
        </w:rPr>
        <w:lastRenderedPageBreak/>
        <w:t xml:space="preserve">Utrzymanie się takiej sytuacji demograficznej spowoduje problem ze starzeniem się społeczeństwa, co będzie prowadzić do coraz większego obciążenia ekonomicznego grupy w wieku produkcyjnym. Poniżej przedstawiono prognozę zmian liczby ludności Miasta Tarnogród, z uwzględnieniem podziału na grupy ekonomiczne. Analizę oparto o </w:t>
      </w:r>
      <w:r w:rsidRPr="00655FC7">
        <w:rPr>
          <w:rFonts w:cstheme="minorHAnsi"/>
          <w:i/>
          <w:iCs/>
        </w:rPr>
        <w:t>Prognozę ludności na lata 2023-2060</w:t>
      </w:r>
      <w:r w:rsidRPr="00655FC7">
        <w:rPr>
          <w:rFonts w:cstheme="minorHAnsi"/>
        </w:rPr>
        <w:t xml:space="preserve"> Głównego Urzędu Statystycznego.</w:t>
      </w:r>
    </w:p>
    <w:p w14:paraId="439F99D1" w14:textId="77777777" w:rsidR="00D155AA" w:rsidRPr="00655FC7" w:rsidRDefault="00D155AA" w:rsidP="00D155AA">
      <w:pPr>
        <w:rPr>
          <w:rFonts w:cstheme="minorHAnsi"/>
        </w:rPr>
      </w:pPr>
    </w:p>
    <w:p w14:paraId="5CDCCC74" w14:textId="77777777" w:rsidR="00D155AA" w:rsidRPr="00655FC7" w:rsidRDefault="00D155AA" w:rsidP="00D155AA">
      <w:pPr>
        <w:tabs>
          <w:tab w:val="left" w:pos="3119"/>
        </w:tabs>
        <w:ind w:firstLine="0"/>
        <w:jc w:val="center"/>
        <w:rPr>
          <w:rFonts w:eastAsiaTheme="majorEastAsia" w:cstheme="minorHAnsi"/>
          <w:b/>
          <w:color w:val="auto"/>
          <w:sz w:val="20"/>
          <w:szCs w:val="20"/>
          <w:lang w:eastAsia="pl-PL"/>
        </w:rPr>
      </w:pPr>
      <w:r w:rsidRPr="00655FC7">
        <w:rPr>
          <w:noProof/>
        </w:rPr>
        <w:drawing>
          <wp:inline distT="0" distB="0" distL="0" distR="0" wp14:anchorId="512466C2" wp14:editId="7C86F046">
            <wp:extent cx="5760720" cy="3195955"/>
            <wp:effectExtent l="0" t="0" r="11430" b="4445"/>
            <wp:docPr id="568395517" name="Wykres 1">
              <a:extLst xmlns:a="http://schemas.openxmlformats.org/drawingml/2006/main">
                <a:ext uri="{FF2B5EF4-FFF2-40B4-BE49-F238E27FC236}">
                  <a16:creationId xmlns:a16="http://schemas.microsoft.com/office/drawing/2014/main" id="{6A5FD92E-B51E-F9AC-80A8-DF0A5A3F4A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1D9C5CB4" w14:textId="44A770D7" w:rsidR="00D155AA" w:rsidRPr="00655FC7" w:rsidRDefault="00D155AA" w:rsidP="00D155AA">
      <w:pPr>
        <w:pStyle w:val="Stylrysunek"/>
        <w:rPr>
          <w:shd w:val="clear" w:color="auto" w:fill="FDFDFD"/>
        </w:rPr>
      </w:pPr>
      <w:bookmarkStart w:id="79" w:name="_Ref43193899"/>
      <w:bookmarkStart w:id="80" w:name="_Toc178846350"/>
      <w:r w:rsidRPr="00655FC7">
        <w:t xml:space="preserve">Rysunek </w:t>
      </w:r>
      <w:r w:rsidR="00EA4C85">
        <w:fldChar w:fldCharType="begin"/>
      </w:r>
      <w:r w:rsidR="00EA4C85">
        <w:instrText xml:space="preserve"> SEQ Rysunek \* ARABIC </w:instrText>
      </w:r>
      <w:r w:rsidR="00EA4C85">
        <w:fldChar w:fldCharType="separate"/>
      </w:r>
      <w:r w:rsidR="00A654D8">
        <w:rPr>
          <w:noProof/>
        </w:rPr>
        <w:t>8</w:t>
      </w:r>
      <w:r w:rsidR="00EA4C85">
        <w:rPr>
          <w:noProof/>
        </w:rPr>
        <w:fldChar w:fldCharType="end"/>
      </w:r>
      <w:bookmarkEnd w:id="79"/>
      <w:r w:rsidRPr="00655FC7">
        <w:t xml:space="preserve">. </w:t>
      </w:r>
      <w:r w:rsidRPr="00655FC7">
        <w:rPr>
          <w:shd w:val="clear" w:color="auto" w:fill="FDFDFD"/>
        </w:rPr>
        <w:t xml:space="preserve">Prognoza </w:t>
      </w:r>
      <w:r w:rsidRPr="00655FC7">
        <w:t xml:space="preserve">udziału ludności wg ekonomicznych grup wieku w procencie ludności ogółem </w:t>
      </w:r>
      <w:r w:rsidRPr="00655FC7">
        <w:rPr>
          <w:shd w:val="clear" w:color="auto" w:fill="FDFDFD"/>
        </w:rPr>
        <w:t>ludności Miasta Tarnogród na lata 2023-2033.</w:t>
      </w:r>
      <w:bookmarkEnd w:id="80"/>
    </w:p>
    <w:p w14:paraId="129D21B6" w14:textId="77777777" w:rsidR="00D155AA" w:rsidRPr="00655FC7" w:rsidRDefault="00D155AA" w:rsidP="00D155AA">
      <w:pPr>
        <w:pStyle w:val="Cytat"/>
      </w:pPr>
      <w:r w:rsidRPr="00655FC7">
        <w:t>źródło: https://stat.gov.pl/obszary-tematyczne/ludnosc/prognoza-ludnosci/prognoza-ludnosci-na-lata-2023-2060,11,1.html; opracowanie własne</w:t>
      </w:r>
    </w:p>
    <w:p w14:paraId="3122FF10" w14:textId="77777777" w:rsidR="00D155AA" w:rsidRPr="00655FC7" w:rsidRDefault="00D155AA" w:rsidP="00D155AA">
      <w:pPr>
        <w:tabs>
          <w:tab w:val="left" w:pos="3119"/>
        </w:tabs>
        <w:jc w:val="center"/>
        <w:rPr>
          <w:rFonts w:cstheme="minorHAnsi"/>
          <w:color w:val="auto"/>
        </w:rPr>
      </w:pPr>
    </w:p>
    <w:p w14:paraId="269FC847" w14:textId="77777777" w:rsidR="00D155AA" w:rsidRPr="00655FC7" w:rsidRDefault="00D155AA" w:rsidP="00D155AA">
      <w:pPr>
        <w:rPr>
          <w:rFonts w:cstheme="minorHAnsi"/>
        </w:rPr>
      </w:pPr>
      <w:r w:rsidRPr="00655FC7">
        <w:rPr>
          <w:rFonts w:cstheme="minorHAnsi"/>
          <w:i/>
          <w:iCs/>
        </w:rPr>
        <w:t>Prognoza ludności na lata 2023-2060</w:t>
      </w:r>
      <w:r w:rsidRPr="00655FC7">
        <w:rPr>
          <w:rFonts w:cstheme="minorHAnsi"/>
        </w:rPr>
        <w:t xml:space="preserve"> Głównego Urzędu Statystycznego uwzględnia statystyki jedynie dla gmin. Tarnogród jako gmina miejsko-wiejska nie ma prowadzonych statystyk z uwzględnieniem tylko jednostki miejskiej. Z tego względu powyższe obliczenia oparto o trend dynamiki zmian ludności dla całej Gminy Tarnogród.</w:t>
      </w:r>
    </w:p>
    <w:p w14:paraId="5AD31FDC" w14:textId="77777777" w:rsidR="00D155AA" w:rsidRPr="00655FC7" w:rsidRDefault="00D155AA" w:rsidP="00D155AA">
      <w:pPr>
        <w:rPr>
          <w:rFonts w:cstheme="minorHAnsi"/>
          <w:color w:val="auto"/>
        </w:rPr>
      </w:pPr>
      <w:r w:rsidRPr="00655FC7">
        <w:rPr>
          <w:rFonts w:cstheme="minorHAnsi"/>
        </w:rPr>
        <w:t>Zgodnie z powyższym liczba osób zamieszkujących miasto wyniesie ok. 2 660 osób. Grupa osób w wieku poprodukcyjnym ma stanowić niecałe 30% ludności miasta, a więc wzrośnie o kilka punktów procentowych. Udział osób w wieku produkcyjnym nieco wzrośnie, chociaż ilościowo takich osób będzie mniej, natomiast jednocześnie spadnie liczba osób w wieku przedprodukcyjnym, co będzie wynikiem ujemnego przyrostu naturalnego.</w:t>
      </w:r>
    </w:p>
    <w:p w14:paraId="707A337B" w14:textId="77777777" w:rsidR="00D155AA" w:rsidRPr="00655FC7" w:rsidRDefault="00D155AA" w:rsidP="00D155AA">
      <w:pPr>
        <w:rPr>
          <w:rFonts w:cstheme="minorHAnsi"/>
          <w:color w:val="auto"/>
          <w:shd w:val="clear" w:color="auto" w:fill="FDFDFD"/>
        </w:rPr>
      </w:pPr>
      <w:r w:rsidRPr="00655FC7">
        <w:rPr>
          <w:rFonts w:cstheme="minorHAnsi"/>
          <w:color w:val="auto"/>
          <w:shd w:val="clear" w:color="auto" w:fill="FDFDFD"/>
        </w:rPr>
        <w:t>Taka sytuacja demograficzna może mieć wpływ na znaczne pogorszenie się sytuacji ekonomicznej miasta oraz stwarzać wyzwania z zakresu opieki senioralnej. Ponadto, osoby starsze znajdują się w grupie wrażliwej na skutki zmian klimatu m.in. fale upałów.</w:t>
      </w:r>
    </w:p>
    <w:p w14:paraId="1B15D97E" w14:textId="77777777" w:rsidR="00D155AA" w:rsidRPr="00655FC7" w:rsidRDefault="00D155AA" w:rsidP="00D155AA">
      <w:pPr>
        <w:tabs>
          <w:tab w:val="left" w:pos="3119"/>
        </w:tabs>
        <w:rPr>
          <w:rFonts w:cstheme="minorHAnsi"/>
          <w:color w:val="auto"/>
          <w:shd w:val="clear" w:color="auto" w:fill="FDFDFD"/>
        </w:rPr>
      </w:pPr>
    </w:p>
    <w:p w14:paraId="30456827" w14:textId="77777777" w:rsidR="00D155AA" w:rsidRPr="00655FC7" w:rsidRDefault="00D155AA" w:rsidP="00D155AA">
      <w:pPr>
        <w:tabs>
          <w:tab w:val="left" w:pos="3119"/>
        </w:tabs>
        <w:rPr>
          <w:rFonts w:cstheme="minorHAnsi"/>
          <w:color w:val="auto"/>
        </w:rPr>
      </w:pPr>
      <w:bookmarkStart w:id="81" w:name="_Toc43986357"/>
      <w:bookmarkStart w:id="82" w:name="_Toc44058888"/>
      <w:bookmarkStart w:id="83" w:name="_Toc43986358"/>
      <w:bookmarkStart w:id="84" w:name="_Toc44058889"/>
      <w:bookmarkStart w:id="85" w:name="_Toc43986359"/>
      <w:bookmarkStart w:id="86" w:name="_Toc44058890"/>
      <w:bookmarkEnd w:id="81"/>
      <w:bookmarkEnd w:id="82"/>
      <w:bookmarkEnd w:id="83"/>
      <w:bookmarkEnd w:id="84"/>
      <w:bookmarkEnd w:id="85"/>
      <w:bookmarkEnd w:id="86"/>
      <w:r w:rsidRPr="00655FC7">
        <w:rPr>
          <w:rFonts w:cstheme="minorHAnsi"/>
          <w:color w:val="auto"/>
        </w:rPr>
        <w:t>Warto zauważyć, że saldo migracji w latach 2013 – 2022 było ujemne (wyjątkiem był rok 2020). Biorąc pod uwagę ilość urodzeń oraz zgonów w gminie, ujemne saldo migracji przyczyniło się do spadku liczby ludności w mieście. Uwzględniając wszystkie te wskaźniki, w ostatnich 10 latach liczba ta zmniejszyła się o 244 osoby.</w:t>
      </w:r>
    </w:p>
    <w:p w14:paraId="71B96E8A" w14:textId="77777777" w:rsidR="00D155AA" w:rsidRPr="00655FC7" w:rsidRDefault="00D155AA" w:rsidP="00D155AA">
      <w:pPr>
        <w:tabs>
          <w:tab w:val="left" w:pos="3119"/>
        </w:tabs>
        <w:ind w:firstLine="0"/>
        <w:rPr>
          <w:rFonts w:cstheme="minorHAnsi"/>
          <w:color w:val="auto"/>
        </w:rPr>
      </w:pPr>
      <w:r w:rsidRPr="00655FC7">
        <w:rPr>
          <w:noProof/>
        </w:rPr>
        <w:lastRenderedPageBreak/>
        <w:drawing>
          <wp:inline distT="0" distB="0" distL="0" distR="0" wp14:anchorId="5FBC986D" wp14:editId="6130761F">
            <wp:extent cx="5759450" cy="3240000"/>
            <wp:effectExtent l="0" t="0" r="12700" b="17780"/>
            <wp:docPr id="901569536" name="Wykres 1">
              <a:extLst xmlns:a="http://schemas.openxmlformats.org/drawingml/2006/main">
                <a:ext uri="{FF2B5EF4-FFF2-40B4-BE49-F238E27FC236}">
                  <a16:creationId xmlns:a16="http://schemas.microsoft.com/office/drawing/2014/main" id="{E140D4DB-0EC2-25E7-5B38-D1DD44A5DC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1D2A42F" w14:textId="65601D2F" w:rsidR="00D155AA" w:rsidRPr="00655FC7" w:rsidRDefault="00D155AA" w:rsidP="00D155AA">
      <w:pPr>
        <w:pStyle w:val="Stylrysunek"/>
      </w:pPr>
      <w:bookmarkStart w:id="87" w:name="_Toc178846351"/>
      <w:r w:rsidRPr="00655FC7">
        <w:t xml:space="preserve">Rysunek </w:t>
      </w:r>
      <w:r w:rsidR="00EA4C85">
        <w:fldChar w:fldCharType="begin"/>
      </w:r>
      <w:r w:rsidR="00EA4C85">
        <w:instrText xml:space="preserve"> SEQ Rysunek \* ARABIC </w:instrText>
      </w:r>
      <w:r w:rsidR="00EA4C85">
        <w:fldChar w:fldCharType="separate"/>
      </w:r>
      <w:r w:rsidR="00A654D8">
        <w:rPr>
          <w:noProof/>
        </w:rPr>
        <w:t>9</w:t>
      </w:r>
      <w:r w:rsidR="00EA4C85">
        <w:rPr>
          <w:noProof/>
        </w:rPr>
        <w:fldChar w:fldCharType="end"/>
      </w:r>
      <w:r w:rsidRPr="00655FC7">
        <w:t>. Saldo migracji, urodzenia oraz zgony w latach 2013-2022 (dla roku 2015 brak danych na BDL GUS z zakresu salda migracji).</w:t>
      </w:r>
      <w:bookmarkEnd w:id="87"/>
    </w:p>
    <w:p w14:paraId="38F18940" w14:textId="77777777" w:rsidR="00D155AA" w:rsidRPr="00655FC7" w:rsidRDefault="00D155AA" w:rsidP="00D155AA">
      <w:pPr>
        <w:pStyle w:val="Cytat"/>
      </w:pPr>
      <w:r w:rsidRPr="00655FC7">
        <w:t>źródło: BDL GUS</w:t>
      </w:r>
    </w:p>
    <w:p w14:paraId="252B1E90" w14:textId="77777777" w:rsidR="00D155AA" w:rsidRPr="00655FC7" w:rsidRDefault="00D155AA" w:rsidP="00D155AA">
      <w:pPr>
        <w:tabs>
          <w:tab w:val="left" w:pos="3119"/>
        </w:tabs>
        <w:spacing w:line="240" w:lineRule="auto"/>
        <w:ind w:firstLine="0"/>
        <w:jc w:val="center"/>
        <w:rPr>
          <w:rFonts w:cstheme="minorHAnsi"/>
          <w:color w:val="auto"/>
          <w:szCs w:val="24"/>
        </w:rPr>
      </w:pPr>
    </w:p>
    <w:p w14:paraId="02404AA4" w14:textId="77777777" w:rsidR="00D155AA" w:rsidRPr="00655FC7" w:rsidRDefault="00D155AA" w:rsidP="00D155AA">
      <w:pPr>
        <w:pStyle w:val="Nagwek3"/>
      </w:pPr>
      <w:bookmarkStart w:id="88" w:name="_Toc177732041"/>
      <w:r w:rsidRPr="00655FC7">
        <w:t>Charakterystyka gospodarcza</w:t>
      </w:r>
      <w:bookmarkEnd w:id="88"/>
    </w:p>
    <w:p w14:paraId="777C1E43" w14:textId="77777777" w:rsidR="00D155AA" w:rsidRPr="00655FC7" w:rsidRDefault="00D155AA" w:rsidP="00D155AA">
      <w:pPr>
        <w:tabs>
          <w:tab w:val="left" w:pos="3119"/>
        </w:tabs>
        <w:rPr>
          <w:rFonts w:cstheme="minorHAnsi"/>
          <w:color w:val="auto"/>
        </w:rPr>
      </w:pPr>
      <w:r w:rsidRPr="00655FC7">
        <w:rPr>
          <w:rFonts w:cstheme="minorHAnsi"/>
          <w:color w:val="auto"/>
        </w:rPr>
        <w:t>W 2021 wg danych GUS w Mieście Tarnogród pracowały 582 osoby. Na poniższym rysunku przedstawiono ilość osób pracujących w latach 2012-2021 według płci (dane dla roku 2022 niedostępne, stan na dzień 22.03.2024 r.).</w:t>
      </w:r>
    </w:p>
    <w:p w14:paraId="6FA1E261" w14:textId="77777777" w:rsidR="00D155AA" w:rsidRPr="00655FC7" w:rsidRDefault="00D155AA" w:rsidP="00D155AA">
      <w:pPr>
        <w:tabs>
          <w:tab w:val="left" w:pos="3119"/>
        </w:tabs>
        <w:rPr>
          <w:rFonts w:cstheme="minorHAnsi"/>
          <w:color w:val="auto"/>
        </w:rPr>
      </w:pPr>
    </w:p>
    <w:p w14:paraId="3076A5B1" w14:textId="77777777" w:rsidR="00D155AA" w:rsidRPr="00655FC7" w:rsidRDefault="00D155AA" w:rsidP="00D155AA">
      <w:pPr>
        <w:tabs>
          <w:tab w:val="left" w:pos="3119"/>
        </w:tabs>
        <w:ind w:firstLine="0"/>
        <w:rPr>
          <w:rFonts w:eastAsiaTheme="majorEastAsia" w:cstheme="minorHAnsi"/>
          <w:b/>
          <w:color w:val="auto"/>
          <w:sz w:val="20"/>
          <w:szCs w:val="20"/>
          <w:lang w:eastAsia="pl-PL"/>
        </w:rPr>
      </w:pPr>
      <w:r w:rsidRPr="00655FC7">
        <w:rPr>
          <w:noProof/>
        </w:rPr>
        <w:drawing>
          <wp:inline distT="0" distB="0" distL="0" distR="0" wp14:anchorId="1B306C04" wp14:editId="2BAC8662">
            <wp:extent cx="5760000" cy="2880000"/>
            <wp:effectExtent l="0" t="0" r="12700" b="15875"/>
            <wp:docPr id="296167124" name="Wykres 1">
              <a:extLst xmlns:a="http://schemas.openxmlformats.org/drawingml/2006/main">
                <a:ext uri="{FF2B5EF4-FFF2-40B4-BE49-F238E27FC236}">
                  <a16:creationId xmlns:a16="http://schemas.microsoft.com/office/drawing/2014/main" id="{37C6B26C-3B50-FBF7-06B4-CEE476D154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2BF33EB" w14:textId="54A03AB8" w:rsidR="00D155AA" w:rsidRPr="00655FC7" w:rsidRDefault="00D155AA" w:rsidP="00D155AA">
      <w:pPr>
        <w:pStyle w:val="Stylrysunek"/>
      </w:pPr>
      <w:bookmarkStart w:id="89" w:name="_Toc178846352"/>
      <w:r w:rsidRPr="00655FC7">
        <w:t xml:space="preserve">Rysunek </w:t>
      </w:r>
      <w:r w:rsidR="00EA4C85">
        <w:fldChar w:fldCharType="begin"/>
      </w:r>
      <w:r w:rsidR="00EA4C85">
        <w:instrText xml:space="preserve"> SEQ Rysunek \* ARABIC </w:instrText>
      </w:r>
      <w:r w:rsidR="00EA4C85">
        <w:fldChar w:fldCharType="separate"/>
      </w:r>
      <w:r w:rsidR="00A654D8">
        <w:rPr>
          <w:noProof/>
        </w:rPr>
        <w:t>10</w:t>
      </w:r>
      <w:r w:rsidR="00EA4C85">
        <w:rPr>
          <w:noProof/>
        </w:rPr>
        <w:fldChar w:fldCharType="end"/>
      </w:r>
      <w:r w:rsidRPr="00655FC7">
        <w:t>. Ilość osób pracujących w latach 2013-2021 według płci (dana dla 2022 niedostępna).</w:t>
      </w:r>
      <w:bookmarkEnd w:id="89"/>
    </w:p>
    <w:p w14:paraId="0C379631" w14:textId="77777777" w:rsidR="00D155AA" w:rsidRPr="00655FC7" w:rsidRDefault="00D155AA" w:rsidP="00D155AA">
      <w:pPr>
        <w:pStyle w:val="Cytat"/>
      </w:pPr>
      <w:r w:rsidRPr="00655FC7">
        <w:t>źródło: BDL GUS</w:t>
      </w:r>
    </w:p>
    <w:p w14:paraId="4B8984C8" w14:textId="77777777" w:rsidR="00D155AA" w:rsidRPr="00655FC7" w:rsidRDefault="00D155AA" w:rsidP="00D155AA">
      <w:pPr>
        <w:rPr>
          <w:lang w:eastAsia="ar-SA"/>
        </w:rPr>
      </w:pPr>
    </w:p>
    <w:p w14:paraId="75B7C239" w14:textId="77777777" w:rsidR="00D155AA" w:rsidRPr="00655FC7" w:rsidRDefault="00D155AA" w:rsidP="00D155AA">
      <w:pPr>
        <w:rPr>
          <w:rFonts w:cstheme="minorHAnsi"/>
        </w:rPr>
      </w:pPr>
      <w:r w:rsidRPr="00655FC7">
        <w:rPr>
          <w:rFonts w:cstheme="minorHAnsi"/>
        </w:rPr>
        <w:lastRenderedPageBreak/>
        <w:t xml:space="preserve">W zakresie bezrobocia można zauważyć znaczny spadek. Liczba osób pozostających bez pracy w latach 2019-2023 zmalała z 71 do 52 (rysunek poniżej, przed rokiem 2019 dane na portalu BDL GUS wskazywały zerowe bezrobocie). </w:t>
      </w:r>
    </w:p>
    <w:p w14:paraId="25A2EF2F" w14:textId="77777777" w:rsidR="00D155AA" w:rsidRPr="00655FC7" w:rsidRDefault="00D155AA" w:rsidP="00D155AA">
      <w:pPr>
        <w:rPr>
          <w:rFonts w:cstheme="minorHAnsi"/>
        </w:rPr>
      </w:pPr>
    </w:p>
    <w:p w14:paraId="76BE95E5" w14:textId="77777777" w:rsidR="00D155AA" w:rsidRPr="00655FC7" w:rsidRDefault="00D155AA" w:rsidP="00D155AA">
      <w:pPr>
        <w:tabs>
          <w:tab w:val="left" w:pos="3119"/>
        </w:tabs>
        <w:ind w:firstLine="0"/>
        <w:rPr>
          <w:rFonts w:cstheme="minorHAnsi"/>
          <w:color w:val="auto"/>
          <w:sz w:val="20"/>
        </w:rPr>
      </w:pPr>
      <w:r w:rsidRPr="00655FC7">
        <w:rPr>
          <w:noProof/>
        </w:rPr>
        <w:drawing>
          <wp:inline distT="0" distB="0" distL="0" distR="0" wp14:anchorId="14AC2888" wp14:editId="2B9BB576">
            <wp:extent cx="5760720" cy="2380615"/>
            <wp:effectExtent l="0" t="0" r="11430" b="635"/>
            <wp:docPr id="133182781" name="Wykres 1">
              <a:extLst xmlns:a="http://schemas.openxmlformats.org/drawingml/2006/main">
                <a:ext uri="{FF2B5EF4-FFF2-40B4-BE49-F238E27FC236}">
                  <a16:creationId xmlns:a16="http://schemas.microsoft.com/office/drawing/2014/main" id="{702CFDEA-4B58-BA64-73FD-8F41DD1211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8895866" w14:textId="7043A9EA" w:rsidR="00D155AA" w:rsidRPr="00655FC7" w:rsidRDefault="00D155AA" w:rsidP="00D155AA">
      <w:pPr>
        <w:pStyle w:val="Stylrysunek"/>
      </w:pPr>
      <w:bookmarkStart w:id="90" w:name="_Toc178846353"/>
      <w:r w:rsidRPr="00655FC7">
        <w:t xml:space="preserve">Rysunek </w:t>
      </w:r>
      <w:r w:rsidR="00EA4C85">
        <w:fldChar w:fldCharType="begin"/>
      </w:r>
      <w:r w:rsidR="00EA4C85">
        <w:instrText xml:space="preserve"> SEQ Rysunek \* ARABIC </w:instrText>
      </w:r>
      <w:r w:rsidR="00EA4C85">
        <w:fldChar w:fldCharType="separate"/>
      </w:r>
      <w:r w:rsidR="00A654D8">
        <w:rPr>
          <w:noProof/>
        </w:rPr>
        <w:t>11</w:t>
      </w:r>
      <w:r w:rsidR="00EA4C85">
        <w:rPr>
          <w:noProof/>
        </w:rPr>
        <w:fldChar w:fldCharType="end"/>
      </w:r>
      <w:r w:rsidRPr="00655FC7">
        <w:t>. Ilość osób bezrobotnych w latach 2019-2023 według płci.</w:t>
      </w:r>
      <w:bookmarkEnd w:id="90"/>
    </w:p>
    <w:p w14:paraId="1810EB3E" w14:textId="77777777" w:rsidR="00D155AA" w:rsidRPr="00655FC7" w:rsidRDefault="00D155AA" w:rsidP="00D155AA">
      <w:pPr>
        <w:pStyle w:val="Cytat"/>
      </w:pPr>
      <w:r w:rsidRPr="00655FC7">
        <w:t>źródło: BDL GUS</w:t>
      </w:r>
    </w:p>
    <w:p w14:paraId="5C1D671D" w14:textId="77777777" w:rsidR="00D155AA" w:rsidRPr="00655FC7" w:rsidRDefault="00D155AA" w:rsidP="00D155AA">
      <w:pPr>
        <w:tabs>
          <w:tab w:val="left" w:pos="3119"/>
        </w:tabs>
        <w:rPr>
          <w:rFonts w:cstheme="minorHAnsi"/>
          <w:color w:val="auto"/>
        </w:rPr>
      </w:pPr>
    </w:p>
    <w:p w14:paraId="6F09A936" w14:textId="0CEFA2E7" w:rsidR="00D155AA" w:rsidRPr="00655FC7" w:rsidRDefault="00D155AA" w:rsidP="00D155AA">
      <w:pPr>
        <w:tabs>
          <w:tab w:val="left" w:pos="3119"/>
        </w:tabs>
        <w:rPr>
          <w:rFonts w:cstheme="minorHAnsi"/>
          <w:color w:val="auto"/>
          <w:shd w:val="clear" w:color="auto" w:fill="FFFFFF"/>
        </w:rPr>
      </w:pPr>
      <w:r w:rsidRPr="00655FC7">
        <w:rPr>
          <w:rFonts w:cstheme="minorHAnsi"/>
          <w:color w:val="auto"/>
          <w:shd w:val="clear" w:color="auto" w:fill="FFFFFF"/>
        </w:rPr>
        <w:t>W Mieście Tarnogród funkcjonowało w 201</w:t>
      </w:r>
      <w:r w:rsidR="001853A7" w:rsidRPr="00655FC7">
        <w:rPr>
          <w:rFonts w:cstheme="minorHAnsi"/>
          <w:color w:val="auto"/>
          <w:shd w:val="clear" w:color="auto" w:fill="FFFFFF"/>
        </w:rPr>
        <w:t>3</w:t>
      </w:r>
      <w:r w:rsidRPr="00655FC7">
        <w:rPr>
          <w:rFonts w:cstheme="minorHAnsi"/>
          <w:color w:val="auto"/>
          <w:shd w:val="clear" w:color="auto" w:fill="FFFFFF"/>
        </w:rPr>
        <w:t xml:space="preserve"> r. 1 039 podmiotów gospodarczych, a w 2022 r. 1 074. Najwięcej podmiotów gospodarczych znajdowało się najmniejszej klasie gospodarczej – mikroprzedsiębiorstwa (klasa wielkości 0 – 9, czyli o liczbie pracujących do 9 osób). </w:t>
      </w:r>
    </w:p>
    <w:p w14:paraId="60AD691D" w14:textId="77777777" w:rsidR="00D155AA" w:rsidRPr="00655FC7" w:rsidRDefault="00D155AA" w:rsidP="00D155AA">
      <w:pPr>
        <w:spacing w:line="240" w:lineRule="auto"/>
        <w:rPr>
          <w:rFonts w:eastAsiaTheme="minorEastAsia" w:cstheme="minorHAnsi"/>
          <w:b/>
          <w:bCs/>
          <w:szCs w:val="20"/>
          <w:lang w:eastAsia="pl-PL"/>
        </w:rPr>
      </w:pPr>
    </w:p>
    <w:p w14:paraId="77A657F8" w14:textId="3824A692" w:rsidR="00D155AA" w:rsidRPr="00655FC7" w:rsidRDefault="00D155AA" w:rsidP="00D155AA">
      <w:pPr>
        <w:pStyle w:val="Styltabela"/>
        <w:rPr>
          <w:rFonts w:eastAsiaTheme="minorEastAsia"/>
        </w:rPr>
      </w:pPr>
      <w:bookmarkStart w:id="91" w:name="_Toc178846311"/>
      <w:r w:rsidRPr="00655FC7">
        <w:rPr>
          <w:rFonts w:eastAsiaTheme="minorEastAsia"/>
        </w:rPr>
        <w:t xml:space="preserve">Tabela </w:t>
      </w:r>
      <w:r w:rsidR="00E833A9">
        <w:rPr>
          <w:rFonts w:eastAsiaTheme="minorEastAsia"/>
        </w:rPr>
        <w:fldChar w:fldCharType="begin"/>
      </w:r>
      <w:r w:rsidR="00E833A9">
        <w:rPr>
          <w:rFonts w:eastAsiaTheme="minorEastAsia"/>
        </w:rPr>
        <w:instrText xml:space="preserve"> SEQ Tabela \* ARABIC </w:instrText>
      </w:r>
      <w:r w:rsidR="00E833A9">
        <w:rPr>
          <w:rFonts w:eastAsiaTheme="minorEastAsia"/>
        </w:rPr>
        <w:fldChar w:fldCharType="separate"/>
      </w:r>
      <w:r w:rsidR="00A654D8">
        <w:rPr>
          <w:rFonts w:eastAsiaTheme="minorEastAsia"/>
          <w:noProof/>
        </w:rPr>
        <w:t>5</w:t>
      </w:r>
      <w:r w:rsidR="00E833A9">
        <w:rPr>
          <w:rFonts w:eastAsiaTheme="minorEastAsia"/>
        </w:rPr>
        <w:fldChar w:fldCharType="end"/>
      </w:r>
      <w:r w:rsidRPr="00655FC7">
        <w:rPr>
          <w:rFonts w:eastAsiaTheme="minorEastAsia"/>
        </w:rPr>
        <w:t>. Podmioty gospodarcze wg klas wielkości w latach 2013-2022.</w:t>
      </w:r>
      <w:bookmarkEnd w:id="91"/>
    </w:p>
    <w:tbl>
      <w:tblPr>
        <w:tblStyle w:val="Tabelalisty2akcent1"/>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35"/>
        <w:gridCol w:w="813"/>
        <w:gridCol w:w="814"/>
        <w:gridCol w:w="814"/>
        <w:gridCol w:w="813"/>
        <w:gridCol w:w="814"/>
        <w:gridCol w:w="814"/>
        <w:gridCol w:w="813"/>
        <w:gridCol w:w="814"/>
        <w:gridCol w:w="814"/>
        <w:gridCol w:w="814"/>
      </w:tblGrid>
      <w:tr w:rsidR="00D155AA" w:rsidRPr="00655FC7" w14:paraId="46B40F93" w14:textId="77777777" w:rsidTr="005A180D">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935" w:type="dxa"/>
            <w:shd w:val="clear" w:color="auto" w:fill="638A29" w:themeFill="accent1"/>
            <w:vAlign w:val="center"/>
          </w:tcPr>
          <w:p w14:paraId="4389CE83" w14:textId="77777777" w:rsidR="00D155AA" w:rsidRPr="00655FC7" w:rsidRDefault="00D155AA" w:rsidP="00827748">
            <w:pPr>
              <w:ind w:firstLine="0"/>
              <w:jc w:val="center"/>
              <w:rPr>
                <w:rFonts w:eastAsia="Times New Roman" w:cstheme="minorHAnsi"/>
                <w:color w:val="333333"/>
                <w:sz w:val="18"/>
                <w:szCs w:val="18"/>
                <w:lang w:eastAsia="en-GB"/>
              </w:rPr>
            </w:pPr>
          </w:p>
        </w:tc>
        <w:tc>
          <w:tcPr>
            <w:tcW w:w="813" w:type="dxa"/>
            <w:shd w:val="clear" w:color="auto" w:fill="638A29" w:themeFill="accent1"/>
            <w:vAlign w:val="center"/>
          </w:tcPr>
          <w:p w14:paraId="18C45687"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color w:val="333333"/>
                <w:sz w:val="18"/>
                <w:szCs w:val="18"/>
              </w:rPr>
              <w:t>2013</w:t>
            </w:r>
          </w:p>
        </w:tc>
        <w:tc>
          <w:tcPr>
            <w:tcW w:w="814" w:type="dxa"/>
            <w:shd w:val="clear" w:color="auto" w:fill="638A29" w:themeFill="accent1"/>
            <w:vAlign w:val="center"/>
          </w:tcPr>
          <w:p w14:paraId="3F3831D7"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color w:val="333333"/>
                <w:sz w:val="18"/>
                <w:szCs w:val="18"/>
              </w:rPr>
              <w:t>2014</w:t>
            </w:r>
          </w:p>
        </w:tc>
        <w:tc>
          <w:tcPr>
            <w:tcW w:w="814" w:type="dxa"/>
            <w:shd w:val="clear" w:color="auto" w:fill="638A29" w:themeFill="accent1"/>
            <w:vAlign w:val="center"/>
          </w:tcPr>
          <w:p w14:paraId="69DCD2CE"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color w:val="333333"/>
                <w:sz w:val="18"/>
                <w:szCs w:val="18"/>
              </w:rPr>
              <w:t>2015</w:t>
            </w:r>
          </w:p>
        </w:tc>
        <w:tc>
          <w:tcPr>
            <w:tcW w:w="813" w:type="dxa"/>
            <w:shd w:val="clear" w:color="auto" w:fill="638A29" w:themeFill="accent1"/>
            <w:vAlign w:val="center"/>
          </w:tcPr>
          <w:p w14:paraId="57901089"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color w:val="333333"/>
                <w:sz w:val="18"/>
                <w:szCs w:val="18"/>
              </w:rPr>
              <w:t>2016</w:t>
            </w:r>
          </w:p>
        </w:tc>
        <w:tc>
          <w:tcPr>
            <w:tcW w:w="814" w:type="dxa"/>
            <w:shd w:val="clear" w:color="auto" w:fill="638A29" w:themeFill="accent1"/>
            <w:vAlign w:val="center"/>
          </w:tcPr>
          <w:p w14:paraId="4CD74098"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color w:val="333333"/>
                <w:sz w:val="18"/>
                <w:szCs w:val="18"/>
              </w:rPr>
              <w:t>2017</w:t>
            </w:r>
          </w:p>
        </w:tc>
        <w:tc>
          <w:tcPr>
            <w:tcW w:w="814" w:type="dxa"/>
            <w:shd w:val="clear" w:color="auto" w:fill="638A29" w:themeFill="accent1"/>
            <w:vAlign w:val="center"/>
          </w:tcPr>
          <w:p w14:paraId="78D5E57A"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color w:val="333333"/>
                <w:sz w:val="18"/>
                <w:szCs w:val="18"/>
              </w:rPr>
              <w:t>2018</w:t>
            </w:r>
          </w:p>
        </w:tc>
        <w:tc>
          <w:tcPr>
            <w:tcW w:w="813" w:type="dxa"/>
            <w:shd w:val="clear" w:color="auto" w:fill="638A29" w:themeFill="accent1"/>
            <w:vAlign w:val="center"/>
          </w:tcPr>
          <w:p w14:paraId="40D1667E"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color w:val="333333"/>
                <w:sz w:val="18"/>
                <w:szCs w:val="18"/>
              </w:rPr>
              <w:t>2019</w:t>
            </w:r>
          </w:p>
        </w:tc>
        <w:tc>
          <w:tcPr>
            <w:tcW w:w="814" w:type="dxa"/>
            <w:shd w:val="clear" w:color="auto" w:fill="638A29" w:themeFill="accent1"/>
            <w:vAlign w:val="center"/>
          </w:tcPr>
          <w:p w14:paraId="3C55BC47"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color w:val="333333"/>
                <w:sz w:val="18"/>
                <w:szCs w:val="18"/>
              </w:rPr>
              <w:t>2020</w:t>
            </w:r>
          </w:p>
        </w:tc>
        <w:tc>
          <w:tcPr>
            <w:tcW w:w="814" w:type="dxa"/>
            <w:shd w:val="clear" w:color="auto" w:fill="638A29" w:themeFill="accent1"/>
            <w:vAlign w:val="center"/>
          </w:tcPr>
          <w:p w14:paraId="4024B4BA"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color w:val="333333"/>
                <w:sz w:val="18"/>
                <w:szCs w:val="18"/>
              </w:rPr>
              <w:t>2021</w:t>
            </w:r>
          </w:p>
        </w:tc>
        <w:tc>
          <w:tcPr>
            <w:tcW w:w="814" w:type="dxa"/>
            <w:shd w:val="clear" w:color="auto" w:fill="638A29" w:themeFill="accent1"/>
            <w:vAlign w:val="center"/>
          </w:tcPr>
          <w:p w14:paraId="5B36219B"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color w:val="333333"/>
                <w:sz w:val="18"/>
                <w:szCs w:val="18"/>
              </w:rPr>
              <w:t>2022</w:t>
            </w:r>
          </w:p>
        </w:tc>
      </w:tr>
      <w:tr w:rsidR="00D155AA" w:rsidRPr="00655FC7" w14:paraId="3CC09F3D" w14:textId="77777777" w:rsidTr="005A180D">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935" w:type="dxa"/>
            <w:vAlign w:val="center"/>
            <w:hideMark/>
          </w:tcPr>
          <w:p w14:paraId="04C65332" w14:textId="77777777" w:rsidR="00D155AA" w:rsidRPr="00655FC7" w:rsidRDefault="00D155AA" w:rsidP="00827748">
            <w:pPr>
              <w:ind w:firstLine="0"/>
              <w:jc w:val="center"/>
              <w:rPr>
                <w:rFonts w:eastAsia="Times New Roman" w:cstheme="minorHAnsi"/>
                <w:color w:val="333333"/>
                <w:sz w:val="18"/>
                <w:szCs w:val="18"/>
                <w:lang w:eastAsia="en-GB"/>
              </w:rPr>
            </w:pPr>
            <w:r w:rsidRPr="00655FC7">
              <w:rPr>
                <w:rFonts w:eastAsia="Times New Roman" w:cstheme="minorHAnsi"/>
                <w:color w:val="333333"/>
                <w:sz w:val="18"/>
                <w:szCs w:val="18"/>
                <w:lang w:eastAsia="en-GB"/>
              </w:rPr>
              <w:t>ogółem</w:t>
            </w:r>
          </w:p>
        </w:tc>
        <w:tc>
          <w:tcPr>
            <w:tcW w:w="813" w:type="dxa"/>
            <w:vAlign w:val="center"/>
            <w:hideMark/>
          </w:tcPr>
          <w:p w14:paraId="47726201"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1 039</w:t>
            </w:r>
          </w:p>
        </w:tc>
        <w:tc>
          <w:tcPr>
            <w:tcW w:w="814" w:type="dxa"/>
            <w:vAlign w:val="center"/>
            <w:hideMark/>
          </w:tcPr>
          <w:p w14:paraId="0A26AD16"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1 051</w:t>
            </w:r>
          </w:p>
        </w:tc>
        <w:tc>
          <w:tcPr>
            <w:tcW w:w="814" w:type="dxa"/>
            <w:vAlign w:val="center"/>
            <w:hideMark/>
          </w:tcPr>
          <w:p w14:paraId="08CAEDFA"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1 051</w:t>
            </w:r>
          </w:p>
        </w:tc>
        <w:tc>
          <w:tcPr>
            <w:tcW w:w="813" w:type="dxa"/>
            <w:vAlign w:val="center"/>
            <w:hideMark/>
          </w:tcPr>
          <w:p w14:paraId="6C184026"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1 055</w:t>
            </w:r>
          </w:p>
        </w:tc>
        <w:tc>
          <w:tcPr>
            <w:tcW w:w="814" w:type="dxa"/>
            <w:vAlign w:val="center"/>
            <w:hideMark/>
          </w:tcPr>
          <w:p w14:paraId="7961D1B6"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1 062</w:t>
            </w:r>
          </w:p>
        </w:tc>
        <w:tc>
          <w:tcPr>
            <w:tcW w:w="814" w:type="dxa"/>
            <w:vAlign w:val="center"/>
            <w:hideMark/>
          </w:tcPr>
          <w:p w14:paraId="38B72023"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1 046</w:t>
            </w:r>
          </w:p>
        </w:tc>
        <w:tc>
          <w:tcPr>
            <w:tcW w:w="813" w:type="dxa"/>
            <w:vAlign w:val="center"/>
            <w:hideMark/>
          </w:tcPr>
          <w:p w14:paraId="6458C3A4"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1 038</w:t>
            </w:r>
          </w:p>
        </w:tc>
        <w:tc>
          <w:tcPr>
            <w:tcW w:w="814" w:type="dxa"/>
            <w:vAlign w:val="center"/>
            <w:hideMark/>
          </w:tcPr>
          <w:p w14:paraId="3C565E1E"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1 042</w:t>
            </w:r>
          </w:p>
        </w:tc>
        <w:tc>
          <w:tcPr>
            <w:tcW w:w="814" w:type="dxa"/>
            <w:vAlign w:val="center"/>
            <w:hideMark/>
          </w:tcPr>
          <w:p w14:paraId="5865822F"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1 066</w:t>
            </w:r>
          </w:p>
        </w:tc>
        <w:tc>
          <w:tcPr>
            <w:tcW w:w="814" w:type="dxa"/>
            <w:vAlign w:val="center"/>
            <w:hideMark/>
          </w:tcPr>
          <w:p w14:paraId="49402462"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1 074</w:t>
            </w:r>
          </w:p>
        </w:tc>
      </w:tr>
      <w:tr w:rsidR="00D155AA" w:rsidRPr="00655FC7" w14:paraId="50304B25" w14:textId="77777777" w:rsidTr="005A180D">
        <w:trPr>
          <w:trHeight w:val="340"/>
          <w:jc w:val="center"/>
        </w:trPr>
        <w:tc>
          <w:tcPr>
            <w:cnfStyle w:val="001000000000" w:firstRow="0" w:lastRow="0" w:firstColumn="1" w:lastColumn="0" w:oddVBand="0" w:evenVBand="0" w:oddHBand="0" w:evenHBand="0" w:firstRowFirstColumn="0" w:firstRowLastColumn="0" w:lastRowFirstColumn="0" w:lastRowLastColumn="0"/>
            <w:tcW w:w="935" w:type="dxa"/>
            <w:vAlign w:val="center"/>
            <w:hideMark/>
          </w:tcPr>
          <w:p w14:paraId="44A9C69E" w14:textId="77777777" w:rsidR="00D155AA" w:rsidRPr="00655FC7" w:rsidRDefault="00D155AA" w:rsidP="00827748">
            <w:pPr>
              <w:ind w:firstLine="0"/>
              <w:jc w:val="center"/>
              <w:rPr>
                <w:rFonts w:eastAsia="Times New Roman" w:cstheme="minorHAnsi"/>
                <w:color w:val="333333"/>
                <w:sz w:val="18"/>
                <w:szCs w:val="18"/>
                <w:lang w:eastAsia="en-GB"/>
              </w:rPr>
            </w:pPr>
            <w:r w:rsidRPr="00655FC7">
              <w:rPr>
                <w:rFonts w:eastAsia="Times New Roman" w:cstheme="minorHAnsi"/>
                <w:color w:val="333333"/>
                <w:sz w:val="18"/>
                <w:szCs w:val="18"/>
                <w:lang w:eastAsia="en-GB"/>
              </w:rPr>
              <w:t>0 - 9</w:t>
            </w:r>
          </w:p>
        </w:tc>
        <w:tc>
          <w:tcPr>
            <w:tcW w:w="813" w:type="dxa"/>
            <w:vAlign w:val="center"/>
            <w:hideMark/>
          </w:tcPr>
          <w:p w14:paraId="403584F9"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985</w:t>
            </w:r>
          </w:p>
        </w:tc>
        <w:tc>
          <w:tcPr>
            <w:tcW w:w="814" w:type="dxa"/>
            <w:vAlign w:val="center"/>
            <w:hideMark/>
          </w:tcPr>
          <w:p w14:paraId="603B1BAC"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998</w:t>
            </w:r>
          </w:p>
        </w:tc>
        <w:tc>
          <w:tcPr>
            <w:tcW w:w="814" w:type="dxa"/>
            <w:vAlign w:val="center"/>
            <w:hideMark/>
          </w:tcPr>
          <w:p w14:paraId="56A17FCE"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1 001</w:t>
            </w:r>
          </w:p>
        </w:tc>
        <w:tc>
          <w:tcPr>
            <w:tcW w:w="813" w:type="dxa"/>
            <w:vAlign w:val="center"/>
            <w:hideMark/>
          </w:tcPr>
          <w:p w14:paraId="0CB0F860"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1 006</w:t>
            </w:r>
          </w:p>
        </w:tc>
        <w:tc>
          <w:tcPr>
            <w:tcW w:w="814" w:type="dxa"/>
            <w:vAlign w:val="center"/>
            <w:hideMark/>
          </w:tcPr>
          <w:p w14:paraId="7C353BFC"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1 011</w:t>
            </w:r>
          </w:p>
        </w:tc>
        <w:tc>
          <w:tcPr>
            <w:tcW w:w="814" w:type="dxa"/>
            <w:vAlign w:val="center"/>
            <w:hideMark/>
          </w:tcPr>
          <w:p w14:paraId="214B2CD5"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989</w:t>
            </w:r>
          </w:p>
        </w:tc>
        <w:tc>
          <w:tcPr>
            <w:tcW w:w="813" w:type="dxa"/>
            <w:vAlign w:val="center"/>
            <w:hideMark/>
          </w:tcPr>
          <w:p w14:paraId="5C03ABA3"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985</w:t>
            </w:r>
          </w:p>
        </w:tc>
        <w:tc>
          <w:tcPr>
            <w:tcW w:w="814" w:type="dxa"/>
            <w:vAlign w:val="center"/>
            <w:hideMark/>
          </w:tcPr>
          <w:p w14:paraId="13DC7844"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990</w:t>
            </w:r>
          </w:p>
        </w:tc>
        <w:tc>
          <w:tcPr>
            <w:tcW w:w="814" w:type="dxa"/>
            <w:vAlign w:val="center"/>
            <w:hideMark/>
          </w:tcPr>
          <w:p w14:paraId="0BFE7956"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1 015</w:t>
            </w:r>
          </w:p>
        </w:tc>
        <w:tc>
          <w:tcPr>
            <w:tcW w:w="814" w:type="dxa"/>
            <w:vAlign w:val="center"/>
            <w:hideMark/>
          </w:tcPr>
          <w:p w14:paraId="3C81874C"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1 023</w:t>
            </w:r>
          </w:p>
        </w:tc>
      </w:tr>
      <w:tr w:rsidR="00D155AA" w:rsidRPr="00655FC7" w14:paraId="3BB435BE" w14:textId="77777777" w:rsidTr="005A180D">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935" w:type="dxa"/>
            <w:vAlign w:val="center"/>
            <w:hideMark/>
          </w:tcPr>
          <w:p w14:paraId="67BFB0CB" w14:textId="77777777" w:rsidR="00D155AA" w:rsidRPr="00655FC7" w:rsidRDefault="00D155AA" w:rsidP="00827748">
            <w:pPr>
              <w:ind w:firstLine="0"/>
              <w:jc w:val="center"/>
              <w:rPr>
                <w:rFonts w:eastAsia="Times New Roman" w:cstheme="minorHAnsi"/>
                <w:color w:val="333333"/>
                <w:sz w:val="18"/>
                <w:szCs w:val="18"/>
                <w:lang w:eastAsia="en-GB"/>
              </w:rPr>
            </w:pPr>
            <w:r w:rsidRPr="00655FC7">
              <w:rPr>
                <w:rFonts w:eastAsia="Times New Roman" w:cstheme="minorHAnsi"/>
                <w:color w:val="333333"/>
                <w:sz w:val="18"/>
                <w:szCs w:val="18"/>
                <w:lang w:eastAsia="en-GB"/>
              </w:rPr>
              <w:t>10 - 49</w:t>
            </w:r>
          </w:p>
        </w:tc>
        <w:tc>
          <w:tcPr>
            <w:tcW w:w="813" w:type="dxa"/>
            <w:vAlign w:val="center"/>
            <w:hideMark/>
          </w:tcPr>
          <w:p w14:paraId="3FEE3A3B"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36</w:t>
            </w:r>
          </w:p>
        </w:tc>
        <w:tc>
          <w:tcPr>
            <w:tcW w:w="814" w:type="dxa"/>
            <w:vAlign w:val="center"/>
            <w:hideMark/>
          </w:tcPr>
          <w:p w14:paraId="313CC526"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35</w:t>
            </w:r>
          </w:p>
        </w:tc>
        <w:tc>
          <w:tcPr>
            <w:tcW w:w="814" w:type="dxa"/>
            <w:vAlign w:val="center"/>
            <w:hideMark/>
          </w:tcPr>
          <w:p w14:paraId="036402DF"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33</w:t>
            </w:r>
          </w:p>
        </w:tc>
        <w:tc>
          <w:tcPr>
            <w:tcW w:w="813" w:type="dxa"/>
            <w:vAlign w:val="center"/>
            <w:hideMark/>
          </w:tcPr>
          <w:p w14:paraId="2ECEE41A"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32</w:t>
            </w:r>
          </w:p>
        </w:tc>
        <w:tc>
          <w:tcPr>
            <w:tcW w:w="814" w:type="dxa"/>
            <w:vAlign w:val="center"/>
            <w:hideMark/>
          </w:tcPr>
          <w:p w14:paraId="52119109"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34</w:t>
            </w:r>
          </w:p>
        </w:tc>
        <w:tc>
          <w:tcPr>
            <w:tcW w:w="814" w:type="dxa"/>
            <w:vAlign w:val="center"/>
            <w:hideMark/>
          </w:tcPr>
          <w:p w14:paraId="06F5ED13"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40</w:t>
            </w:r>
          </w:p>
        </w:tc>
        <w:tc>
          <w:tcPr>
            <w:tcW w:w="813" w:type="dxa"/>
            <w:vAlign w:val="center"/>
            <w:hideMark/>
          </w:tcPr>
          <w:p w14:paraId="2394AD79"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37</w:t>
            </w:r>
          </w:p>
        </w:tc>
        <w:tc>
          <w:tcPr>
            <w:tcW w:w="814" w:type="dxa"/>
            <w:vAlign w:val="center"/>
            <w:hideMark/>
          </w:tcPr>
          <w:p w14:paraId="19CFBDF2"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37</w:t>
            </w:r>
          </w:p>
        </w:tc>
        <w:tc>
          <w:tcPr>
            <w:tcW w:w="814" w:type="dxa"/>
            <w:vAlign w:val="center"/>
            <w:hideMark/>
          </w:tcPr>
          <w:p w14:paraId="51B6AF3A"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36</w:t>
            </w:r>
          </w:p>
        </w:tc>
        <w:tc>
          <w:tcPr>
            <w:tcW w:w="814" w:type="dxa"/>
            <w:vAlign w:val="center"/>
            <w:hideMark/>
          </w:tcPr>
          <w:p w14:paraId="686D1464"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36</w:t>
            </w:r>
          </w:p>
        </w:tc>
      </w:tr>
      <w:tr w:rsidR="00D155AA" w:rsidRPr="00655FC7" w14:paraId="72978053" w14:textId="77777777" w:rsidTr="005A180D">
        <w:trPr>
          <w:trHeight w:val="340"/>
          <w:jc w:val="center"/>
        </w:trPr>
        <w:tc>
          <w:tcPr>
            <w:cnfStyle w:val="001000000000" w:firstRow="0" w:lastRow="0" w:firstColumn="1" w:lastColumn="0" w:oddVBand="0" w:evenVBand="0" w:oddHBand="0" w:evenHBand="0" w:firstRowFirstColumn="0" w:firstRowLastColumn="0" w:lastRowFirstColumn="0" w:lastRowLastColumn="0"/>
            <w:tcW w:w="935" w:type="dxa"/>
            <w:vAlign w:val="center"/>
            <w:hideMark/>
          </w:tcPr>
          <w:p w14:paraId="0B7E85B4" w14:textId="77777777" w:rsidR="00D155AA" w:rsidRPr="00655FC7" w:rsidRDefault="00D155AA" w:rsidP="00827748">
            <w:pPr>
              <w:ind w:firstLine="0"/>
              <w:jc w:val="center"/>
              <w:rPr>
                <w:rFonts w:eastAsia="Times New Roman" w:cstheme="minorHAnsi"/>
                <w:color w:val="333333"/>
                <w:sz w:val="18"/>
                <w:szCs w:val="18"/>
                <w:lang w:eastAsia="en-GB"/>
              </w:rPr>
            </w:pPr>
            <w:r w:rsidRPr="00655FC7">
              <w:rPr>
                <w:rFonts w:eastAsia="Times New Roman" w:cstheme="minorHAnsi"/>
                <w:color w:val="333333"/>
                <w:sz w:val="18"/>
                <w:szCs w:val="18"/>
                <w:lang w:eastAsia="en-GB"/>
              </w:rPr>
              <w:t>50 - 249</w:t>
            </w:r>
          </w:p>
        </w:tc>
        <w:tc>
          <w:tcPr>
            <w:tcW w:w="813" w:type="dxa"/>
            <w:vAlign w:val="center"/>
            <w:hideMark/>
          </w:tcPr>
          <w:p w14:paraId="0FDC0F67"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17</w:t>
            </w:r>
          </w:p>
        </w:tc>
        <w:tc>
          <w:tcPr>
            <w:tcW w:w="814" w:type="dxa"/>
            <w:vAlign w:val="center"/>
            <w:hideMark/>
          </w:tcPr>
          <w:p w14:paraId="0847A110"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17</w:t>
            </w:r>
          </w:p>
        </w:tc>
        <w:tc>
          <w:tcPr>
            <w:tcW w:w="814" w:type="dxa"/>
            <w:vAlign w:val="center"/>
            <w:hideMark/>
          </w:tcPr>
          <w:p w14:paraId="3EFA9098"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16</w:t>
            </w:r>
          </w:p>
        </w:tc>
        <w:tc>
          <w:tcPr>
            <w:tcW w:w="813" w:type="dxa"/>
            <w:vAlign w:val="center"/>
            <w:hideMark/>
          </w:tcPr>
          <w:p w14:paraId="2D89F063"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16</w:t>
            </w:r>
          </w:p>
        </w:tc>
        <w:tc>
          <w:tcPr>
            <w:tcW w:w="814" w:type="dxa"/>
            <w:vAlign w:val="center"/>
            <w:hideMark/>
          </w:tcPr>
          <w:p w14:paraId="1FD7BF4A"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16</w:t>
            </w:r>
          </w:p>
        </w:tc>
        <w:tc>
          <w:tcPr>
            <w:tcW w:w="814" w:type="dxa"/>
            <w:vAlign w:val="center"/>
            <w:hideMark/>
          </w:tcPr>
          <w:p w14:paraId="32D22BA3"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16</w:t>
            </w:r>
          </w:p>
        </w:tc>
        <w:tc>
          <w:tcPr>
            <w:tcW w:w="813" w:type="dxa"/>
            <w:vAlign w:val="center"/>
            <w:hideMark/>
          </w:tcPr>
          <w:p w14:paraId="43E0D711"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15</w:t>
            </w:r>
          </w:p>
        </w:tc>
        <w:tc>
          <w:tcPr>
            <w:tcW w:w="814" w:type="dxa"/>
            <w:vAlign w:val="center"/>
            <w:hideMark/>
          </w:tcPr>
          <w:p w14:paraId="23A792A0"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14</w:t>
            </w:r>
          </w:p>
        </w:tc>
        <w:tc>
          <w:tcPr>
            <w:tcW w:w="814" w:type="dxa"/>
            <w:vAlign w:val="center"/>
            <w:hideMark/>
          </w:tcPr>
          <w:p w14:paraId="6EB0C9BB"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14</w:t>
            </w:r>
          </w:p>
        </w:tc>
        <w:tc>
          <w:tcPr>
            <w:tcW w:w="814" w:type="dxa"/>
            <w:vAlign w:val="center"/>
            <w:hideMark/>
          </w:tcPr>
          <w:p w14:paraId="0F380153"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14</w:t>
            </w:r>
          </w:p>
        </w:tc>
      </w:tr>
      <w:tr w:rsidR="00D155AA" w:rsidRPr="00655FC7" w14:paraId="6A87F97E" w14:textId="77777777" w:rsidTr="005A180D">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935" w:type="dxa"/>
            <w:vAlign w:val="center"/>
            <w:hideMark/>
          </w:tcPr>
          <w:p w14:paraId="3922F2AE" w14:textId="77777777" w:rsidR="00D155AA" w:rsidRPr="00655FC7" w:rsidRDefault="00D155AA" w:rsidP="00827748">
            <w:pPr>
              <w:ind w:firstLine="0"/>
              <w:jc w:val="center"/>
              <w:rPr>
                <w:rFonts w:eastAsia="Times New Roman" w:cstheme="minorHAnsi"/>
                <w:color w:val="333333"/>
                <w:sz w:val="18"/>
                <w:szCs w:val="18"/>
                <w:lang w:eastAsia="en-GB"/>
              </w:rPr>
            </w:pPr>
            <w:r w:rsidRPr="00655FC7">
              <w:rPr>
                <w:rFonts w:eastAsia="Times New Roman" w:cstheme="minorHAnsi"/>
                <w:color w:val="333333"/>
                <w:sz w:val="18"/>
                <w:szCs w:val="18"/>
                <w:lang w:eastAsia="en-GB"/>
              </w:rPr>
              <w:t>250 - 999</w:t>
            </w:r>
          </w:p>
        </w:tc>
        <w:tc>
          <w:tcPr>
            <w:tcW w:w="813" w:type="dxa"/>
            <w:vAlign w:val="center"/>
            <w:hideMark/>
          </w:tcPr>
          <w:p w14:paraId="0CC4C0E0"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w:t>
            </w:r>
          </w:p>
        </w:tc>
        <w:tc>
          <w:tcPr>
            <w:tcW w:w="814" w:type="dxa"/>
            <w:vAlign w:val="center"/>
            <w:hideMark/>
          </w:tcPr>
          <w:p w14:paraId="732805AC"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w:t>
            </w:r>
          </w:p>
        </w:tc>
        <w:tc>
          <w:tcPr>
            <w:tcW w:w="814" w:type="dxa"/>
            <w:vAlign w:val="center"/>
            <w:hideMark/>
          </w:tcPr>
          <w:p w14:paraId="616E8F71"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w:t>
            </w:r>
          </w:p>
        </w:tc>
        <w:tc>
          <w:tcPr>
            <w:tcW w:w="813" w:type="dxa"/>
            <w:vAlign w:val="center"/>
            <w:hideMark/>
          </w:tcPr>
          <w:p w14:paraId="6981DAE8"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w:t>
            </w:r>
          </w:p>
        </w:tc>
        <w:tc>
          <w:tcPr>
            <w:tcW w:w="814" w:type="dxa"/>
            <w:vAlign w:val="center"/>
            <w:hideMark/>
          </w:tcPr>
          <w:p w14:paraId="35B7F5F6"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w:t>
            </w:r>
          </w:p>
        </w:tc>
        <w:tc>
          <w:tcPr>
            <w:tcW w:w="814" w:type="dxa"/>
            <w:vAlign w:val="center"/>
            <w:hideMark/>
          </w:tcPr>
          <w:p w14:paraId="6D63A59F"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w:t>
            </w:r>
          </w:p>
        </w:tc>
        <w:tc>
          <w:tcPr>
            <w:tcW w:w="813" w:type="dxa"/>
            <w:vAlign w:val="center"/>
            <w:hideMark/>
          </w:tcPr>
          <w:p w14:paraId="22D5BB00"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w:t>
            </w:r>
          </w:p>
        </w:tc>
        <w:tc>
          <w:tcPr>
            <w:tcW w:w="814" w:type="dxa"/>
            <w:vAlign w:val="center"/>
            <w:hideMark/>
          </w:tcPr>
          <w:p w14:paraId="7C73BAC0"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w:t>
            </w:r>
          </w:p>
        </w:tc>
        <w:tc>
          <w:tcPr>
            <w:tcW w:w="814" w:type="dxa"/>
            <w:vAlign w:val="center"/>
            <w:hideMark/>
          </w:tcPr>
          <w:p w14:paraId="7ED04A16"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w:t>
            </w:r>
          </w:p>
        </w:tc>
        <w:tc>
          <w:tcPr>
            <w:tcW w:w="814" w:type="dxa"/>
            <w:vAlign w:val="center"/>
            <w:hideMark/>
          </w:tcPr>
          <w:p w14:paraId="17B73564"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en-GB"/>
              </w:rPr>
            </w:pPr>
            <w:r w:rsidRPr="00655FC7">
              <w:rPr>
                <w:rFonts w:cstheme="minorHAnsi"/>
                <w:sz w:val="18"/>
                <w:szCs w:val="18"/>
              </w:rPr>
              <w:t>1</w:t>
            </w:r>
          </w:p>
        </w:tc>
      </w:tr>
    </w:tbl>
    <w:p w14:paraId="7D7B5181" w14:textId="77777777" w:rsidR="00D155AA" w:rsidRPr="00655FC7" w:rsidRDefault="00D155AA" w:rsidP="00D155AA">
      <w:pPr>
        <w:pStyle w:val="Cytat"/>
      </w:pPr>
      <w:r w:rsidRPr="00655FC7">
        <w:t>źródło: BDL GUS</w:t>
      </w:r>
    </w:p>
    <w:p w14:paraId="7EF2AFEE" w14:textId="77777777" w:rsidR="00D155AA" w:rsidRPr="00655FC7" w:rsidRDefault="00D155AA" w:rsidP="00D155AA">
      <w:pPr>
        <w:tabs>
          <w:tab w:val="left" w:pos="3119"/>
        </w:tabs>
        <w:spacing w:before="40"/>
        <w:jc w:val="center"/>
        <w:rPr>
          <w:rFonts w:cstheme="minorHAnsi"/>
          <w:color w:val="auto"/>
          <w:lang w:eastAsia="pl-PL"/>
        </w:rPr>
      </w:pPr>
    </w:p>
    <w:p w14:paraId="3F543738" w14:textId="77777777" w:rsidR="00D155AA" w:rsidRPr="00655FC7" w:rsidRDefault="00D155AA" w:rsidP="00D155AA">
      <w:pPr>
        <w:tabs>
          <w:tab w:val="left" w:pos="3119"/>
        </w:tabs>
        <w:rPr>
          <w:rFonts w:cstheme="minorHAnsi"/>
          <w:color w:val="auto"/>
          <w:szCs w:val="20"/>
          <w:lang w:eastAsia="pl-PL"/>
        </w:rPr>
      </w:pPr>
      <w:r w:rsidRPr="00655FC7">
        <w:rPr>
          <w:rFonts w:cstheme="minorHAnsi"/>
          <w:color w:val="auto"/>
          <w:szCs w:val="20"/>
          <w:lang w:eastAsia="pl-PL"/>
        </w:rPr>
        <w:t>W Mieście Tarnogród od 2019 roku można zauważyć zwiększającą się liczbę nowo zarejestrowanych podmiotów gospodarczych. 10 lat temu wskaźnik ten wynosił 333 i, po chwilowym trendzie spadkowym, w 2022 roku wyniósł już 353 podmioty. Najmniej podmiotów zarejestrowanych było w działalności rolnictwo, leśnictwo, łowiectwo i rybactwo, około 25% stanowiła działalność z sektora przemysłu i budownictwa, a resztę stanowiła pozostała działalność.</w:t>
      </w:r>
    </w:p>
    <w:p w14:paraId="1CD73FA1" w14:textId="77777777" w:rsidR="00D155AA" w:rsidRPr="00655FC7" w:rsidRDefault="00D155AA" w:rsidP="00D155AA">
      <w:pPr>
        <w:tabs>
          <w:tab w:val="left" w:pos="3119"/>
        </w:tabs>
        <w:ind w:left="644" w:firstLine="0"/>
        <w:rPr>
          <w:rFonts w:cstheme="minorHAnsi"/>
          <w:color w:val="auto"/>
          <w:shd w:val="clear" w:color="auto" w:fill="FFFFFF"/>
        </w:rPr>
      </w:pPr>
    </w:p>
    <w:p w14:paraId="08B0C6A1" w14:textId="77777777" w:rsidR="00D155AA" w:rsidRPr="00655FC7" w:rsidRDefault="00D155AA" w:rsidP="00D155AA">
      <w:pPr>
        <w:tabs>
          <w:tab w:val="left" w:pos="3119"/>
        </w:tabs>
        <w:ind w:firstLine="0"/>
        <w:jc w:val="center"/>
        <w:rPr>
          <w:rFonts w:cstheme="minorHAnsi"/>
          <w:color w:val="auto"/>
          <w:lang w:eastAsia="pl-PL"/>
        </w:rPr>
      </w:pPr>
      <w:r w:rsidRPr="00655FC7">
        <w:rPr>
          <w:noProof/>
        </w:rPr>
        <w:lastRenderedPageBreak/>
        <w:drawing>
          <wp:inline distT="0" distB="0" distL="0" distR="0" wp14:anchorId="0F8D315C" wp14:editId="3C5E3043">
            <wp:extent cx="5759450" cy="2880000"/>
            <wp:effectExtent l="0" t="0" r="12700" b="15875"/>
            <wp:docPr id="1392432373" name="Wykres 1">
              <a:extLst xmlns:a="http://schemas.openxmlformats.org/drawingml/2006/main">
                <a:ext uri="{FF2B5EF4-FFF2-40B4-BE49-F238E27FC236}">
                  <a16:creationId xmlns:a16="http://schemas.microsoft.com/office/drawing/2014/main" id="{0B053348-DA62-3DE4-B4B9-5066BDC0D0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0C0B861" w14:textId="7FB5874A" w:rsidR="00D155AA" w:rsidRPr="00655FC7" w:rsidRDefault="00D155AA" w:rsidP="00D155AA">
      <w:pPr>
        <w:pStyle w:val="Stylrysunek"/>
      </w:pPr>
      <w:bookmarkStart w:id="92" w:name="_Toc178846354"/>
      <w:r w:rsidRPr="00655FC7">
        <w:t xml:space="preserve">Rysunek </w:t>
      </w:r>
      <w:r w:rsidR="00EA4C85">
        <w:fldChar w:fldCharType="begin"/>
      </w:r>
      <w:r w:rsidR="00EA4C85">
        <w:instrText xml:space="preserve"> SEQ Rysunek \* ARABIC </w:instrText>
      </w:r>
      <w:r w:rsidR="00EA4C85">
        <w:fldChar w:fldCharType="separate"/>
      </w:r>
      <w:r w:rsidR="00A654D8">
        <w:rPr>
          <w:noProof/>
        </w:rPr>
        <w:t>12</w:t>
      </w:r>
      <w:r w:rsidR="00EA4C85">
        <w:rPr>
          <w:noProof/>
        </w:rPr>
        <w:fldChar w:fldCharType="end"/>
      </w:r>
      <w:r w:rsidRPr="00655FC7">
        <w:t>. Podmioty nowo zarejestrowane wg grup sekcji w latach 2013 – 2022.</w:t>
      </w:r>
      <w:bookmarkEnd w:id="92"/>
    </w:p>
    <w:p w14:paraId="7C6E02F4" w14:textId="77777777" w:rsidR="00D155AA" w:rsidRPr="00655FC7" w:rsidRDefault="00D155AA" w:rsidP="00D155AA">
      <w:pPr>
        <w:pStyle w:val="Cytat"/>
      </w:pPr>
      <w:r w:rsidRPr="00655FC7">
        <w:t>źródło: BDL GUS</w:t>
      </w:r>
    </w:p>
    <w:p w14:paraId="237440CE" w14:textId="77777777" w:rsidR="00D155AA" w:rsidRPr="00655FC7" w:rsidRDefault="00D155AA" w:rsidP="001853A7">
      <w:pPr>
        <w:rPr>
          <w:lang w:eastAsia="pl-PL"/>
        </w:rPr>
      </w:pPr>
    </w:p>
    <w:p w14:paraId="3DE6EF16" w14:textId="77777777" w:rsidR="00D155AA" w:rsidRPr="00655FC7" w:rsidRDefault="00D155AA" w:rsidP="00D155AA">
      <w:pPr>
        <w:tabs>
          <w:tab w:val="left" w:pos="3119"/>
        </w:tabs>
        <w:rPr>
          <w:rFonts w:cstheme="minorHAnsi"/>
          <w:color w:val="auto"/>
          <w:szCs w:val="20"/>
          <w:lang w:eastAsia="pl-PL"/>
        </w:rPr>
      </w:pPr>
      <w:r w:rsidRPr="00655FC7">
        <w:rPr>
          <w:rFonts w:cstheme="minorHAnsi"/>
          <w:color w:val="auto"/>
          <w:szCs w:val="20"/>
          <w:lang w:eastAsia="pl-PL"/>
        </w:rPr>
        <w:t>Poniżej zaprezentowano podział podmiotów według Polskiej Klasyfikacji Działalności (PKD). Jest to podział zbioru rodzajów działalności społeczno-gospodarczej, jakie realizują podmioty gospodarcze na następujące sekcje.</w:t>
      </w:r>
    </w:p>
    <w:p w14:paraId="5F6EE712" w14:textId="77777777" w:rsidR="00D155AA" w:rsidRPr="00655FC7" w:rsidRDefault="00D155AA" w:rsidP="00D155AA">
      <w:pPr>
        <w:tabs>
          <w:tab w:val="left" w:pos="3119"/>
        </w:tabs>
        <w:ind w:firstLine="0"/>
        <w:jc w:val="center"/>
        <w:rPr>
          <w:rFonts w:cstheme="minorHAnsi"/>
          <w:i/>
          <w:color w:val="auto"/>
          <w:szCs w:val="20"/>
          <w:lang w:eastAsia="pl-PL"/>
        </w:rPr>
      </w:pPr>
      <w:r w:rsidRPr="00655FC7">
        <w:rPr>
          <w:noProof/>
        </w:rPr>
        <w:drawing>
          <wp:inline distT="0" distB="0" distL="0" distR="0" wp14:anchorId="62D49E85" wp14:editId="11D2423D">
            <wp:extent cx="5760720" cy="4140000"/>
            <wp:effectExtent l="0" t="0" r="11430" b="13335"/>
            <wp:docPr id="250659053" name="Wykres 1">
              <a:extLst xmlns:a="http://schemas.openxmlformats.org/drawingml/2006/main">
                <a:ext uri="{FF2B5EF4-FFF2-40B4-BE49-F238E27FC236}">
                  <a16:creationId xmlns:a16="http://schemas.microsoft.com/office/drawing/2014/main" id="{A26DA3E9-B74F-5450-199B-E821EFEE4F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CA393B4" w14:textId="1245AA0F" w:rsidR="00D155AA" w:rsidRPr="00655FC7" w:rsidRDefault="00D155AA" w:rsidP="00D155AA">
      <w:pPr>
        <w:pStyle w:val="Stylrysunek"/>
      </w:pPr>
      <w:bookmarkStart w:id="93" w:name="_Toc178846355"/>
      <w:r w:rsidRPr="00655FC7">
        <w:t xml:space="preserve">Rysunek </w:t>
      </w:r>
      <w:r w:rsidR="00EA4C85">
        <w:fldChar w:fldCharType="begin"/>
      </w:r>
      <w:r w:rsidR="00EA4C85">
        <w:instrText xml:space="preserve"> SEQ Rysunek \* ARABIC </w:instrText>
      </w:r>
      <w:r w:rsidR="00EA4C85">
        <w:fldChar w:fldCharType="separate"/>
      </w:r>
      <w:r w:rsidR="00A654D8">
        <w:rPr>
          <w:noProof/>
        </w:rPr>
        <w:t>13</w:t>
      </w:r>
      <w:r w:rsidR="00EA4C85">
        <w:rPr>
          <w:noProof/>
        </w:rPr>
        <w:fldChar w:fldCharType="end"/>
      </w:r>
      <w:r w:rsidRPr="00655FC7">
        <w:t>. Podmioty wg sekcji PKD 2007 w roku 2022.</w:t>
      </w:r>
      <w:bookmarkEnd w:id="93"/>
    </w:p>
    <w:p w14:paraId="6A662506" w14:textId="77777777" w:rsidR="00D155AA" w:rsidRPr="00655FC7" w:rsidRDefault="00D155AA" w:rsidP="00D155AA">
      <w:pPr>
        <w:pStyle w:val="Cytat"/>
      </w:pPr>
      <w:r w:rsidRPr="00655FC7">
        <w:t>źródło: BDL GUS</w:t>
      </w:r>
    </w:p>
    <w:p w14:paraId="6BA73FB4" w14:textId="77777777" w:rsidR="00D155AA" w:rsidRPr="00655FC7" w:rsidRDefault="00D155AA" w:rsidP="00D155AA">
      <w:pPr>
        <w:tabs>
          <w:tab w:val="left" w:pos="3119"/>
        </w:tabs>
        <w:rPr>
          <w:rFonts w:cstheme="minorHAnsi"/>
          <w:color w:val="auto"/>
          <w:szCs w:val="20"/>
          <w:lang w:eastAsia="pl-PL"/>
        </w:rPr>
      </w:pPr>
      <w:r w:rsidRPr="00655FC7">
        <w:rPr>
          <w:rFonts w:cstheme="minorHAnsi"/>
          <w:color w:val="auto"/>
          <w:szCs w:val="20"/>
          <w:lang w:eastAsia="pl-PL"/>
        </w:rPr>
        <w:lastRenderedPageBreak/>
        <w:t xml:space="preserve">Można zauważyć, że na terenie Miasta Tarnogród najwięcej podmiotów gospodarczych zaliczanych jest do sekcji G (handel hurtowy i detaliczny; naprawa pojazdów samochodowych, włączając motocykle), Sekcji F (budownictwo) oraz Sekcja S i T (pozostała działalność usługowa oraz gospodarstwa domowe zatrudniające pracowników; gospodarstwa domowe produkujące wyroby i świadczące usługi na własne potrzeby), które sumarycznie tworzą 58,5% wszystkich podmiotów gospodarczych na terenie miasta. </w:t>
      </w:r>
    </w:p>
    <w:p w14:paraId="0A43C525" w14:textId="77777777" w:rsidR="00D155AA" w:rsidRPr="00655FC7" w:rsidRDefault="00D155AA" w:rsidP="00D155AA">
      <w:pPr>
        <w:tabs>
          <w:tab w:val="left" w:pos="3119"/>
        </w:tabs>
        <w:rPr>
          <w:rFonts w:cstheme="minorHAnsi"/>
          <w:color w:val="auto"/>
          <w:szCs w:val="20"/>
          <w:lang w:eastAsia="pl-PL"/>
        </w:rPr>
      </w:pPr>
    </w:p>
    <w:p w14:paraId="64EECD84" w14:textId="77777777" w:rsidR="00D155AA" w:rsidRPr="00655FC7" w:rsidRDefault="00D155AA" w:rsidP="001853A7">
      <w:pPr>
        <w:pStyle w:val="Nagwek4"/>
      </w:pPr>
      <w:r w:rsidRPr="00655FC7">
        <w:t>Turystyka</w:t>
      </w:r>
    </w:p>
    <w:p w14:paraId="384F402F" w14:textId="5237646B" w:rsidR="00D155AA" w:rsidRPr="00655FC7" w:rsidRDefault="00D155AA" w:rsidP="00D155AA">
      <w:pPr>
        <w:rPr>
          <w:rFonts w:cstheme="minorHAnsi"/>
          <w:color w:val="FF0000"/>
          <w:sz w:val="20"/>
          <w:szCs w:val="20"/>
          <w:lang w:eastAsia="pl-PL"/>
        </w:rPr>
      </w:pPr>
      <w:r w:rsidRPr="00655FC7">
        <w:rPr>
          <w:rFonts w:cstheme="minorHAnsi"/>
          <w:lang w:eastAsia="pl-PL"/>
        </w:rPr>
        <w:t>Jak można zauważyć na wykresie „Podmioty wg sekcji PKD 2007 w roku 2022” sekcja I czyli działalność związana z zakwaterowaniem i usługami gastronomicznymi stanowi 1,7% wszystkich podmiotów funkcjonujących na terenie Miasta Tarnogród. Sekcja R (działalność związana z kulturą, rozrywką i rekreacją) plasuje się na poziomie 2,2%.</w:t>
      </w:r>
    </w:p>
    <w:p w14:paraId="535E0EE2" w14:textId="77777777" w:rsidR="00D155AA" w:rsidRPr="00655FC7" w:rsidRDefault="00D155AA" w:rsidP="00D155AA">
      <w:pPr>
        <w:rPr>
          <w:rFonts w:cstheme="minorHAnsi"/>
          <w:lang w:eastAsia="pl-PL"/>
        </w:rPr>
      </w:pPr>
    </w:p>
    <w:p w14:paraId="5A6DDCB3" w14:textId="77777777" w:rsidR="00D155AA" w:rsidRPr="00655FC7" w:rsidRDefault="00D155AA" w:rsidP="00D155AA">
      <w:pPr>
        <w:contextualSpacing/>
        <w:rPr>
          <w:rFonts w:cstheme="minorHAnsi"/>
          <w:color w:val="auto"/>
          <w:lang w:eastAsia="pl-PL"/>
        </w:rPr>
      </w:pPr>
      <w:r w:rsidRPr="00655FC7">
        <w:rPr>
          <w:rFonts w:cstheme="minorHAnsi"/>
          <w:color w:val="auto"/>
          <w:lang w:eastAsia="pl-PL"/>
        </w:rPr>
        <w:t>Atrakcyjne położenie Tarnogrodu stwarza dogodne warunki do rozwoju specyficznych form rekreacji, takich jak turystyka piesza, rowerowa oraz wypoczynkowa. Walory turystyczne gminy podnosi jej bogactwo tj.: nieskażone środowisko naturalne, piękne krajobrazy, liczne akweny wodne stanowiące doskonałe warunki do wędkowania.</w:t>
      </w:r>
    </w:p>
    <w:p w14:paraId="43B8AEBF" w14:textId="77777777" w:rsidR="00D155AA" w:rsidRPr="00655FC7" w:rsidRDefault="00D155AA" w:rsidP="00D155AA">
      <w:pPr>
        <w:contextualSpacing/>
        <w:rPr>
          <w:rFonts w:cstheme="minorHAnsi"/>
          <w:color w:val="auto"/>
          <w:lang w:eastAsia="pl-PL"/>
        </w:rPr>
      </w:pPr>
    </w:p>
    <w:p w14:paraId="1F14A88F" w14:textId="4CEF0072" w:rsidR="00D155AA" w:rsidRPr="00655FC7" w:rsidRDefault="00D155AA" w:rsidP="00D155AA">
      <w:pPr>
        <w:contextualSpacing/>
        <w:rPr>
          <w:rFonts w:cstheme="minorHAnsi"/>
          <w:color w:val="auto"/>
          <w:lang w:eastAsia="pl-PL"/>
        </w:rPr>
      </w:pPr>
      <w:bookmarkStart w:id="94" w:name="_Hlk156898469"/>
      <w:r w:rsidRPr="00655FC7">
        <w:rPr>
          <w:rFonts w:cstheme="minorHAnsi"/>
          <w:color w:val="auto"/>
          <w:lang w:eastAsia="pl-PL"/>
        </w:rPr>
        <w:t>Potencjał stanowi też układ geograficzny miasta: dawne wały o funkcji obronnej tzw. Wały Tarnogrodzkie (w szczególności od ul. Wały Tarnogrodzkie / Lubaczowka do ul. Kościuszki / Krzywa) oraz cieki wodne (w szczególności dolina wzdłuż rzeki Złota pomiędzy ul. Przemieście Płuskie Wschód i Przedmieście Płuskie Zachód). Zagospodarowanie tych terenów poprzez nadanie im funkcji publicznych może przyczynić się do wzrostu znaczenia Tarnogrodu w turystyce.</w:t>
      </w:r>
    </w:p>
    <w:p w14:paraId="76934140" w14:textId="77777777" w:rsidR="00D155AA" w:rsidRPr="00655FC7" w:rsidRDefault="00D155AA" w:rsidP="00D155AA">
      <w:pPr>
        <w:contextualSpacing/>
        <w:rPr>
          <w:rFonts w:cstheme="minorHAnsi"/>
          <w:color w:val="auto"/>
          <w:lang w:eastAsia="pl-PL"/>
        </w:rPr>
      </w:pPr>
    </w:p>
    <w:p w14:paraId="0A3B2326" w14:textId="044A915F" w:rsidR="00D155AA" w:rsidRPr="00655FC7" w:rsidRDefault="00D155AA" w:rsidP="00D155AA">
      <w:pPr>
        <w:contextualSpacing/>
        <w:rPr>
          <w:rFonts w:cstheme="minorHAnsi"/>
          <w:color w:val="auto"/>
          <w:lang w:eastAsia="pl-PL"/>
        </w:rPr>
      </w:pPr>
      <w:r w:rsidRPr="00655FC7">
        <w:rPr>
          <w:rFonts w:cstheme="minorHAnsi"/>
          <w:color w:val="auto"/>
          <w:lang w:eastAsia="pl-PL"/>
        </w:rPr>
        <w:t>W celach marketingowych warto wykorzystać rolnictwo i przetwórstwo ekologiczne. Na terenie miasta funkcjonują obecnie trzy obiekty gastronomiczne, w tym jeden oferujący usługi noclegowe – pensjonat „Nad Złotą Nitką”, który na chwilę obecną stanowi wystarczające zaplecze dla występującego zapotrzebowania na noclegi. Pożądaną alternatywą, w szczególności w kontekście promocji upraw ekologicznych</w:t>
      </w:r>
      <w:r w:rsidR="001A6BE8" w:rsidRPr="00655FC7">
        <w:rPr>
          <w:rFonts w:cstheme="minorHAnsi"/>
          <w:color w:val="auto"/>
          <w:lang w:eastAsia="pl-PL"/>
        </w:rPr>
        <w:t>,</w:t>
      </w:r>
      <w:r w:rsidRPr="00655FC7">
        <w:rPr>
          <w:rFonts w:cstheme="minorHAnsi"/>
          <w:color w:val="auto"/>
          <w:lang w:eastAsia="pl-PL"/>
        </w:rPr>
        <w:t xml:space="preserve"> byłoby powstanie obiektów agroturystycznych, które aktualnie nie występują na omawianym terenie</w:t>
      </w:r>
      <w:r w:rsidRPr="00655FC7">
        <w:rPr>
          <w:rStyle w:val="Odwoanieprzypisudolnego"/>
          <w:rFonts w:cstheme="minorHAnsi"/>
          <w:color w:val="auto"/>
          <w:lang w:eastAsia="pl-PL"/>
        </w:rPr>
        <w:footnoteReference w:id="25"/>
      </w:r>
      <w:r w:rsidRPr="00655FC7">
        <w:rPr>
          <w:rFonts w:cstheme="minorHAnsi"/>
          <w:color w:val="auto"/>
          <w:lang w:eastAsia="pl-PL"/>
        </w:rPr>
        <w:t>.</w:t>
      </w:r>
    </w:p>
    <w:p w14:paraId="19C015B0" w14:textId="77777777" w:rsidR="00D155AA" w:rsidRPr="00655FC7" w:rsidRDefault="00D155AA" w:rsidP="00D155AA">
      <w:pPr>
        <w:contextualSpacing/>
        <w:rPr>
          <w:rFonts w:cstheme="minorHAnsi"/>
          <w:color w:val="auto"/>
          <w:lang w:eastAsia="pl-PL"/>
        </w:rPr>
      </w:pPr>
    </w:p>
    <w:p w14:paraId="790CD335" w14:textId="30096B72" w:rsidR="00D155AA" w:rsidRPr="00655FC7" w:rsidRDefault="00D155AA" w:rsidP="00D155AA">
      <w:pPr>
        <w:contextualSpacing/>
        <w:rPr>
          <w:rFonts w:cstheme="minorHAnsi"/>
          <w:color w:val="auto"/>
          <w:lang w:eastAsia="pl-PL"/>
        </w:rPr>
      </w:pPr>
      <w:r w:rsidRPr="00655FC7">
        <w:rPr>
          <w:rFonts w:cstheme="minorHAnsi"/>
          <w:color w:val="auto"/>
          <w:lang w:eastAsia="pl-PL"/>
        </w:rPr>
        <w:t xml:space="preserve">Istotność sektora turystyki została również wskazana w </w:t>
      </w:r>
      <w:r w:rsidRPr="00655FC7">
        <w:rPr>
          <w:rFonts w:cstheme="minorHAnsi"/>
          <w:i/>
          <w:iCs/>
          <w:color w:val="auto"/>
          <w:lang w:eastAsia="pl-PL"/>
        </w:rPr>
        <w:t>Strategii terytorialnej Partnerstwa Gmin Powiatu Biłgorajskiego dla rozwoju gospodarczego</w:t>
      </w:r>
      <w:r w:rsidRPr="00655FC7">
        <w:rPr>
          <w:rFonts w:cstheme="minorHAnsi"/>
          <w:color w:val="auto"/>
          <w:lang w:eastAsia="pl-PL"/>
        </w:rPr>
        <w:t>. Jako jeden z problemów obszaru zidentyfikowano niedostateczny zakres/ofertę usług turystycznych. Liczba miejsc noclegowych i</w:t>
      </w:r>
      <w:r w:rsidR="00486383" w:rsidRPr="00655FC7">
        <w:rPr>
          <w:rFonts w:cstheme="minorHAnsi"/>
          <w:color w:val="auto"/>
          <w:lang w:eastAsia="pl-PL"/>
        </w:rPr>
        <w:t> </w:t>
      </w:r>
      <w:r w:rsidRPr="00655FC7">
        <w:rPr>
          <w:rFonts w:cstheme="minorHAnsi"/>
          <w:color w:val="auto"/>
          <w:lang w:eastAsia="pl-PL"/>
        </w:rPr>
        <w:t>lokalnych atrakcji jest nadal niewielka, skłonności do podejmowania wspólnych działań różnych grup interesariuszy (samorząd, przedsiębiorcy, rolnicy, instytucje kultury, NGO) w zakresie kreowania, promowania i wspólnej relacji działań z zakresu tworzenia oraz rozwijania produktu turystycznego jest niska. Brakuje infrastruktury turystycznej (np. szlaków rowerowych i pieszych), która przyczyniałaby się do kreowania produktu turystycznego.</w:t>
      </w:r>
    </w:p>
    <w:p w14:paraId="7C0F8306" w14:textId="537777E6" w:rsidR="00D155AA" w:rsidRPr="00655FC7" w:rsidRDefault="00D155AA" w:rsidP="00D155AA">
      <w:pPr>
        <w:contextualSpacing/>
        <w:rPr>
          <w:rFonts w:cstheme="minorHAnsi"/>
          <w:color w:val="auto"/>
          <w:lang w:eastAsia="pl-PL"/>
        </w:rPr>
      </w:pPr>
      <w:r w:rsidRPr="00655FC7">
        <w:rPr>
          <w:rFonts w:cstheme="minorHAnsi"/>
          <w:color w:val="auto"/>
          <w:lang w:eastAsia="pl-PL"/>
        </w:rPr>
        <w:t>Jednym z kluczowych wyzwań stojących przed Partnerstwem jest zatem wykorzystanie potencjałów i walorów przyrodniczo-krajobrazowych obszar</w:t>
      </w:r>
      <w:r w:rsidR="001A6BE8" w:rsidRPr="00655FC7">
        <w:rPr>
          <w:rFonts w:cstheme="minorHAnsi"/>
          <w:color w:val="auto"/>
          <w:lang w:eastAsia="pl-PL"/>
        </w:rPr>
        <w:t>ów</w:t>
      </w:r>
      <w:r w:rsidRPr="00655FC7">
        <w:rPr>
          <w:rFonts w:cstheme="minorHAnsi"/>
          <w:color w:val="auto"/>
          <w:lang w:eastAsia="pl-PL"/>
        </w:rPr>
        <w:t xml:space="preserve"> dla rozwoju turystyki. W tym zakresie wyznaczono następujące ważne kwestie:</w:t>
      </w:r>
    </w:p>
    <w:p w14:paraId="7A22773C" w14:textId="52D8F52F" w:rsidR="00D155AA" w:rsidRPr="00655FC7" w:rsidRDefault="00D155AA">
      <w:pPr>
        <w:numPr>
          <w:ilvl w:val="0"/>
          <w:numId w:val="46"/>
        </w:numPr>
        <w:ind w:left="568" w:hanging="284"/>
        <w:contextualSpacing/>
        <w:rPr>
          <w:rFonts w:cstheme="minorHAnsi"/>
          <w:color w:val="auto"/>
          <w:lang w:eastAsia="pl-PL"/>
        </w:rPr>
      </w:pPr>
      <w:r w:rsidRPr="00655FC7">
        <w:rPr>
          <w:rFonts w:cstheme="minorHAnsi"/>
          <w:color w:val="auto"/>
          <w:lang w:eastAsia="pl-PL"/>
        </w:rPr>
        <w:lastRenderedPageBreak/>
        <w:t>prowadzenie dialogu z osobami i instytucjami zajmującymi się szeroko rozumianą kulturą i</w:t>
      </w:r>
      <w:r w:rsidR="00350F0E" w:rsidRPr="00655FC7">
        <w:rPr>
          <w:rFonts w:cstheme="minorHAnsi"/>
          <w:color w:val="auto"/>
          <w:lang w:eastAsia="pl-PL"/>
        </w:rPr>
        <w:t> </w:t>
      </w:r>
      <w:r w:rsidRPr="00655FC7">
        <w:rPr>
          <w:rFonts w:cstheme="minorHAnsi"/>
          <w:color w:val="auto"/>
          <w:lang w:eastAsia="pl-PL"/>
        </w:rPr>
        <w:t xml:space="preserve">turystyką, który winien zaowocować wspólnymi inicjatywami w zakresie rozwoju produktu turystyczno-rekreacyjnego; </w:t>
      </w:r>
    </w:p>
    <w:p w14:paraId="174534F5" w14:textId="77777777" w:rsidR="00D155AA" w:rsidRPr="00655FC7" w:rsidRDefault="00D155AA">
      <w:pPr>
        <w:numPr>
          <w:ilvl w:val="0"/>
          <w:numId w:val="46"/>
        </w:numPr>
        <w:ind w:left="568" w:hanging="284"/>
        <w:contextualSpacing/>
        <w:rPr>
          <w:rFonts w:cstheme="minorHAnsi"/>
          <w:color w:val="auto"/>
          <w:lang w:eastAsia="pl-PL"/>
        </w:rPr>
      </w:pPr>
      <w:r w:rsidRPr="00655FC7">
        <w:rPr>
          <w:rFonts w:cstheme="minorHAnsi"/>
          <w:color w:val="auto"/>
          <w:lang w:eastAsia="pl-PL"/>
        </w:rPr>
        <w:t xml:space="preserve">wykreowanie marki miejsca z atrakcyjną, zróżnicowaną i dostępną ofertą turystyczno-rekreacyjną; </w:t>
      </w:r>
    </w:p>
    <w:p w14:paraId="550D4DBB" w14:textId="77777777" w:rsidR="00D155AA" w:rsidRPr="00655FC7" w:rsidRDefault="00D155AA">
      <w:pPr>
        <w:numPr>
          <w:ilvl w:val="0"/>
          <w:numId w:val="46"/>
        </w:numPr>
        <w:ind w:left="568" w:hanging="284"/>
        <w:contextualSpacing/>
        <w:rPr>
          <w:rFonts w:cstheme="minorHAnsi"/>
          <w:color w:val="auto"/>
          <w:lang w:eastAsia="pl-PL"/>
        </w:rPr>
      </w:pPr>
      <w:r w:rsidRPr="00655FC7">
        <w:rPr>
          <w:rFonts w:cstheme="minorHAnsi"/>
          <w:color w:val="auto"/>
          <w:lang w:eastAsia="pl-PL"/>
        </w:rPr>
        <w:t xml:space="preserve">rozbudowa infrastruktury turystycznej, w tym np. ścieżek rowerowych łączących atrakcje obszaru; </w:t>
      </w:r>
    </w:p>
    <w:p w14:paraId="7A6BD7A5" w14:textId="77777777" w:rsidR="00D155AA" w:rsidRPr="00655FC7" w:rsidRDefault="00D155AA">
      <w:pPr>
        <w:numPr>
          <w:ilvl w:val="0"/>
          <w:numId w:val="46"/>
        </w:numPr>
        <w:ind w:left="568" w:hanging="284"/>
        <w:contextualSpacing/>
        <w:rPr>
          <w:rFonts w:cstheme="minorHAnsi"/>
          <w:color w:val="auto"/>
          <w:lang w:eastAsia="pl-PL"/>
        </w:rPr>
      </w:pPr>
      <w:r w:rsidRPr="00655FC7">
        <w:rPr>
          <w:rFonts w:cstheme="minorHAnsi"/>
          <w:color w:val="auto"/>
          <w:lang w:eastAsia="pl-PL"/>
        </w:rPr>
        <w:t xml:space="preserve">wzmocnienie podstaw rozwoju turystyki kulinarnej na obszarze Partnerstwa; </w:t>
      </w:r>
    </w:p>
    <w:p w14:paraId="163CD78B" w14:textId="77777777" w:rsidR="00D155AA" w:rsidRPr="00655FC7" w:rsidRDefault="00D155AA">
      <w:pPr>
        <w:numPr>
          <w:ilvl w:val="0"/>
          <w:numId w:val="46"/>
        </w:numPr>
        <w:ind w:left="568" w:hanging="284"/>
        <w:contextualSpacing/>
        <w:rPr>
          <w:rFonts w:cstheme="minorHAnsi"/>
          <w:color w:val="auto"/>
          <w:lang w:eastAsia="pl-PL"/>
        </w:rPr>
      </w:pPr>
      <w:r w:rsidRPr="00655FC7">
        <w:rPr>
          <w:rFonts w:cstheme="minorHAnsi"/>
          <w:color w:val="auto"/>
          <w:lang w:eastAsia="pl-PL"/>
        </w:rPr>
        <w:t>intensyfikacja promocji gmin Partnerstwa</w:t>
      </w:r>
      <w:r w:rsidRPr="00655FC7">
        <w:rPr>
          <w:rStyle w:val="Odwoanieprzypisudolnego"/>
          <w:rFonts w:cstheme="minorHAnsi"/>
          <w:color w:val="auto"/>
          <w:lang w:eastAsia="pl-PL"/>
        </w:rPr>
        <w:footnoteReference w:id="26"/>
      </w:r>
      <w:r w:rsidRPr="00655FC7">
        <w:rPr>
          <w:rFonts w:cstheme="minorHAnsi"/>
          <w:color w:val="auto"/>
          <w:lang w:eastAsia="pl-PL"/>
        </w:rPr>
        <w:t xml:space="preserve">. </w:t>
      </w:r>
    </w:p>
    <w:p w14:paraId="3725BA0D" w14:textId="77777777" w:rsidR="00D155AA" w:rsidRPr="00655FC7" w:rsidRDefault="00D155AA" w:rsidP="00D155AA">
      <w:pPr>
        <w:contextualSpacing/>
        <w:rPr>
          <w:rFonts w:cstheme="minorHAnsi"/>
          <w:color w:val="auto"/>
          <w:lang w:eastAsia="pl-PL"/>
        </w:rPr>
      </w:pPr>
    </w:p>
    <w:bookmarkEnd w:id="94"/>
    <w:p w14:paraId="3D5F544C" w14:textId="77777777" w:rsidR="00D155AA" w:rsidRPr="00655FC7" w:rsidRDefault="00D155AA" w:rsidP="001A6BE8">
      <w:pPr>
        <w:pStyle w:val="Nagwek4"/>
      </w:pPr>
      <w:r w:rsidRPr="00655FC7">
        <w:t>Dochody i wydatki</w:t>
      </w:r>
    </w:p>
    <w:p w14:paraId="0D31BDB5" w14:textId="0D8D5ED0" w:rsidR="00D155AA" w:rsidRPr="00655FC7" w:rsidRDefault="00D155AA" w:rsidP="00D155AA">
      <w:pPr>
        <w:tabs>
          <w:tab w:val="left" w:pos="3119"/>
        </w:tabs>
        <w:rPr>
          <w:rFonts w:cstheme="minorHAnsi"/>
          <w:color w:val="auto"/>
        </w:rPr>
      </w:pPr>
      <w:r w:rsidRPr="00655FC7">
        <w:rPr>
          <w:rFonts w:cstheme="minorHAnsi"/>
          <w:color w:val="auto"/>
        </w:rPr>
        <w:t xml:space="preserve">Analizując poniższy wykres wyraźnie widać, że dochody i wydatki na 1 mieszkańca w przeciągu ostatnich lat wyraźnie wzrosły. Różnica pomiędzy dochodami i wydatkami była dodatnia w większości wypadków </w:t>
      </w:r>
      <w:r w:rsidR="001A6BE8" w:rsidRPr="00655FC7">
        <w:rPr>
          <w:rFonts w:cstheme="minorHAnsi"/>
          <w:color w:val="auto"/>
        </w:rPr>
        <w:t xml:space="preserve">– </w:t>
      </w:r>
      <w:r w:rsidRPr="00655FC7">
        <w:rPr>
          <w:rFonts w:cstheme="minorHAnsi"/>
          <w:color w:val="auto"/>
        </w:rPr>
        <w:t>wyjątkiem są lata 2018 i 2019 oraz rok 2022, gdzie ta różnica była największa.</w:t>
      </w:r>
    </w:p>
    <w:p w14:paraId="484770EA" w14:textId="77777777" w:rsidR="00D155AA" w:rsidRPr="00655FC7" w:rsidRDefault="00D155AA" w:rsidP="00D155AA">
      <w:pPr>
        <w:tabs>
          <w:tab w:val="left" w:pos="3119"/>
        </w:tabs>
        <w:rPr>
          <w:rFonts w:cstheme="minorHAnsi"/>
          <w:color w:val="auto"/>
        </w:rPr>
      </w:pPr>
    </w:p>
    <w:p w14:paraId="77C3A8A1" w14:textId="77777777" w:rsidR="00D155AA" w:rsidRPr="00655FC7" w:rsidRDefault="00D155AA" w:rsidP="00D155AA">
      <w:pPr>
        <w:tabs>
          <w:tab w:val="left" w:pos="3119"/>
        </w:tabs>
        <w:ind w:firstLine="0"/>
        <w:rPr>
          <w:rFonts w:cstheme="minorHAnsi"/>
          <w:color w:val="FF0000"/>
        </w:rPr>
      </w:pPr>
      <w:r w:rsidRPr="00655FC7">
        <w:rPr>
          <w:noProof/>
        </w:rPr>
        <w:drawing>
          <wp:inline distT="0" distB="0" distL="0" distR="0" wp14:anchorId="4A43E38B" wp14:editId="214964A2">
            <wp:extent cx="5760000" cy="3600000"/>
            <wp:effectExtent l="0" t="0" r="12700" b="635"/>
            <wp:docPr id="1016387645" name="Wykres 1">
              <a:extLst xmlns:a="http://schemas.openxmlformats.org/drawingml/2006/main">
                <a:ext uri="{FF2B5EF4-FFF2-40B4-BE49-F238E27FC236}">
                  <a16:creationId xmlns:a16="http://schemas.microsoft.com/office/drawing/2014/main" id="{DD8A819C-66AD-8ACC-DFBF-17C2D01452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82930B6" w14:textId="5EE391F1" w:rsidR="00D155AA" w:rsidRPr="00655FC7" w:rsidRDefault="00D155AA" w:rsidP="00D155AA">
      <w:pPr>
        <w:pStyle w:val="Stylrysunek"/>
      </w:pPr>
      <w:bookmarkStart w:id="95" w:name="_Toc178846356"/>
      <w:r w:rsidRPr="00655FC7">
        <w:t xml:space="preserve">Rysunek </w:t>
      </w:r>
      <w:r w:rsidR="00EA4C85">
        <w:fldChar w:fldCharType="begin"/>
      </w:r>
      <w:r w:rsidR="00EA4C85">
        <w:instrText xml:space="preserve"> SEQ Rysunek \* ARABIC </w:instrText>
      </w:r>
      <w:r w:rsidR="00EA4C85">
        <w:fldChar w:fldCharType="separate"/>
      </w:r>
      <w:r w:rsidR="00A654D8">
        <w:rPr>
          <w:noProof/>
        </w:rPr>
        <w:t>14</w:t>
      </w:r>
      <w:r w:rsidR="00EA4C85">
        <w:rPr>
          <w:noProof/>
        </w:rPr>
        <w:fldChar w:fldCharType="end"/>
      </w:r>
      <w:r w:rsidRPr="00655FC7">
        <w:t>. Dochody i wydatki na 1 mieszkańca (dane dla gminy Tarnogród).</w:t>
      </w:r>
      <w:bookmarkEnd w:id="95"/>
    </w:p>
    <w:p w14:paraId="4F3E7249" w14:textId="390AD489" w:rsidR="00D155AA" w:rsidRPr="00655FC7" w:rsidRDefault="00D155AA" w:rsidP="00D155AA">
      <w:pPr>
        <w:pStyle w:val="Cytat"/>
      </w:pPr>
      <w:r w:rsidRPr="00655FC7">
        <w:t xml:space="preserve">Źródło: BDL GUS, opracowanie </w:t>
      </w:r>
      <w:r w:rsidR="00963644">
        <w:t>własne</w:t>
      </w:r>
    </w:p>
    <w:p w14:paraId="29B32EE4" w14:textId="77777777" w:rsidR="00D155AA" w:rsidRPr="00655FC7" w:rsidRDefault="00D155AA" w:rsidP="005A180D">
      <w:pPr>
        <w:rPr>
          <w:lang w:eastAsia="pl-PL"/>
        </w:rPr>
      </w:pPr>
    </w:p>
    <w:p w14:paraId="5A1AA889" w14:textId="77777777" w:rsidR="00D155AA" w:rsidRPr="00655FC7" w:rsidRDefault="00D155AA" w:rsidP="00D155AA">
      <w:pPr>
        <w:rPr>
          <w:rFonts w:cstheme="minorHAnsi"/>
          <w:lang w:eastAsia="pl-PL"/>
        </w:rPr>
      </w:pPr>
      <w:r w:rsidRPr="00655FC7">
        <w:rPr>
          <w:rFonts w:cstheme="minorHAnsi"/>
          <w:lang w:eastAsia="pl-PL"/>
        </w:rPr>
        <w:t>Pomiędzy rokiem 2013 a 2022 nastąpił wzrost wydatków zarówno na gospodarkę komunalną i ochronę środowiska oraz transport i łączność, jak i na bezpieczeństwo publiczne i ochronę pożarową oraz ochronę zdrowia (rysunek poniżej).</w:t>
      </w:r>
    </w:p>
    <w:p w14:paraId="4BC06317" w14:textId="77777777" w:rsidR="00D155AA" w:rsidRPr="00655FC7" w:rsidRDefault="00D155AA" w:rsidP="00D155AA">
      <w:pPr>
        <w:rPr>
          <w:rFonts w:cstheme="minorHAnsi"/>
          <w:lang w:eastAsia="pl-PL"/>
        </w:rPr>
      </w:pPr>
    </w:p>
    <w:p w14:paraId="2EA64299" w14:textId="77777777" w:rsidR="00D155AA" w:rsidRPr="00655FC7" w:rsidRDefault="00D155AA" w:rsidP="005A180D">
      <w:pPr>
        <w:tabs>
          <w:tab w:val="left" w:pos="3119"/>
        </w:tabs>
        <w:ind w:firstLine="0"/>
        <w:jc w:val="center"/>
        <w:rPr>
          <w:rFonts w:cstheme="minorHAnsi"/>
          <w:color w:val="auto"/>
        </w:rPr>
      </w:pPr>
      <w:r w:rsidRPr="00655FC7">
        <w:rPr>
          <w:noProof/>
        </w:rPr>
        <w:lastRenderedPageBreak/>
        <w:drawing>
          <wp:inline distT="0" distB="0" distL="0" distR="0" wp14:anchorId="423358B9" wp14:editId="0641CCB7">
            <wp:extent cx="5760000" cy="2880000"/>
            <wp:effectExtent l="0" t="0" r="12700" b="15875"/>
            <wp:docPr id="324800977" name="Wykres 1">
              <a:extLst xmlns:a="http://schemas.openxmlformats.org/drawingml/2006/main">
                <a:ext uri="{FF2B5EF4-FFF2-40B4-BE49-F238E27FC236}">
                  <a16:creationId xmlns:a16="http://schemas.microsoft.com/office/drawing/2014/main" id="{3F506775-380D-6616-1617-C72F8FD367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3B55A7DF" w14:textId="24C07E78" w:rsidR="00D155AA" w:rsidRPr="00655FC7" w:rsidRDefault="00D155AA" w:rsidP="00D155AA">
      <w:pPr>
        <w:pStyle w:val="Stylrysunek"/>
      </w:pPr>
      <w:bookmarkStart w:id="96" w:name="_Toc178846357"/>
      <w:r w:rsidRPr="00655FC7">
        <w:t xml:space="preserve">Rysunek </w:t>
      </w:r>
      <w:r w:rsidR="00EA4C85">
        <w:fldChar w:fldCharType="begin"/>
      </w:r>
      <w:r w:rsidR="00EA4C85">
        <w:instrText xml:space="preserve"> SEQ Rysunek \* ARABIC </w:instrText>
      </w:r>
      <w:r w:rsidR="00EA4C85">
        <w:fldChar w:fldCharType="separate"/>
      </w:r>
      <w:r w:rsidR="00A654D8">
        <w:rPr>
          <w:noProof/>
        </w:rPr>
        <w:t>15</w:t>
      </w:r>
      <w:r w:rsidR="00EA4C85">
        <w:rPr>
          <w:noProof/>
        </w:rPr>
        <w:fldChar w:fldCharType="end"/>
      </w:r>
      <w:r w:rsidRPr="00655FC7">
        <w:t>. Wydatki na wybrane działy (dane dla gminy Tarnogród).</w:t>
      </w:r>
      <w:bookmarkEnd w:id="96"/>
    </w:p>
    <w:p w14:paraId="6015EA01" w14:textId="6A3EB88A" w:rsidR="00D155AA" w:rsidRPr="00655FC7" w:rsidRDefault="00D155AA" w:rsidP="00D155AA">
      <w:pPr>
        <w:pStyle w:val="Cytat"/>
      </w:pPr>
      <w:r w:rsidRPr="00655FC7">
        <w:t xml:space="preserve">Źródło: BDL GUS, opracowanie </w:t>
      </w:r>
      <w:r w:rsidR="00963644">
        <w:t>własne</w:t>
      </w:r>
    </w:p>
    <w:p w14:paraId="43BF19F4" w14:textId="77777777" w:rsidR="00D155AA" w:rsidRPr="00655FC7" w:rsidRDefault="00D155AA" w:rsidP="005A180D">
      <w:pPr>
        <w:rPr>
          <w:lang w:eastAsia="pl-PL"/>
        </w:rPr>
      </w:pPr>
    </w:p>
    <w:p w14:paraId="15538D92" w14:textId="77777777" w:rsidR="00D155AA" w:rsidRPr="00655FC7" w:rsidRDefault="00D155AA" w:rsidP="001A6BE8">
      <w:pPr>
        <w:pStyle w:val="Nagwek4"/>
      </w:pPr>
      <w:r w:rsidRPr="00655FC7">
        <w:t>Organizacje pozarządowe</w:t>
      </w:r>
    </w:p>
    <w:p w14:paraId="416ACB0B" w14:textId="1DDDA09A" w:rsidR="00D155AA" w:rsidRPr="00655FC7" w:rsidRDefault="00D155AA" w:rsidP="00D155AA">
      <w:pPr>
        <w:rPr>
          <w:rFonts w:cstheme="minorHAnsi"/>
          <w:lang w:eastAsia="pl-PL"/>
        </w:rPr>
      </w:pPr>
      <w:r w:rsidRPr="00655FC7">
        <w:rPr>
          <w:rFonts w:cstheme="minorHAnsi"/>
          <w:color w:val="auto"/>
          <w:lang w:eastAsia="pl-PL"/>
        </w:rPr>
        <w:t>Na terenie Miasta Tarnogród funkcjonuje 1 fundacja oraz 13 stowarzyszeń i organizacji społecznych (dane dla roku 202</w:t>
      </w:r>
      <w:r w:rsidR="001A6BE8" w:rsidRPr="00655FC7">
        <w:rPr>
          <w:rFonts w:cstheme="minorHAnsi"/>
          <w:color w:val="auto"/>
          <w:lang w:eastAsia="pl-PL"/>
        </w:rPr>
        <w:t>2</w:t>
      </w:r>
      <w:r w:rsidRPr="00655FC7">
        <w:rPr>
          <w:rFonts w:cstheme="minorHAnsi"/>
          <w:color w:val="auto"/>
          <w:lang w:eastAsia="pl-PL"/>
        </w:rPr>
        <w:t xml:space="preserve">). </w:t>
      </w:r>
      <w:r w:rsidRPr="00655FC7">
        <w:rPr>
          <w:rFonts w:cstheme="minorHAnsi"/>
          <w:lang w:eastAsia="pl-PL"/>
        </w:rPr>
        <w:t>Ilość fundacji, stowarzyszeń i organizacji społecznych na 1000 mieszkańców w ostatnich latach wzrosła (rysunek poniżej).</w:t>
      </w:r>
    </w:p>
    <w:p w14:paraId="38FC36E5" w14:textId="77777777" w:rsidR="00D155AA" w:rsidRPr="00655FC7" w:rsidRDefault="00D155AA" w:rsidP="001A6BE8">
      <w:pPr>
        <w:rPr>
          <w:lang w:eastAsia="pl-PL"/>
        </w:rPr>
      </w:pPr>
    </w:p>
    <w:p w14:paraId="3ED2B71F" w14:textId="77777777" w:rsidR="00D155AA" w:rsidRPr="00655FC7" w:rsidRDefault="00D155AA" w:rsidP="005A180D">
      <w:pPr>
        <w:tabs>
          <w:tab w:val="left" w:pos="3119"/>
        </w:tabs>
        <w:spacing w:line="240" w:lineRule="auto"/>
        <w:ind w:firstLine="0"/>
        <w:rPr>
          <w:rFonts w:eastAsiaTheme="minorEastAsia" w:cstheme="minorHAnsi"/>
          <w:b/>
          <w:bCs/>
          <w:color w:val="auto"/>
          <w:sz w:val="20"/>
          <w:szCs w:val="18"/>
          <w:lang w:eastAsia="pl-PL"/>
        </w:rPr>
      </w:pPr>
      <w:r w:rsidRPr="00655FC7">
        <w:rPr>
          <w:noProof/>
        </w:rPr>
        <w:drawing>
          <wp:inline distT="0" distB="0" distL="0" distR="0" wp14:anchorId="09141AF7" wp14:editId="06BBB3F3">
            <wp:extent cx="5760000" cy="1440000"/>
            <wp:effectExtent l="0" t="0" r="12700" b="8255"/>
            <wp:docPr id="106259976" name="Wykres 1">
              <a:extLst xmlns:a="http://schemas.openxmlformats.org/drawingml/2006/main">
                <a:ext uri="{FF2B5EF4-FFF2-40B4-BE49-F238E27FC236}">
                  <a16:creationId xmlns:a16="http://schemas.microsoft.com/office/drawing/2014/main" id="{CF93FF4B-3546-5828-174B-56970E85CD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4C8087D" w14:textId="6F92A6B3" w:rsidR="00D155AA" w:rsidRPr="00655FC7" w:rsidRDefault="00D155AA" w:rsidP="00D155AA">
      <w:pPr>
        <w:pStyle w:val="Stylrysunek"/>
      </w:pPr>
      <w:bookmarkStart w:id="97" w:name="_Toc178846358"/>
      <w:r w:rsidRPr="00655FC7">
        <w:t xml:space="preserve">Rysunek </w:t>
      </w:r>
      <w:r w:rsidR="00EA4C85">
        <w:fldChar w:fldCharType="begin"/>
      </w:r>
      <w:r w:rsidR="00EA4C85">
        <w:instrText xml:space="preserve"> SEQ Rysunek \* ARABIC </w:instrText>
      </w:r>
      <w:r w:rsidR="00EA4C85">
        <w:fldChar w:fldCharType="separate"/>
      </w:r>
      <w:r w:rsidR="00A654D8">
        <w:rPr>
          <w:noProof/>
        </w:rPr>
        <w:t>16</w:t>
      </w:r>
      <w:r w:rsidR="00EA4C85">
        <w:rPr>
          <w:noProof/>
        </w:rPr>
        <w:fldChar w:fldCharType="end"/>
      </w:r>
      <w:r w:rsidRPr="00655FC7">
        <w:t>. Fundacje, stowarzyszenia i organizacje społeczne na 1000 mieszkańców.</w:t>
      </w:r>
      <w:bookmarkEnd w:id="97"/>
    </w:p>
    <w:p w14:paraId="78FA7049" w14:textId="4E9E2D28" w:rsidR="00D155AA" w:rsidRPr="00655FC7" w:rsidRDefault="00D155AA" w:rsidP="00D155AA">
      <w:pPr>
        <w:pStyle w:val="Cytat"/>
      </w:pPr>
      <w:r w:rsidRPr="00655FC7">
        <w:t xml:space="preserve">Źródło: BDL GUS, opracowanie </w:t>
      </w:r>
      <w:r w:rsidR="00963644">
        <w:t>własne</w:t>
      </w:r>
    </w:p>
    <w:p w14:paraId="3AB2884C" w14:textId="77777777" w:rsidR="00D155AA" w:rsidRPr="00655FC7" w:rsidRDefault="00D155AA" w:rsidP="00D155AA">
      <w:pPr>
        <w:jc w:val="left"/>
        <w:rPr>
          <w:rFonts w:cstheme="minorHAnsi"/>
          <w:lang w:eastAsia="pl-PL"/>
        </w:rPr>
      </w:pPr>
    </w:p>
    <w:p w14:paraId="6E23951D" w14:textId="3B163165" w:rsidR="00D155AA" w:rsidRPr="00655FC7" w:rsidRDefault="00D155AA" w:rsidP="00D155AA">
      <w:pPr>
        <w:rPr>
          <w:rFonts w:cstheme="minorHAnsi"/>
          <w:lang w:eastAsia="pl-PL"/>
        </w:rPr>
      </w:pPr>
      <w:r w:rsidRPr="00655FC7">
        <w:rPr>
          <w:rFonts w:cstheme="minorHAnsi"/>
          <w:lang w:eastAsia="pl-PL"/>
        </w:rPr>
        <w:t>Aktualnie (stan na 25.03.2024 r.) na terenie całej Gminy Tarnogród działają 21 stowarzyszenia</w:t>
      </w:r>
      <w:r w:rsidR="001A6BE8" w:rsidRPr="00655FC7">
        <w:rPr>
          <w:rFonts w:cstheme="minorHAnsi"/>
          <w:lang w:eastAsia="pl-PL"/>
        </w:rPr>
        <w:br/>
      </w:r>
      <w:r w:rsidRPr="00655FC7">
        <w:rPr>
          <w:rFonts w:cstheme="minorHAnsi"/>
          <w:lang w:eastAsia="pl-PL"/>
        </w:rPr>
        <w:t>i 2 fundacje.</w:t>
      </w:r>
    </w:p>
    <w:p w14:paraId="661C5AA4" w14:textId="77777777" w:rsidR="00D155AA" w:rsidRPr="00655FC7" w:rsidRDefault="00D155AA" w:rsidP="00D155AA">
      <w:pPr>
        <w:rPr>
          <w:rFonts w:cstheme="minorHAnsi"/>
          <w:lang w:eastAsia="pl-PL"/>
        </w:rPr>
      </w:pPr>
    </w:p>
    <w:p w14:paraId="68CE2F00" w14:textId="77777777" w:rsidR="00D155AA" w:rsidRPr="00655FC7" w:rsidRDefault="00D155AA" w:rsidP="00D155AA">
      <w:pPr>
        <w:rPr>
          <w:rFonts w:cstheme="minorHAnsi"/>
          <w:lang w:eastAsia="pl-PL"/>
        </w:rPr>
      </w:pPr>
      <w:r w:rsidRPr="00655FC7">
        <w:rPr>
          <w:rFonts w:cstheme="minorHAnsi"/>
          <w:lang w:eastAsia="pl-PL"/>
        </w:rPr>
        <w:t xml:space="preserve">W 2024 roku w Gminie funkcjonuje </w:t>
      </w:r>
      <w:r w:rsidRPr="00655FC7">
        <w:rPr>
          <w:rFonts w:cstheme="minorHAnsi"/>
          <w:i/>
          <w:iCs/>
          <w:lang w:eastAsia="pl-PL"/>
        </w:rPr>
        <w:t>Program współpracy z organizacjami pozarządowymi</w:t>
      </w:r>
      <w:r w:rsidRPr="00655FC7">
        <w:rPr>
          <w:rFonts w:cstheme="minorHAnsi"/>
          <w:lang w:eastAsia="pl-PL"/>
        </w:rPr>
        <w:t>, którego głównym celem jest kształtowanie partnerstwa gminy z organizacjami zarządowymi dla wspólnych działań służących definiowaniu i zaspokajaniu potrzeb mieszkańców oraz wzmacnianie aktywności społeczności lokalnej.</w:t>
      </w:r>
    </w:p>
    <w:p w14:paraId="48EE02A5" w14:textId="77777777" w:rsidR="00D155AA" w:rsidRPr="00655FC7" w:rsidRDefault="00D155AA" w:rsidP="00D155AA">
      <w:pPr>
        <w:rPr>
          <w:rFonts w:cstheme="minorHAnsi"/>
          <w:i/>
          <w:iCs/>
          <w:lang w:eastAsia="pl-PL"/>
        </w:rPr>
      </w:pPr>
      <w:r w:rsidRPr="00655FC7">
        <w:rPr>
          <w:rFonts w:cstheme="minorHAnsi"/>
          <w:lang w:eastAsia="pl-PL"/>
        </w:rPr>
        <w:t>Celami szczegółowymi programu są:</w:t>
      </w:r>
    </w:p>
    <w:p w14:paraId="6DE84024" w14:textId="77777777" w:rsidR="00D155AA" w:rsidRPr="00655FC7" w:rsidRDefault="00D155AA">
      <w:pPr>
        <w:pStyle w:val="Akapitzlist"/>
        <w:numPr>
          <w:ilvl w:val="0"/>
          <w:numId w:val="47"/>
        </w:numPr>
        <w:ind w:left="641" w:hanging="357"/>
        <w:rPr>
          <w:rFonts w:cstheme="minorHAnsi"/>
          <w:lang w:eastAsia="pl-PL"/>
        </w:rPr>
      </w:pPr>
      <w:r w:rsidRPr="00655FC7">
        <w:rPr>
          <w:rFonts w:cstheme="minorHAnsi"/>
          <w:lang w:eastAsia="pl-PL"/>
        </w:rPr>
        <w:t xml:space="preserve">kształtowanie społeczeństwa obywatelskiego w Gminie poprzez tworzenie sprzyjających warunków dla powstawania inicjatyw lokalnych i wsparcia aktywności obywatelskiej mieszkańców Gminy, </w:t>
      </w:r>
    </w:p>
    <w:p w14:paraId="01F19ADF" w14:textId="711C5A46" w:rsidR="00D155AA" w:rsidRPr="00655FC7" w:rsidRDefault="00D155AA">
      <w:pPr>
        <w:pStyle w:val="Akapitzlist"/>
        <w:numPr>
          <w:ilvl w:val="0"/>
          <w:numId w:val="47"/>
        </w:numPr>
        <w:ind w:left="641" w:hanging="357"/>
        <w:rPr>
          <w:rFonts w:cstheme="minorHAnsi"/>
          <w:lang w:eastAsia="pl-PL"/>
        </w:rPr>
      </w:pPr>
      <w:r w:rsidRPr="00655FC7">
        <w:rPr>
          <w:rFonts w:cstheme="minorHAnsi"/>
          <w:lang w:eastAsia="pl-PL"/>
        </w:rPr>
        <w:lastRenderedPageBreak/>
        <w:t>umacnianie w świadomości społecznej poczucia odpowiedzialności za siebie, swoje otoczenie i</w:t>
      </w:r>
      <w:r w:rsidR="001A6BE8" w:rsidRPr="00655FC7">
        <w:rPr>
          <w:rFonts w:cstheme="minorHAnsi"/>
          <w:lang w:eastAsia="pl-PL"/>
        </w:rPr>
        <w:t> </w:t>
      </w:r>
      <w:r w:rsidRPr="00655FC7">
        <w:rPr>
          <w:rFonts w:cstheme="minorHAnsi"/>
          <w:lang w:eastAsia="pl-PL"/>
        </w:rPr>
        <w:t xml:space="preserve">wspólnotę lokalną oraz jej tradycje, </w:t>
      </w:r>
    </w:p>
    <w:p w14:paraId="2CCEFECE" w14:textId="77777777" w:rsidR="00D155AA" w:rsidRPr="00655FC7" w:rsidRDefault="00D155AA">
      <w:pPr>
        <w:pStyle w:val="Akapitzlist"/>
        <w:numPr>
          <w:ilvl w:val="0"/>
          <w:numId w:val="47"/>
        </w:numPr>
        <w:ind w:left="641" w:hanging="357"/>
        <w:rPr>
          <w:rFonts w:cstheme="minorHAnsi"/>
          <w:lang w:eastAsia="pl-PL"/>
        </w:rPr>
      </w:pPr>
      <w:r w:rsidRPr="00655FC7">
        <w:rPr>
          <w:rFonts w:cstheme="minorHAnsi"/>
          <w:lang w:eastAsia="pl-PL"/>
        </w:rPr>
        <w:t xml:space="preserve">integracja podmiotów kreujących politykę lokalną w sferze zadań publicznych wymienionych w art. 4 ust. 1 ustawy, </w:t>
      </w:r>
    </w:p>
    <w:p w14:paraId="1C11FB9C" w14:textId="77777777" w:rsidR="00D155AA" w:rsidRPr="00655FC7" w:rsidRDefault="00D155AA">
      <w:pPr>
        <w:pStyle w:val="Akapitzlist"/>
        <w:numPr>
          <w:ilvl w:val="0"/>
          <w:numId w:val="47"/>
        </w:numPr>
        <w:ind w:left="641" w:hanging="357"/>
        <w:rPr>
          <w:rFonts w:cstheme="minorHAnsi"/>
          <w:lang w:eastAsia="pl-PL"/>
        </w:rPr>
      </w:pPr>
      <w:r w:rsidRPr="00655FC7">
        <w:rPr>
          <w:rFonts w:cstheme="minorHAnsi"/>
          <w:lang w:eastAsia="pl-PL"/>
        </w:rPr>
        <w:t xml:space="preserve">wspieranie oraz powierzanie organizacjom pozarządowym zadań publicznych z jednoczesnym zagwarantowaniem środków na ich realizację, </w:t>
      </w:r>
    </w:p>
    <w:p w14:paraId="78EE40D2" w14:textId="77777777" w:rsidR="00D155AA" w:rsidRPr="00655FC7" w:rsidRDefault="00D155AA">
      <w:pPr>
        <w:pStyle w:val="Akapitzlist"/>
        <w:numPr>
          <w:ilvl w:val="0"/>
          <w:numId w:val="47"/>
        </w:numPr>
        <w:ind w:left="641" w:hanging="357"/>
        <w:rPr>
          <w:rFonts w:cstheme="minorHAnsi"/>
          <w:lang w:eastAsia="pl-PL"/>
        </w:rPr>
      </w:pPr>
      <w:r w:rsidRPr="00655FC7">
        <w:rPr>
          <w:rFonts w:cstheme="minorHAnsi"/>
          <w:lang w:eastAsia="pl-PL"/>
        </w:rPr>
        <w:t xml:space="preserve">zapewnianie wykorzystania nowatorskich i efektywnych działań uzupełniających działania Gminy w zakresie nie obejmowanym przez struktury Gminy, </w:t>
      </w:r>
    </w:p>
    <w:p w14:paraId="6739BE7C" w14:textId="77777777" w:rsidR="00D155AA" w:rsidRPr="00655FC7" w:rsidRDefault="00D155AA">
      <w:pPr>
        <w:pStyle w:val="Akapitzlist"/>
        <w:numPr>
          <w:ilvl w:val="0"/>
          <w:numId w:val="47"/>
        </w:numPr>
        <w:ind w:left="641" w:hanging="357"/>
        <w:rPr>
          <w:rFonts w:cstheme="minorHAnsi"/>
          <w:lang w:eastAsia="pl-PL"/>
        </w:rPr>
      </w:pPr>
      <w:r w:rsidRPr="00655FC7">
        <w:rPr>
          <w:rFonts w:cstheme="minorHAnsi"/>
          <w:lang w:eastAsia="pl-PL"/>
        </w:rPr>
        <w:t>odciążenie sektora publicznego w realizacji niektórych zadań.</w:t>
      </w:r>
    </w:p>
    <w:p w14:paraId="2D4D812D" w14:textId="77777777" w:rsidR="00D155AA" w:rsidRPr="00655FC7" w:rsidRDefault="00D155AA" w:rsidP="00D155AA">
      <w:pPr>
        <w:pStyle w:val="Akapitzlist"/>
        <w:ind w:left="641" w:firstLine="0"/>
        <w:rPr>
          <w:rFonts w:cstheme="minorHAnsi"/>
          <w:lang w:eastAsia="pl-PL"/>
        </w:rPr>
      </w:pPr>
    </w:p>
    <w:p w14:paraId="116164EE" w14:textId="77777777" w:rsidR="00D155AA" w:rsidRPr="00655FC7" w:rsidRDefault="00D155AA" w:rsidP="00B62479">
      <w:pPr>
        <w:pStyle w:val="Nagwek2"/>
        <w:rPr>
          <w:lang w:eastAsia="pl-PL"/>
        </w:rPr>
      </w:pPr>
      <w:bookmarkStart w:id="98" w:name="_Toc177732042"/>
      <w:r w:rsidRPr="00655FC7">
        <w:rPr>
          <w:lang w:eastAsia="pl-PL"/>
        </w:rPr>
        <w:t>System ochrony</w:t>
      </w:r>
      <w:bookmarkEnd w:id="98"/>
    </w:p>
    <w:p w14:paraId="6069C02C" w14:textId="77777777" w:rsidR="00D155AA" w:rsidRPr="00655FC7" w:rsidRDefault="00D155AA" w:rsidP="00D155AA">
      <w:pPr>
        <w:pStyle w:val="Nagwek3"/>
      </w:pPr>
      <w:bookmarkStart w:id="99" w:name="_Toc177732043"/>
      <w:r w:rsidRPr="00655FC7">
        <w:t>Ochrona zdrowia</w:t>
      </w:r>
      <w:bookmarkEnd w:id="99"/>
    </w:p>
    <w:p w14:paraId="53FE3D49" w14:textId="77777777" w:rsidR="00D155AA" w:rsidRPr="00655FC7" w:rsidRDefault="00D155AA" w:rsidP="00D155AA">
      <w:pPr>
        <w:ind w:firstLineChars="100" w:firstLine="220"/>
        <w:rPr>
          <w:rFonts w:cstheme="minorHAnsi"/>
          <w:lang w:eastAsia="pl-PL"/>
        </w:rPr>
      </w:pPr>
      <w:r w:rsidRPr="00655FC7">
        <w:rPr>
          <w:rFonts w:cstheme="minorHAnsi"/>
          <w:lang w:eastAsia="pl-PL"/>
        </w:rPr>
        <w:t>Opiekę zdrowotną na terenie miasta Tarnogród zapewnia przychodnia lekarska przy ul. Rynek 1. Ponadto, ne terenie miasta znajduje się szpital rejonowy zarządzany przez Arion Szpitale sp. z o.o. zajmujący się schorzeniami wieku podeszłego, czerpiąc m.in. z medycyny rodzinnej, neurologii czy psychiatrii.</w:t>
      </w:r>
    </w:p>
    <w:p w14:paraId="5B820989" w14:textId="77777777" w:rsidR="00D155AA" w:rsidRPr="00655FC7" w:rsidRDefault="00D155AA" w:rsidP="00D155AA">
      <w:pPr>
        <w:ind w:firstLineChars="100" w:firstLine="220"/>
        <w:rPr>
          <w:rFonts w:cstheme="minorHAnsi"/>
          <w:lang w:eastAsia="pl-PL"/>
        </w:rPr>
      </w:pPr>
    </w:p>
    <w:p w14:paraId="26B4BBD1" w14:textId="77777777" w:rsidR="00D155AA" w:rsidRPr="00655FC7" w:rsidRDefault="00D155AA" w:rsidP="00D155AA">
      <w:pPr>
        <w:ind w:firstLineChars="100" w:firstLine="220"/>
        <w:rPr>
          <w:rFonts w:cstheme="minorHAnsi"/>
          <w:color w:val="333333"/>
          <w:lang w:eastAsia="en-GB"/>
        </w:rPr>
      </w:pPr>
      <w:r w:rsidRPr="00655FC7">
        <w:rPr>
          <w:rFonts w:cstheme="minorHAnsi"/>
          <w:lang w:eastAsia="pl-PL"/>
        </w:rPr>
        <w:t>W 2022 roku udzielono 21 768 porad lekarskich, co jest wartością utrzymującą się mniej więcej na tym samym poziomie od 10 lat, mimo wzrostu liczb przychodni na obszarze miasta względem roku 2013.</w:t>
      </w:r>
    </w:p>
    <w:p w14:paraId="7E95FBBE" w14:textId="77777777" w:rsidR="00D155AA" w:rsidRPr="00655FC7" w:rsidRDefault="00D155AA" w:rsidP="00D155AA">
      <w:pPr>
        <w:ind w:firstLine="0"/>
        <w:jc w:val="left"/>
        <w:rPr>
          <w:rFonts w:cstheme="minorHAnsi"/>
          <w:lang w:eastAsia="pl-PL"/>
        </w:rPr>
      </w:pPr>
    </w:p>
    <w:p w14:paraId="5AE7986A" w14:textId="77777777" w:rsidR="00D155AA" w:rsidRPr="00655FC7" w:rsidRDefault="00D155AA" w:rsidP="00D155AA">
      <w:pPr>
        <w:ind w:firstLine="0"/>
        <w:jc w:val="center"/>
        <w:rPr>
          <w:rFonts w:cstheme="minorHAnsi"/>
          <w:lang w:eastAsia="pl-PL"/>
        </w:rPr>
      </w:pPr>
      <w:r w:rsidRPr="00655FC7">
        <w:rPr>
          <w:noProof/>
        </w:rPr>
        <w:drawing>
          <wp:inline distT="0" distB="0" distL="0" distR="0" wp14:anchorId="3CD55614" wp14:editId="5F541D66">
            <wp:extent cx="5760720" cy="2149475"/>
            <wp:effectExtent l="0" t="0" r="11430" b="3175"/>
            <wp:docPr id="1511051732" name="Wykres 1">
              <a:extLst xmlns:a="http://schemas.openxmlformats.org/drawingml/2006/main">
                <a:ext uri="{FF2B5EF4-FFF2-40B4-BE49-F238E27FC236}">
                  <a16:creationId xmlns:a16="http://schemas.microsoft.com/office/drawing/2014/main" id="{4697581A-8D51-3FBF-2943-31F9A03645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1CF0609" w14:textId="03AFFBFF" w:rsidR="00D155AA" w:rsidRPr="00655FC7" w:rsidRDefault="00D155AA" w:rsidP="00D155AA">
      <w:pPr>
        <w:pStyle w:val="Stylrysunek"/>
      </w:pPr>
      <w:bookmarkStart w:id="100" w:name="_Toc178846359"/>
      <w:r w:rsidRPr="00655FC7">
        <w:t xml:space="preserve">Rysunek </w:t>
      </w:r>
      <w:r w:rsidR="00EA4C85">
        <w:fldChar w:fldCharType="begin"/>
      </w:r>
      <w:r w:rsidR="00EA4C85">
        <w:instrText xml:space="preserve"> SEQ Rysunek \* ARABIC </w:instrText>
      </w:r>
      <w:r w:rsidR="00EA4C85">
        <w:fldChar w:fldCharType="separate"/>
      </w:r>
      <w:r w:rsidR="00A654D8">
        <w:rPr>
          <w:noProof/>
        </w:rPr>
        <w:t>17</w:t>
      </w:r>
      <w:r w:rsidR="00EA4C85">
        <w:rPr>
          <w:noProof/>
        </w:rPr>
        <w:fldChar w:fldCharType="end"/>
      </w:r>
      <w:r w:rsidRPr="00655FC7">
        <w:t>. Porady lekarskie oraz przychodnie.</w:t>
      </w:r>
      <w:bookmarkEnd w:id="100"/>
    </w:p>
    <w:p w14:paraId="7E272D7B" w14:textId="277F7536" w:rsidR="00D155AA" w:rsidRPr="00655FC7" w:rsidRDefault="00D155AA" w:rsidP="00D155AA">
      <w:pPr>
        <w:pStyle w:val="Cytat"/>
      </w:pPr>
      <w:r w:rsidRPr="00655FC7">
        <w:t xml:space="preserve">Źródło: BDL GUS, opracowanie </w:t>
      </w:r>
      <w:r w:rsidR="00963644">
        <w:t>własne</w:t>
      </w:r>
    </w:p>
    <w:p w14:paraId="4008B9F4" w14:textId="77777777" w:rsidR="00D155AA" w:rsidRPr="00655FC7" w:rsidRDefault="00D155AA" w:rsidP="00D155AA">
      <w:pPr>
        <w:tabs>
          <w:tab w:val="left" w:pos="3119"/>
          <w:tab w:val="left" w:pos="5445"/>
        </w:tabs>
        <w:jc w:val="left"/>
        <w:rPr>
          <w:rFonts w:cstheme="minorHAnsi"/>
          <w:color w:val="auto"/>
          <w:lang w:eastAsia="pl-PL"/>
        </w:rPr>
      </w:pPr>
    </w:p>
    <w:p w14:paraId="29D29032" w14:textId="77777777" w:rsidR="00D155AA" w:rsidRPr="00655FC7" w:rsidRDefault="00D155AA" w:rsidP="00D155AA">
      <w:pPr>
        <w:tabs>
          <w:tab w:val="left" w:pos="3119"/>
          <w:tab w:val="left" w:pos="5445"/>
        </w:tabs>
        <w:rPr>
          <w:rFonts w:cstheme="minorHAnsi"/>
          <w:color w:val="auto"/>
          <w:lang w:eastAsia="pl-PL"/>
        </w:rPr>
      </w:pPr>
      <w:r w:rsidRPr="00655FC7">
        <w:rPr>
          <w:rFonts w:cstheme="minorHAnsi"/>
          <w:color w:val="auto"/>
          <w:lang w:eastAsia="pl-PL"/>
        </w:rPr>
        <w:t xml:space="preserve">Poniżej przedstawiono dane dotyczące liczby pacjentów z poszczególnymi rozpoznaniami chorób powiązanych z postępującymi zmianami klimatu. Jedną z nich jest grupa zakażeń wywołana przez inne krętki, do których wlicza się Rumień przewlekły wędrujący wywołany przez </w:t>
      </w:r>
      <w:r w:rsidRPr="00655FC7">
        <w:rPr>
          <w:rFonts w:cstheme="minorHAnsi"/>
          <w:i/>
          <w:iCs/>
          <w:color w:val="auto"/>
          <w:lang w:eastAsia="pl-PL"/>
        </w:rPr>
        <w:t>Borrelia burgdorferi</w:t>
      </w:r>
      <w:r w:rsidRPr="00655FC7">
        <w:rPr>
          <w:rFonts w:cstheme="minorHAnsi"/>
          <w:color w:val="auto"/>
          <w:lang w:eastAsia="pl-PL"/>
        </w:rPr>
        <w:t>, chorobę odkleszczową. W ostatnich 10 latach (2012-2021) na terenie gminy Tarnogród (dane dla miasta niedostępne), zaobserwowano wzrost zakażeń w tej grupie.</w:t>
      </w:r>
    </w:p>
    <w:p w14:paraId="0DF29DBE" w14:textId="77777777" w:rsidR="00D155AA" w:rsidRPr="00655FC7" w:rsidRDefault="00D155AA" w:rsidP="00D155AA">
      <w:pPr>
        <w:spacing w:after="200"/>
        <w:ind w:firstLine="0"/>
        <w:jc w:val="left"/>
        <w:rPr>
          <w:rFonts w:cstheme="minorHAnsi"/>
          <w:color w:val="auto"/>
          <w:lang w:eastAsia="pl-PL"/>
        </w:rPr>
      </w:pPr>
      <w:r w:rsidRPr="00655FC7">
        <w:rPr>
          <w:rFonts w:cstheme="minorHAnsi"/>
          <w:color w:val="auto"/>
          <w:lang w:eastAsia="pl-PL"/>
        </w:rPr>
        <w:br w:type="page"/>
      </w:r>
    </w:p>
    <w:p w14:paraId="2F9A31C1" w14:textId="59C361C2" w:rsidR="00D155AA" w:rsidRPr="00655FC7" w:rsidRDefault="00D155AA" w:rsidP="00D155AA">
      <w:pPr>
        <w:pStyle w:val="Styltabela"/>
      </w:pPr>
      <w:bookmarkStart w:id="101" w:name="_Toc178846312"/>
      <w:r w:rsidRPr="00655FC7">
        <w:lastRenderedPageBreak/>
        <w:t xml:space="preserve">Tabela </w:t>
      </w:r>
      <w:r w:rsidR="00E833A9">
        <w:fldChar w:fldCharType="begin"/>
      </w:r>
      <w:r w:rsidR="00E833A9">
        <w:instrText xml:space="preserve"> SEQ Tabela \* ARABIC </w:instrText>
      </w:r>
      <w:r w:rsidR="00E833A9">
        <w:fldChar w:fldCharType="separate"/>
      </w:r>
      <w:r w:rsidR="00A654D8">
        <w:rPr>
          <w:noProof/>
        </w:rPr>
        <w:t>6</w:t>
      </w:r>
      <w:r w:rsidR="00E833A9">
        <w:rPr>
          <w:noProof/>
        </w:rPr>
        <w:fldChar w:fldCharType="end"/>
      </w:r>
      <w:r w:rsidRPr="00655FC7">
        <w:t>. Liczba pacjentów (peseli) z gmin z poszczególnymi rozpoznaniami ICD-10, którym udzielono świadczeń w trybie ambulatoryjnym</w:t>
      </w:r>
      <w:bookmarkEnd w:id="101"/>
    </w:p>
    <w:tbl>
      <w:tblPr>
        <w:tblStyle w:val="Tabela-Siatka"/>
        <w:tblW w:w="9072" w:type="dxa"/>
        <w:jc w:val="center"/>
        <w:tblLayout w:type="fixed"/>
        <w:tblLook w:val="0000" w:firstRow="0" w:lastRow="0" w:firstColumn="0" w:lastColumn="0" w:noHBand="0" w:noVBand="0"/>
      </w:tblPr>
      <w:tblGrid>
        <w:gridCol w:w="1059"/>
        <w:gridCol w:w="2003"/>
        <w:gridCol w:w="2003"/>
        <w:gridCol w:w="2003"/>
        <w:gridCol w:w="2004"/>
      </w:tblGrid>
      <w:tr w:rsidR="00D155AA" w:rsidRPr="00655FC7" w14:paraId="55D0BA35" w14:textId="77777777" w:rsidTr="00133DFE">
        <w:trPr>
          <w:tblHeader/>
          <w:jc w:val="center"/>
        </w:trPr>
        <w:tc>
          <w:tcPr>
            <w:tcW w:w="1059" w:type="dxa"/>
            <w:shd w:val="clear" w:color="auto" w:fill="C3E098" w:themeFill="accent1" w:themeFillTint="66"/>
            <w:vAlign w:val="center"/>
          </w:tcPr>
          <w:p w14:paraId="497387A3" w14:textId="77777777" w:rsidR="00D155AA" w:rsidRPr="00655FC7" w:rsidRDefault="00D155AA" w:rsidP="00827748">
            <w:pPr>
              <w:spacing w:line="276" w:lineRule="auto"/>
              <w:ind w:firstLine="0"/>
              <w:jc w:val="center"/>
              <w:rPr>
                <w:rFonts w:cstheme="minorHAnsi"/>
                <w:b/>
                <w:sz w:val="18"/>
                <w:szCs w:val="18"/>
                <w:lang w:eastAsia="pl-PL"/>
              </w:rPr>
            </w:pPr>
            <w:r w:rsidRPr="00655FC7">
              <w:rPr>
                <w:rFonts w:cstheme="minorHAnsi"/>
                <w:b/>
                <w:sz w:val="18"/>
                <w:szCs w:val="18"/>
                <w:lang w:eastAsia="pl-PL"/>
              </w:rPr>
              <w:t>Rok</w:t>
            </w:r>
          </w:p>
        </w:tc>
        <w:tc>
          <w:tcPr>
            <w:tcW w:w="2003" w:type="dxa"/>
            <w:shd w:val="clear" w:color="auto" w:fill="C3E098" w:themeFill="accent1" w:themeFillTint="66"/>
            <w:vAlign w:val="center"/>
          </w:tcPr>
          <w:p w14:paraId="70275FD7" w14:textId="77777777" w:rsidR="00D155AA" w:rsidRPr="00655FC7" w:rsidRDefault="00D155AA" w:rsidP="00827748">
            <w:pPr>
              <w:spacing w:line="276" w:lineRule="auto"/>
              <w:ind w:firstLine="0"/>
              <w:jc w:val="center"/>
              <w:rPr>
                <w:rFonts w:cstheme="minorHAnsi"/>
                <w:b/>
                <w:sz w:val="18"/>
                <w:szCs w:val="18"/>
                <w:lang w:eastAsia="pl-PL"/>
              </w:rPr>
            </w:pPr>
            <w:r w:rsidRPr="00655FC7">
              <w:rPr>
                <w:rFonts w:cstheme="minorHAnsi"/>
                <w:b/>
                <w:sz w:val="18"/>
                <w:szCs w:val="18"/>
                <w:lang w:eastAsia="pl-PL"/>
              </w:rPr>
              <w:t>A69</w:t>
            </w:r>
          </w:p>
          <w:p w14:paraId="31949CF7" w14:textId="77777777" w:rsidR="00D155AA" w:rsidRPr="00655FC7" w:rsidRDefault="00D155AA" w:rsidP="00827748">
            <w:pPr>
              <w:spacing w:line="276" w:lineRule="auto"/>
              <w:ind w:firstLine="0"/>
              <w:jc w:val="center"/>
              <w:rPr>
                <w:rFonts w:cstheme="minorHAnsi"/>
                <w:b/>
                <w:sz w:val="18"/>
                <w:szCs w:val="18"/>
                <w:lang w:eastAsia="pl-PL"/>
              </w:rPr>
            </w:pPr>
            <w:r w:rsidRPr="00655FC7">
              <w:rPr>
                <w:rFonts w:cstheme="minorHAnsi"/>
                <w:b/>
                <w:sz w:val="18"/>
                <w:szCs w:val="18"/>
                <w:lang w:eastAsia="pl-PL"/>
              </w:rPr>
              <w:t>Zakażenia wywołane przez inne krętki</w:t>
            </w:r>
          </w:p>
        </w:tc>
        <w:tc>
          <w:tcPr>
            <w:tcW w:w="2003" w:type="dxa"/>
            <w:shd w:val="clear" w:color="auto" w:fill="C3E098" w:themeFill="accent1" w:themeFillTint="66"/>
            <w:vAlign w:val="center"/>
          </w:tcPr>
          <w:p w14:paraId="2D566BE6" w14:textId="77777777" w:rsidR="00D155AA" w:rsidRPr="00655FC7" w:rsidRDefault="00D155AA" w:rsidP="00827748">
            <w:pPr>
              <w:spacing w:line="276" w:lineRule="auto"/>
              <w:ind w:firstLine="0"/>
              <w:jc w:val="center"/>
              <w:rPr>
                <w:rFonts w:cstheme="minorHAnsi"/>
                <w:b/>
                <w:sz w:val="18"/>
                <w:szCs w:val="18"/>
                <w:lang w:eastAsia="pl-PL"/>
              </w:rPr>
            </w:pPr>
            <w:r w:rsidRPr="00655FC7">
              <w:rPr>
                <w:rFonts w:cstheme="minorHAnsi"/>
                <w:b/>
                <w:sz w:val="18"/>
                <w:szCs w:val="18"/>
                <w:lang w:eastAsia="pl-PL"/>
              </w:rPr>
              <w:t>T67.0</w:t>
            </w:r>
          </w:p>
          <w:p w14:paraId="67762AEC" w14:textId="77777777" w:rsidR="00D155AA" w:rsidRPr="00655FC7" w:rsidRDefault="00D155AA" w:rsidP="00827748">
            <w:pPr>
              <w:spacing w:line="276" w:lineRule="auto"/>
              <w:ind w:firstLine="0"/>
              <w:jc w:val="center"/>
              <w:rPr>
                <w:rFonts w:cstheme="minorHAnsi"/>
                <w:b/>
                <w:sz w:val="18"/>
                <w:szCs w:val="18"/>
                <w:lang w:eastAsia="pl-PL"/>
              </w:rPr>
            </w:pPr>
            <w:r w:rsidRPr="00655FC7">
              <w:rPr>
                <w:rFonts w:cstheme="minorHAnsi"/>
                <w:b/>
                <w:sz w:val="18"/>
                <w:szCs w:val="18"/>
                <w:lang w:eastAsia="pl-PL"/>
              </w:rPr>
              <w:t>Udar cieplny i udar słoneczny</w:t>
            </w:r>
          </w:p>
        </w:tc>
        <w:tc>
          <w:tcPr>
            <w:tcW w:w="2003" w:type="dxa"/>
            <w:shd w:val="clear" w:color="auto" w:fill="C3E098" w:themeFill="accent1" w:themeFillTint="66"/>
            <w:vAlign w:val="center"/>
          </w:tcPr>
          <w:p w14:paraId="3B598DCE" w14:textId="77777777" w:rsidR="00D155AA" w:rsidRPr="00655FC7" w:rsidRDefault="00D155AA" w:rsidP="00827748">
            <w:pPr>
              <w:spacing w:line="276" w:lineRule="auto"/>
              <w:ind w:firstLine="0"/>
              <w:jc w:val="center"/>
              <w:rPr>
                <w:rFonts w:cstheme="minorHAnsi"/>
                <w:b/>
                <w:sz w:val="18"/>
                <w:szCs w:val="18"/>
                <w:lang w:eastAsia="pl-PL"/>
              </w:rPr>
            </w:pPr>
            <w:r w:rsidRPr="00655FC7">
              <w:rPr>
                <w:rFonts w:cstheme="minorHAnsi"/>
                <w:b/>
                <w:sz w:val="18"/>
                <w:szCs w:val="18"/>
                <w:lang w:eastAsia="pl-PL"/>
              </w:rPr>
              <w:t>C43-C44</w:t>
            </w:r>
          </w:p>
          <w:p w14:paraId="75A1EB27" w14:textId="77777777" w:rsidR="00D155AA" w:rsidRPr="00655FC7" w:rsidRDefault="00D155AA" w:rsidP="00827748">
            <w:pPr>
              <w:spacing w:line="276" w:lineRule="auto"/>
              <w:ind w:firstLine="0"/>
              <w:jc w:val="center"/>
              <w:rPr>
                <w:rFonts w:cstheme="minorHAnsi"/>
                <w:b/>
                <w:sz w:val="18"/>
                <w:szCs w:val="18"/>
                <w:lang w:eastAsia="pl-PL"/>
              </w:rPr>
            </w:pPr>
            <w:r w:rsidRPr="00655FC7">
              <w:rPr>
                <w:rFonts w:cstheme="minorHAnsi"/>
                <w:b/>
                <w:sz w:val="18"/>
                <w:szCs w:val="18"/>
                <w:lang w:eastAsia="pl-PL"/>
              </w:rPr>
              <w:t>Czerniak i inne nowotwory złośliwe skóry</w:t>
            </w:r>
          </w:p>
        </w:tc>
        <w:tc>
          <w:tcPr>
            <w:tcW w:w="2004" w:type="dxa"/>
            <w:shd w:val="clear" w:color="auto" w:fill="C3E098" w:themeFill="accent1" w:themeFillTint="66"/>
            <w:vAlign w:val="center"/>
          </w:tcPr>
          <w:p w14:paraId="5FC736C5" w14:textId="77777777" w:rsidR="00D155AA" w:rsidRPr="00655FC7" w:rsidRDefault="00D155AA" w:rsidP="00827748">
            <w:pPr>
              <w:spacing w:line="276" w:lineRule="auto"/>
              <w:ind w:firstLine="0"/>
              <w:jc w:val="center"/>
              <w:rPr>
                <w:rFonts w:cstheme="minorHAnsi"/>
                <w:b/>
                <w:sz w:val="18"/>
                <w:szCs w:val="18"/>
                <w:lang w:eastAsia="pl-PL"/>
              </w:rPr>
            </w:pPr>
            <w:r w:rsidRPr="00655FC7">
              <w:rPr>
                <w:rFonts w:cstheme="minorHAnsi"/>
                <w:b/>
                <w:sz w:val="18"/>
                <w:szCs w:val="18"/>
                <w:lang w:eastAsia="pl-PL"/>
              </w:rPr>
              <w:t>I20–I25</w:t>
            </w:r>
          </w:p>
          <w:p w14:paraId="788D0A4A" w14:textId="77777777" w:rsidR="00D155AA" w:rsidRPr="00655FC7" w:rsidRDefault="00D155AA" w:rsidP="00827748">
            <w:pPr>
              <w:spacing w:line="276" w:lineRule="auto"/>
              <w:ind w:firstLine="0"/>
              <w:jc w:val="center"/>
              <w:rPr>
                <w:rFonts w:cstheme="minorHAnsi"/>
                <w:b/>
                <w:sz w:val="18"/>
                <w:szCs w:val="18"/>
                <w:lang w:eastAsia="pl-PL"/>
              </w:rPr>
            </w:pPr>
            <w:r w:rsidRPr="00655FC7">
              <w:rPr>
                <w:rFonts w:cstheme="minorHAnsi"/>
                <w:b/>
                <w:sz w:val="18"/>
                <w:szCs w:val="18"/>
                <w:lang w:eastAsia="pl-PL"/>
              </w:rPr>
              <w:t>Choroba niedokrwienna serca</w:t>
            </w:r>
          </w:p>
        </w:tc>
      </w:tr>
      <w:tr w:rsidR="00D155AA" w:rsidRPr="00655FC7" w14:paraId="1B08C387" w14:textId="77777777" w:rsidTr="00827748">
        <w:trPr>
          <w:trHeight w:val="283"/>
          <w:jc w:val="center"/>
        </w:trPr>
        <w:tc>
          <w:tcPr>
            <w:tcW w:w="1059" w:type="dxa"/>
            <w:vAlign w:val="center"/>
          </w:tcPr>
          <w:p w14:paraId="438470E0"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2013</w:t>
            </w:r>
          </w:p>
        </w:tc>
        <w:tc>
          <w:tcPr>
            <w:tcW w:w="2003" w:type="dxa"/>
            <w:vAlign w:val="center"/>
          </w:tcPr>
          <w:p w14:paraId="4AEB1140"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8</w:t>
            </w:r>
          </w:p>
        </w:tc>
        <w:tc>
          <w:tcPr>
            <w:tcW w:w="2003" w:type="dxa"/>
            <w:vAlign w:val="center"/>
          </w:tcPr>
          <w:p w14:paraId="37018FDB"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w:t>
            </w:r>
          </w:p>
        </w:tc>
        <w:tc>
          <w:tcPr>
            <w:tcW w:w="2003" w:type="dxa"/>
            <w:vAlign w:val="center"/>
          </w:tcPr>
          <w:p w14:paraId="51F88299"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6</w:t>
            </w:r>
          </w:p>
        </w:tc>
        <w:tc>
          <w:tcPr>
            <w:tcW w:w="2004" w:type="dxa"/>
            <w:vAlign w:val="center"/>
          </w:tcPr>
          <w:p w14:paraId="45B710B5"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174</w:t>
            </w:r>
          </w:p>
        </w:tc>
      </w:tr>
      <w:tr w:rsidR="00D155AA" w:rsidRPr="00655FC7" w14:paraId="5DE72B51" w14:textId="77777777" w:rsidTr="00827748">
        <w:trPr>
          <w:trHeight w:val="283"/>
          <w:jc w:val="center"/>
        </w:trPr>
        <w:tc>
          <w:tcPr>
            <w:tcW w:w="1059" w:type="dxa"/>
            <w:vAlign w:val="center"/>
          </w:tcPr>
          <w:p w14:paraId="3A41C85E"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2014</w:t>
            </w:r>
          </w:p>
        </w:tc>
        <w:tc>
          <w:tcPr>
            <w:tcW w:w="2003" w:type="dxa"/>
            <w:vAlign w:val="center"/>
          </w:tcPr>
          <w:p w14:paraId="08B08C14"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7</w:t>
            </w:r>
          </w:p>
        </w:tc>
        <w:tc>
          <w:tcPr>
            <w:tcW w:w="2003" w:type="dxa"/>
            <w:vAlign w:val="center"/>
          </w:tcPr>
          <w:p w14:paraId="77FA8B24"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w:t>
            </w:r>
          </w:p>
        </w:tc>
        <w:tc>
          <w:tcPr>
            <w:tcW w:w="2003" w:type="dxa"/>
            <w:vAlign w:val="center"/>
          </w:tcPr>
          <w:p w14:paraId="61B8E6E7"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5</w:t>
            </w:r>
          </w:p>
        </w:tc>
        <w:tc>
          <w:tcPr>
            <w:tcW w:w="2004" w:type="dxa"/>
            <w:vAlign w:val="center"/>
          </w:tcPr>
          <w:p w14:paraId="0D7F0B74"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198</w:t>
            </w:r>
          </w:p>
        </w:tc>
      </w:tr>
      <w:tr w:rsidR="00D155AA" w:rsidRPr="00655FC7" w14:paraId="63C9E5F0" w14:textId="77777777" w:rsidTr="00827748">
        <w:trPr>
          <w:trHeight w:val="283"/>
          <w:jc w:val="center"/>
        </w:trPr>
        <w:tc>
          <w:tcPr>
            <w:tcW w:w="1059" w:type="dxa"/>
            <w:vAlign w:val="center"/>
          </w:tcPr>
          <w:p w14:paraId="0875BBE3"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2015</w:t>
            </w:r>
          </w:p>
        </w:tc>
        <w:tc>
          <w:tcPr>
            <w:tcW w:w="2003" w:type="dxa"/>
            <w:vAlign w:val="center"/>
          </w:tcPr>
          <w:p w14:paraId="27B5B7CD"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5</w:t>
            </w:r>
          </w:p>
        </w:tc>
        <w:tc>
          <w:tcPr>
            <w:tcW w:w="2003" w:type="dxa"/>
            <w:vAlign w:val="center"/>
          </w:tcPr>
          <w:p w14:paraId="01590021"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w:t>
            </w:r>
          </w:p>
        </w:tc>
        <w:tc>
          <w:tcPr>
            <w:tcW w:w="2003" w:type="dxa"/>
            <w:vAlign w:val="center"/>
          </w:tcPr>
          <w:p w14:paraId="4E669E7F"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6</w:t>
            </w:r>
          </w:p>
        </w:tc>
        <w:tc>
          <w:tcPr>
            <w:tcW w:w="2004" w:type="dxa"/>
            <w:vAlign w:val="center"/>
          </w:tcPr>
          <w:p w14:paraId="51DB43EE"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203</w:t>
            </w:r>
          </w:p>
        </w:tc>
      </w:tr>
      <w:tr w:rsidR="00D155AA" w:rsidRPr="00655FC7" w14:paraId="7EF4D4CE" w14:textId="77777777" w:rsidTr="00827748">
        <w:trPr>
          <w:trHeight w:val="283"/>
          <w:jc w:val="center"/>
        </w:trPr>
        <w:tc>
          <w:tcPr>
            <w:tcW w:w="1059" w:type="dxa"/>
            <w:vAlign w:val="center"/>
          </w:tcPr>
          <w:p w14:paraId="53871848"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2016</w:t>
            </w:r>
          </w:p>
        </w:tc>
        <w:tc>
          <w:tcPr>
            <w:tcW w:w="2003" w:type="dxa"/>
            <w:vAlign w:val="center"/>
          </w:tcPr>
          <w:p w14:paraId="00BB51CF"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4</w:t>
            </w:r>
          </w:p>
        </w:tc>
        <w:tc>
          <w:tcPr>
            <w:tcW w:w="2003" w:type="dxa"/>
            <w:vAlign w:val="center"/>
          </w:tcPr>
          <w:p w14:paraId="2D3E28E6"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w:t>
            </w:r>
          </w:p>
        </w:tc>
        <w:tc>
          <w:tcPr>
            <w:tcW w:w="2003" w:type="dxa"/>
            <w:vAlign w:val="center"/>
          </w:tcPr>
          <w:p w14:paraId="44B3C9F6"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3</w:t>
            </w:r>
          </w:p>
        </w:tc>
        <w:tc>
          <w:tcPr>
            <w:tcW w:w="2004" w:type="dxa"/>
            <w:vAlign w:val="center"/>
          </w:tcPr>
          <w:p w14:paraId="4057AF82"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146</w:t>
            </w:r>
          </w:p>
        </w:tc>
      </w:tr>
      <w:tr w:rsidR="00D155AA" w:rsidRPr="00655FC7" w14:paraId="21EC7195" w14:textId="77777777" w:rsidTr="00827748">
        <w:trPr>
          <w:trHeight w:val="283"/>
          <w:jc w:val="center"/>
        </w:trPr>
        <w:tc>
          <w:tcPr>
            <w:tcW w:w="1059" w:type="dxa"/>
            <w:vAlign w:val="center"/>
          </w:tcPr>
          <w:p w14:paraId="1194E716"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2017</w:t>
            </w:r>
          </w:p>
        </w:tc>
        <w:tc>
          <w:tcPr>
            <w:tcW w:w="2003" w:type="dxa"/>
            <w:vAlign w:val="center"/>
          </w:tcPr>
          <w:p w14:paraId="18720166"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8</w:t>
            </w:r>
          </w:p>
        </w:tc>
        <w:tc>
          <w:tcPr>
            <w:tcW w:w="2003" w:type="dxa"/>
            <w:vAlign w:val="center"/>
          </w:tcPr>
          <w:p w14:paraId="68AC67B1"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w:t>
            </w:r>
          </w:p>
        </w:tc>
        <w:tc>
          <w:tcPr>
            <w:tcW w:w="2003" w:type="dxa"/>
            <w:vAlign w:val="center"/>
          </w:tcPr>
          <w:p w14:paraId="3912CFA3"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6</w:t>
            </w:r>
          </w:p>
        </w:tc>
        <w:tc>
          <w:tcPr>
            <w:tcW w:w="2004" w:type="dxa"/>
            <w:vAlign w:val="center"/>
          </w:tcPr>
          <w:p w14:paraId="21B46DFE"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149</w:t>
            </w:r>
          </w:p>
        </w:tc>
      </w:tr>
      <w:tr w:rsidR="00D155AA" w:rsidRPr="00655FC7" w14:paraId="5F8CC1EF" w14:textId="77777777" w:rsidTr="00827748">
        <w:trPr>
          <w:trHeight w:val="283"/>
          <w:jc w:val="center"/>
        </w:trPr>
        <w:tc>
          <w:tcPr>
            <w:tcW w:w="1059" w:type="dxa"/>
            <w:vAlign w:val="center"/>
          </w:tcPr>
          <w:p w14:paraId="06CE1F79"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2018</w:t>
            </w:r>
          </w:p>
        </w:tc>
        <w:tc>
          <w:tcPr>
            <w:tcW w:w="2003" w:type="dxa"/>
            <w:vAlign w:val="center"/>
          </w:tcPr>
          <w:p w14:paraId="2C9A1D3B"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4</w:t>
            </w:r>
          </w:p>
        </w:tc>
        <w:tc>
          <w:tcPr>
            <w:tcW w:w="2003" w:type="dxa"/>
            <w:vAlign w:val="center"/>
          </w:tcPr>
          <w:p w14:paraId="2F6023B8"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w:t>
            </w:r>
          </w:p>
        </w:tc>
        <w:tc>
          <w:tcPr>
            <w:tcW w:w="2003" w:type="dxa"/>
            <w:vAlign w:val="center"/>
          </w:tcPr>
          <w:p w14:paraId="16472808"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9</w:t>
            </w:r>
          </w:p>
        </w:tc>
        <w:tc>
          <w:tcPr>
            <w:tcW w:w="2004" w:type="dxa"/>
            <w:vAlign w:val="center"/>
          </w:tcPr>
          <w:p w14:paraId="42D77ABF"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122</w:t>
            </w:r>
          </w:p>
        </w:tc>
      </w:tr>
      <w:tr w:rsidR="00D155AA" w:rsidRPr="00655FC7" w14:paraId="14C6EDC3" w14:textId="77777777" w:rsidTr="00827748">
        <w:trPr>
          <w:trHeight w:val="283"/>
          <w:jc w:val="center"/>
        </w:trPr>
        <w:tc>
          <w:tcPr>
            <w:tcW w:w="1059" w:type="dxa"/>
            <w:vAlign w:val="center"/>
          </w:tcPr>
          <w:p w14:paraId="35F8D1C8"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2019</w:t>
            </w:r>
          </w:p>
        </w:tc>
        <w:tc>
          <w:tcPr>
            <w:tcW w:w="2003" w:type="dxa"/>
            <w:vAlign w:val="center"/>
          </w:tcPr>
          <w:p w14:paraId="2594A4F9"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1</w:t>
            </w:r>
          </w:p>
        </w:tc>
        <w:tc>
          <w:tcPr>
            <w:tcW w:w="2003" w:type="dxa"/>
            <w:vAlign w:val="center"/>
          </w:tcPr>
          <w:p w14:paraId="5289AA97"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w:t>
            </w:r>
          </w:p>
        </w:tc>
        <w:tc>
          <w:tcPr>
            <w:tcW w:w="2003" w:type="dxa"/>
            <w:vAlign w:val="center"/>
          </w:tcPr>
          <w:p w14:paraId="06623D4C"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9</w:t>
            </w:r>
          </w:p>
        </w:tc>
        <w:tc>
          <w:tcPr>
            <w:tcW w:w="2004" w:type="dxa"/>
            <w:vAlign w:val="center"/>
          </w:tcPr>
          <w:p w14:paraId="01D6494E"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123</w:t>
            </w:r>
          </w:p>
        </w:tc>
      </w:tr>
      <w:tr w:rsidR="00D155AA" w:rsidRPr="00655FC7" w14:paraId="32B49509" w14:textId="77777777" w:rsidTr="00827748">
        <w:trPr>
          <w:trHeight w:val="283"/>
          <w:jc w:val="center"/>
        </w:trPr>
        <w:tc>
          <w:tcPr>
            <w:tcW w:w="1059" w:type="dxa"/>
            <w:vAlign w:val="center"/>
          </w:tcPr>
          <w:p w14:paraId="2E9BFCB4"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2020</w:t>
            </w:r>
          </w:p>
        </w:tc>
        <w:tc>
          <w:tcPr>
            <w:tcW w:w="2003" w:type="dxa"/>
            <w:vAlign w:val="center"/>
          </w:tcPr>
          <w:p w14:paraId="313A4BF9"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7</w:t>
            </w:r>
          </w:p>
        </w:tc>
        <w:tc>
          <w:tcPr>
            <w:tcW w:w="2003" w:type="dxa"/>
            <w:vAlign w:val="center"/>
          </w:tcPr>
          <w:p w14:paraId="24816D58"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w:t>
            </w:r>
          </w:p>
        </w:tc>
        <w:tc>
          <w:tcPr>
            <w:tcW w:w="2003" w:type="dxa"/>
            <w:vAlign w:val="center"/>
          </w:tcPr>
          <w:p w14:paraId="144C934D"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4</w:t>
            </w:r>
          </w:p>
        </w:tc>
        <w:tc>
          <w:tcPr>
            <w:tcW w:w="2004" w:type="dxa"/>
            <w:vAlign w:val="center"/>
          </w:tcPr>
          <w:p w14:paraId="58BBABA4"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108</w:t>
            </w:r>
          </w:p>
        </w:tc>
      </w:tr>
      <w:tr w:rsidR="00D155AA" w:rsidRPr="00655FC7" w14:paraId="53750088" w14:textId="77777777" w:rsidTr="00827748">
        <w:trPr>
          <w:trHeight w:val="283"/>
          <w:jc w:val="center"/>
        </w:trPr>
        <w:tc>
          <w:tcPr>
            <w:tcW w:w="1059" w:type="dxa"/>
            <w:vAlign w:val="center"/>
          </w:tcPr>
          <w:p w14:paraId="54C647AB"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2021</w:t>
            </w:r>
          </w:p>
        </w:tc>
        <w:tc>
          <w:tcPr>
            <w:tcW w:w="2003" w:type="dxa"/>
            <w:vAlign w:val="center"/>
          </w:tcPr>
          <w:p w14:paraId="55B85D50"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7</w:t>
            </w:r>
          </w:p>
        </w:tc>
        <w:tc>
          <w:tcPr>
            <w:tcW w:w="2003" w:type="dxa"/>
            <w:vAlign w:val="center"/>
          </w:tcPr>
          <w:p w14:paraId="1CE09903"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w:t>
            </w:r>
          </w:p>
        </w:tc>
        <w:tc>
          <w:tcPr>
            <w:tcW w:w="2003" w:type="dxa"/>
            <w:vAlign w:val="center"/>
          </w:tcPr>
          <w:p w14:paraId="6F5ABE7C"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3</w:t>
            </w:r>
          </w:p>
        </w:tc>
        <w:tc>
          <w:tcPr>
            <w:tcW w:w="2004" w:type="dxa"/>
            <w:vAlign w:val="center"/>
          </w:tcPr>
          <w:p w14:paraId="074A964F"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96</w:t>
            </w:r>
          </w:p>
        </w:tc>
      </w:tr>
      <w:tr w:rsidR="00D155AA" w:rsidRPr="00655FC7" w14:paraId="7A04B4C1" w14:textId="77777777" w:rsidTr="00827748">
        <w:trPr>
          <w:trHeight w:val="283"/>
          <w:jc w:val="center"/>
        </w:trPr>
        <w:tc>
          <w:tcPr>
            <w:tcW w:w="1059" w:type="dxa"/>
            <w:vAlign w:val="center"/>
          </w:tcPr>
          <w:p w14:paraId="4AA24536"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2022</w:t>
            </w:r>
          </w:p>
        </w:tc>
        <w:tc>
          <w:tcPr>
            <w:tcW w:w="2003" w:type="dxa"/>
            <w:vAlign w:val="center"/>
          </w:tcPr>
          <w:p w14:paraId="4E46005C"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8</w:t>
            </w:r>
          </w:p>
        </w:tc>
        <w:tc>
          <w:tcPr>
            <w:tcW w:w="2003" w:type="dxa"/>
            <w:vAlign w:val="center"/>
          </w:tcPr>
          <w:p w14:paraId="6E8897CB"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w:t>
            </w:r>
          </w:p>
        </w:tc>
        <w:tc>
          <w:tcPr>
            <w:tcW w:w="2003" w:type="dxa"/>
            <w:vAlign w:val="center"/>
          </w:tcPr>
          <w:p w14:paraId="093446CD"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4</w:t>
            </w:r>
          </w:p>
        </w:tc>
        <w:tc>
          <w:tcPr>
            <w:tcW w:w="2004" w:type="dxa"/>
            <w:vAlign w:val="center"/>
          </w:tcPr>
          <w:p w14:paraId="358CEA49" w14:textId="77777777" w:rsidR="00D155AA" w:rsidRPr="00655FC7" w:rsidRDefault="00D155AA" w:rsidP="00827748">
            <w:pPr>
              <w:spacing w:line="276" w:lineRule="auto"/>
              <w:ind w:firstLine="0"/>
              <w:jc w:val="center"/>
              <w:rPr>
                <w:rFonts w:cstheme="minorHAnsi"/>
                <w:sz w:val="18"/>
                <w:szCs w:val="18"/>
                <w:lang w:eastAsia="pl-PL"/>
              </w:rPr>
            </w:pPr>
            <w:r w:rsidRPr="00655FC7">
              <w:rPr>
                <w:rFonts w:cstheme="minorHAnsi"/>
                <w:sz w:val="18"/>
                <w:szCs w:val="18"/>
              </w:rPr>
              <w:t>102</w:t>
            </w:r>
          </w:p>
        </w:tc>
      </w:tr>
    </w:tbl>
    <w:p w14:paraId="21973FD5" w14:textId="77777777" w:rsidR="00D155AA" w:rsidRPr="00655FC7" w:rsidRDefault="00D155AA" w:rsidP="00E935EA">
      <w:pPr>
        <w:pStyle w:val="Cytat"/>
        <w:spacing w:after="120"/>
      </w:pPr>
      <w:r w:rsidRPr="00655FC7">
        <w:t>Źródło: NFZ Lubelski Oddział Wojewódzki w Lublinie</w:t>
      </w:r>
    </w:p>
    <w:p w14:paraId="4278A1A0" w14:textId="27CBD3B7" w:rsidR="00D155AA" w:rsidRDefault="00454E25" w:rsidP="00454E25">
      <w:pPr>
        <w:rPr>
          <w:lang w:eastAsia="pl-PL"/>
        </w:rPr>
      </w:pPr>
      <w:r w:rsidRPr="00454E25">
        <w:rPr>
          <w:lang w:eastAsia="pl-PL"/>
        </w:rPr>
        <w:t>W Europie coraz częściej opisywane są przypadki pojawiania się ‘egzotycznych’ kleszczy, które wraz z</w:t>
      </w:r>
      <w:r w:rsidR="005D422E">
        <w:rPr>
          <w:lang w:eastAsia="pl-PL"/>
        </w:rPr>
        <w:t xml:space="preserve">e zmianą </w:t>
      </w:r>
      <w:r w:rsidRPr="00454E25">
        <w:rPr>
          <w:lang w:eastAsia="pl-PL"/>
        </w:rPr>
        <w:t xml:space="preserve">klimatu znajdują tu dla siebie dogodne warunki do przeżycia. Do takich gatunków należą mało poznane </w:t>
      </w:r>
      <w:r w:rsidR="00E935EA">
        <w:rPr>
          <w:lang w:eastAsia="pl-PL"/>
        </w:rPr>
        <w:t>osobniki</w:t>
      </w:r>
      <w:r w:rsidRPr="00454E25">
        <w:rPr>
          <w:lang w:eastAsia="pl-PL"/>
        </w:rPr>
        <w:t xml:space="preserve"> z rodzaju Hyalomma (Kleszcz wędrowny (</w:t>
      </w:r>
      <w:r w:rsidRPr="00454E25">
        <w:rPr>
          <w:i/>
          <w:iCs/>
          <w:lang w:eastAsia="pl-PL"/>
        </w:rPr>
        <w:t>Hyalomma marginatum</w:t>
      </w:r>
      <w:r>
        <w:rPr>
          <w:i/>
          <w:iCs/>
          <w:lang w:eastAsia="pl-PL"/>
        </w:rPr>
        <w:t>)</w:t>
      </w:r>
      <w:r w:rsidRPr="00454E25">
        <w:rPr>
          <w:lang w:eastAsia="pl-PL"/>
        </w:rPr>
        <w:t>)</w:t>
      </w:r>
      <w:r>
        <w:t xml:space="preserve">. </w:t>
      </w:r>
      <w:r w:rsidRPr="00454E25">
        <w:rPr>
          <w:lang w:eastAsia="pl-PL"/>
        </w:rPr>
        <w:t>Tysiące larw i nimf Hyalomma co roku trafia do Europy i Polski podczas wiosennych migracji ptaków. Do tej pory kleszcze ginęły z powodu niskiej temperatury i wilgotności. Ciepłe i suche wiosny/lata przyczyniły się jednak do tego, że w</w:t>
      </w:r>
      <w:r w:rsidR="00E935EA">
        <w:rPr>
          <w:lang w:eastAsia="pl-PL"/>
        </w:rPr>
        <w:t xml:space="preserve"> </w:t>
      </w:r>
      <w:r w:rsidRPr="00454E25">
        <w:rPr>
          <w:lang w:eastAsia="pl-PL"/>
        </w:rPr>
        <w:t>ostatnich latach pojawiają się doniesienia o atakowaniu ludzi i zwierząt przez dorosłe kleszcze z</w:t>
      </w:r>
      <w:r w:rsidR="00E935EA">
        <w:rPr>
          <w:lang w:eastAsia="pl-PL"/>
        </w:rPr>
        <w:t xml:space="preserve"> </w:t>
      </w:r>
      <w:r w:rsidRPr="00454E25">
        <w:rPr>
          <w:lang w:eastAsia="pl-PL"/>
        </w:rPr>
        <w:t>rodzaju Hyalomma, np. w Niemczech (także w Berlinie), Czechach, Słowacji a nawet Szwecji</w:t>
      </w:r>
      <w:r w:rsidR="00780325">
        <w:rPr>
          <w:rStyle w:val="Odwoanieprzypisudolnego"/>
          <w:lang w:eastAsia="pl-PL"/>
        </w:rPr>
        <w:footnoteReference w:id="27"/>
      </w:r>
      <w:r w:rsidRPr="00454E25">
        <w:rPr>
          <w:lang w:eastAsia="pl-PL"/>
        </w:rPr>
        <w:t>.</w:t>
      </w:r>
    </w:p>
    <w:p w14:paraId="1A85CBC8" w14:textId="1191F521" w:rsidR="00454E25" w:rsidRPr="00655FC7" w:rsidRDefault="00E935EA" w:rsidP="00780325">
      <w:pPr>
        <w:rPr>
          <w:lang w:eastAsia="pl-PL"/>
        </w:rPr>
      </w:pPr>
      <w:r w:rsidRPr="00E935EA">
        <w:rPr>
          <w:lang w:eastAsia="pl-PL"/>
        </w:rPr>
        <w:t xml:space="preserve">Stwierdzono, że kleszcze wędrowne są wektorem: wirusa wywołującego gorączkę krwotoczną krymsko-kongijską (najważniejszy wektor tego wirusa w całej Eurazji) oraz </w:t>
      </w:r>
      <w:r w:rsidR="00780325" w:rsidRPr="00E935EA">
        <w:rPr>
          <w:lang w:eastAsia="pl-PL"/>
        </w:rPr>
        <w:t xml:space="preserve">wirusa wywołującego </w:t>
      </w:r>
      <w:r w:rsidRPr="00E935EA">
        <w:rPr>
          <w:lang w:eastAsia="pl-PL"/>
        </w:rPr>
        <w:t>riketsjozę.</w:t>
      </w:r>
    </w:p>
    <w:p w14:paraId="37343E1F" w14:textId="3752269F" w:rsidR="00780325" w:rsidRDefault="005D422E" w:rsidP="00D155AA">
      <w:pPr>
        <w:rPr>
          <w:rFonts w:cstheme="minorHAnsi"/>
          <w:color w:val="auto"/>
          <w:lang w:eastAsia="pl-PL"/>
        </w:rPr>
      </w:pPr>
      <w:r>
        <w:rPr>
          <w:rFonts w:cstheme="minorHAnsi"/>
          <w:color w:val="auto"/>
          <w:lang w:eastAsia="pl-PL"/>
        </w:rPr>
        <w:t>Pojawienie się coraz groźnych gatunków obcych jest kolejnym skutkiem zachodzących zmian klimatu.</w:t>
      </w:r>
    </w:p>
    <w:p w14:paraId="15A425DE" w14:textId="77777777" w:rsidR="005D422E" w:rsidRDefault="005D422E" w:rsidP="00D155AA">
      <w:pPr>
        <w:rPr>
          <w:rFonts w:cstheme="minorHAnsi"/>
          <w:color w:val="auto"/>
          <w:lang w:eastAsia="pl-PL"/>
        </w:rPr>
      </w:pPr>
    </w:p>
    <w:p w14:paraId="28DD4966" w14:textId="2745AE16" w:rsidR="00D155AA" w:rsidRPr="00655FC7" w:rsidRDefault="00D155AA" w:rsidP="00D155AA">
      <w:pPr>
        <w:rPr>
          <w:rFonts w:cstheme="minorHAnsi"/>
          <w:color w:val="auto"/>
          <w:lang w:eastAsia="pl-PL"/>
        </w:rPr>
      </w:pPr>
      <w:r w:rsidRPr="00655FC7">
        <w:rPr>
          <w:rFonts w:cstheme="minorHAnsi"/>
          <w:color w:val="auto"/>
          <w:lang w:eastAsia="pl-PL"/>
        </w:rPr>
        <w:t>Na terenie miasta znajduje się także Środowiskowy Dom Samopomocy.</w:t>
      </w:r>
    </w:p>
    <w:p w14:paraId="4C559277" w14:textId="4511945E" w:rsidR="00D155AA" w:rsidRDefault="00D155AA" w:rsidP="00D155AA">
      <w:pPr>
        <w:rPr>
          <w:color w:val="auto"/>
        </w:rPr>
      </w:pPr>
      <w:r w:rsidRPr="00655FC7">
        <w:rPr>
          <w:color w:val="auto"/>
        </w:rPr>
        <w:t>Środowiskowy Dom Samopomocy jest dziennym ośrodkiem wsparcia dla osób niepełnosprawnych, swoją działalnością obejmuje osoby przewlekle chore psychicznie, niepełnosprawne intelektualnie i</w:t>
      </w:r>
      <w:r w:rsidR="002530E0">
        <w:rPr>
          <w:color w:val="auto"/>
        </w:rPr>
        <w:t> </w:t>
      </w:r>
      <w:r w:rsidRPr="00655FC7">
        <w:rPr>
          <w:color w:val="auto"/>
        </w:rPr>
        <w:t>osoby wykazujące inne przewlekłe zaburzenia czynności psychicznych. Podopieczni Domu to mieszkańcy gminy Tarnogród i gmin ościennych: Obsza, Potok Górny, Biszcza i Biłgoraj. Głównym zadaniem Środowiskowego Domu Samopomocy jest zapewnienie wsparcia osobom, które z powodu przewlekłej choroby psychicznej i niepełnosprawności intelektualnej mają poważne trudności w życiu codziennym, zwłaszcza w kształtowaniu swoich stosunków z otoczeniem w zakresie edukacji, zatrudnienia oraz zaspokajania potrzeb bytowych, które samodzielnie nie są w stanie przezwyciężyć wykorzystując swoje uprawnienia, środki i</w:t>
      </w:r>
      <w:r w:rsidR="00350F0E" w:rsidRPr="00655FC7">
        <w:rPr>
          <w:color w:val="auto"/>
        </w:rPr>
        <w:t> </w:t>
      </w:r>
      <w:r w:rsidRPr="00655FC7">
        <w:rPr>
          <w:color w:val="auto"/>
        </w:rPr>
        <w:t>możliwości</w:t>
      </w:r>
      <w:r w:rsidRPr="00655FC7">
        <w:rPr>
          <w:rStyle w:val="Odwoanieprzypisudolnego"/>
          <w:color w:val="auto"/>
        </w:rPr>
        <w:footnoteReference w:id="28"/>
      </w:r>
      <w:r w:rsidRPr="00655FC7">
        <w:rPr>
          <w:color w:val="auto"/>
        </w:rPr>
        <w:t>.</w:t>
      </w:r>
    </w:p>
    <w:p w14:paraId="58E19555" w14:textId="2D976370" w:rsidR="002521AB" w:rsidRPr="00655FC7" w:rsidRDefault="002521AB" w:rsidP="00D155AA">
      <w:pPr>
        <w:rPr>
          <w:color w:val="auto"/>
        </w:rPr>
      </w:pPr>
      <w:r>
        <w:rPr>
          <w:color w:val="auto"/>
        </w:rPr>
        <w:lastRenderedPageBreak/>
        <w:t>Dyrekcja Środowiskowego Domu Samopomocy zgłasza potrzeby z zakresu: montażu klimatyzacji w salach terapeutycznych, modernizacji kotła gazowego i instalacji paneli fotowoltaicznych.</w:t>
      </w:r>
    </w:p>
    <w:p w14:paraId="09E0B2DB" w14:textId="77777777" w:rsidR="00D155AA" w:rsidRPr="00655FC7" w:rsidRDefault="00D155AA" w:rsidP="00133DFE">
      <w:pPr>
        <w:rPr>
          <w:lang w:eastAsia="pl-PL"/>
        </w:rPr>
      </w:pPr>
    </w:p>
    <w:p w14:paraId="0C3A23F3" w14:textId="77777777" w:rsidR="00D155AA" w:rsidRPr="00655FC7" w:rsidRDefault="00D155AA" w:rsidP="00D155AA">
      <w:pPr>
        <w:rPr>
          <w:rFonts w:cstheme="minorHAnsi"/>
          <w:lang w:eastAsia="pl-PL"/>
        </w:rPr>
      </w:pPr>
      <w:r w:rsidRPr="00655FC7">
        <w:rPr>
          <w:rFonts w:cstheme="minorHAnsi"/>
          <w:lang w:eastAsia="pl-PL"/>
        </w:rPr>
        <w:t>Miasto zgłasza także potrzebę rozbudowy/budowy placówek świadczących usługi w zakresie opieki nad osobami z grup wrażliwych (osoby przewlekle chore, niepełnosprawne, osoby starsze, dzieci, a także osoby w kryzysie bezdomności).</w:t>
      </w:r>
    </w:p>
    <w:p w14:paraId="2D81D115" w14:textId="77777777" w:rsidR="00D155AA" w:rsidRPr="00655FC7" w:rsidRDefault="00D155AA" w:rsidP="00D155AA">
      <w:pPr>
        <w:rPr>
          <w:rFonts w:cstheme="minorHAnsi"/>
          <w:lang w:eastAsia="pl-PL"/>
        </w:rPr>
      </w:pPr>
    </w:p>
    <w:p w14:paraId="683EE81F" w14:textId="77777777" w:rsidR="00D155AA" w:rsidRPr="00655FC7" w:rsidRDefault="00D155AA" w:rsidP="00D155AA">
      <w:pPr>
        <w:pStyle w:val="Nagwek3"/>
      </w:pPr>
      <w:bookmarkStart w:id="102" w:name="_Toc177732044"/>
      <w:r w:rsidRPr="00655FC7">
        <w:t>Ochrona przed gwałtownymi zjawiskami pogodowymi</w:t>
      </w:r>
      <w:bookmarkEnd w:id="102"/>
    </w:p>
    <w:p w14:paraId="505BD0C4" w14:textId="2DD691BE" w:rsidR="00D155AA" w:rsidRPr="00655FC7" w:rsidRDefault="00D155AA" w:rsidP="00D155AA">
      <w:pPr>
        <w:rPr>
          <w:rFonts w:cstheme="minorHAnsi"/>
          <w:color w:val="auto"/>
          <w:lang w:eastAsia="pl-PL"/>
        </w:rPr>
      </w:pPr>
      <w:r w:rsidRPr="00655FC7">
        <w:rPr>
          <w:rFonts w:cstheme="minorHAnsi"/>
          <w:color w:val="auto"/>
          <w:lang w:eastAsia="pl-PL"/>
        </w:rPr>
        <w:t>Na omawianym terenie zlokalizowana jest jednostka straży pożarnej KSRG OSP Tarnogród. W jej skład wchodzi 42 druhów, a w bezpośrednich działaniach ratowniczo-gaśniczych może brać udział 32 strażaków-ratowników. Jednostka posiada na swoim wyposażeniu niezbędny sprzęt do podejmowania działań ratowniczo-gaśniczych</w:t>
      </w:r>
      <w:r w:rsidR="00133DFE" w:rsidRPr="00655FC7">
        <w:rPr>
          <w:rFonts w:cstheme="minorHAnsi"/>
          <w:color w:val="auto"/>
          <w:lang w:eastAsia="pl-PL"/>
        </w:rPr>
        <w:t>,</w:t>
      </w:r>
      <w:r w:rsidRPr="00655FC7">
        <w:rPr>
          <w:rFonts w:cstheme="minorHAnsi"/>
          <w:color w:val="auto"/>
          <w:lang w:eastAsia="pl-PL"/>
        </w:rPr>
        <w:t xml:space="preserve"> jak również z zakresu ratownictwa technicznego, wysokościowego, chemiczno-ekologicznego oraz kwalifikowanej pierwszej pomocy. Jednostka włączona jest do Krajowego Systemu Ratowniczo-Gaśniczego od 1995 r. Przy jednostce OSP Tarnogród prężnie działa Młodzieżowa Drużyna Pożarnicza, która liczy 16 członków</w:t>
      </w:r>
      <w:r w:rsidR="00133DFE" w:rsidRPr="00655FC7">
        <w:rPr>
          <w:rFonts w:cstheme="minorHAnsi"/>
          <w:color w:val="auto"/>
          <w:lang w:eastAsia="pl-PL"/>
        </w:rPr>
        <w:t>,</w:t>
      </w:r>
      <w:r w:rsidRPr="00655FC7">
        <w:rPr>
          <w:rFonts w:cstheme="minorHAnsi"/>
          <w:color w:val="auto"/>
          <w:lang w:eastAsia="pl-PL"/>
        </w:rPr>
        <w:t xml:space="preserve"> jednak systematycznie prowadzone nabory zwiększają liczbę nowych członków. </w:t>
      </w:r>
    </w:p>
    <w:p w14:paraId="6D64D16F" w14:textId="77777777" w:rsidR="00D155AA" w:rsidRPr="00655FC7" w:rsidRDefault="00D155AA" w:rsidP="00D155AA">
      <w:pPr>
        <w:rPr>
          <w:rFonts w:cstheme="minorHAnsi"/>
          <w:color w:val="auto"/>
          <w:lang w:eastAsia="pl-PL"/>
        </w:rPr>
      </w:pPr>
      <w:r w:rsidRPr="00655FC7">
        <w:rPr>
          <w:rFonts w:cstheme="minorHAnsi"/>
          <w:color w:val="auto"/>
          <w:lang w:eastAsia="pl-PL"/>
        </w:rPr>
        <w:t>Ponadto, na terenie Gminy Tarnogród funkcjonuje jeszcze 5 jednostek Ochotniczej Straży Pożarnej:</w:t>
      </w:r>
    </w:p>
    <w:p w14:paraId="4FC36E2F" w14:textId="77777777" w:rsidR="00D155AA" w:rsidRPr="00655FC7" w:rsidRDefault="00D155AA">
      <w:pPr>
        <w:pStyle w:val="Akapitzlist"/>
        <w:numPr>
          <w:ilvl w:val="0"/>
          <w:numId w:val="48"/>
        </w:numPr>
        <w:rPr>
          <w:rFonts w:cstheme="minorHAnsi"/>
          <w:color w:val="auto"/>
          <w:lang w:eastAsia="pl-PL"/>
        </w:rPr>
      </w:pPr>
      <w:r w:rsidRPr="00655FC7">
        <w:rPr>
          <w:rFonts w:cstheme="minorHAnsi"/>
          <w:color w:val="auto"/>
          <w:lang w:eastAsia="pl-PL"/>
        </w:rPr>
        <w:t>Różaniec Pierwszy</w:t>
      </w:r>
    </w:p>
    <w:p w14:paraId="1766D96B" w14:textId="77777777" w:rsidR="00D155AA" w:rsidRPr="00655FC7" w:rsidRDefault="00D155AA">
      <w:pPr>
        <w:pStyle w:val="Akapitzlist"/>
        <w:numPr>
          <w:ilvl w:val="0"/>
          <w:numId w:val="48"/>
        </w:numPr>
        <w:rPr>
          <w:rFonts w:cstheme="minorHAnsi"/>
          <w:color w:val="auto"/>
          <w:lang w:eastAsia="pl-PL"/>
        </w:rPr>
      </w:pPr>
      <w:r w:rsidRPr="00655FC7">
        <w:rPr>
          <w:rFonts w:cstheme="minorHAnsi"/>
          <w:color w:val="auto"/>
          <w:lang w:eastAsia="pl-PL"/>
        </w:rPr>
        <w:t>Różaniec Drugi</w:t>
      </w:r>
    </w:p>
    <w:p w14:paraId="5FAF9744" w14:textId="77777777" w:rsidR="00D155AA" w:rsidRPr="00655FC7" w:rsidRDefault="00D155AA">
      <w:pPr>
        <w:pStyle w:val="Akapitzlist"/>
        <w:numPr>
          <w:ilvl w:val="0"/>
          <w:numId w:val="48"/>
        </w:numPr>
        <w:rPr>
          <w:rFonts w:cstheme="minorHAnsi"/>
          <w:color w:val="auto"/>
          <w:lang w:eastAsia="pl-PL"/>
        </w:rPr>
      </w:pPr>
      <w:r w:rsidRPr="00655FC7">
        <w:rPr>
          <w:rFonts w:cstheme="minorHAnsi"/>
          <w:color w:val="auto"/>
          <w:lang w:eastAsia="pl-PL"/>
        </w:rPr>
        <w:t>Wola Różaniecka</w:t>
      </w:r>
    </w:p>
    <w:p w14:paraId="6E4AEAC9" w14:textId="77777777" w:rsidR="00D155AA" w:rsidRPr="00655FC7" w:rsidRDefault="00D155AA">
      <w:pPr>
        <w:pStyle w:val="Akapitzlist"/>
        <w:numPr>
          <w:ilvl w:val="0"/>
          <w:numId w:val="48"/>
        </w:numPr>
        <w:rPr>
          <w:rFonts w:cstheme="minorHAnsi"/>
          <w:color w:val="auto"/>
          <w:lang w:eastAsia="pl-PL"/>
        </w:rPr>
      </w:pPr>
      <w:r w:rsidRPr="00655FC7">
        <w:rPr>
          <w:rFonts w:cstheme="minorHAnsi"/>
          <w:color w:val="auto"/>
          <w:lang w:eastAsia="pl-PL"/>
        </w:rPr>
        <w:t>Luchów Górny</w:t>
      </w:r>
    </w:p>
    <w:p w14:paraId="4B1E0E1D" w14:textId="77777777" w:rsidR="00D155AA" w:rsidRPr="00655FC7" w:rsidRDefault="00D155AA">
      <w:pPr>
        <w:pStyle w:val="Akapitzlist"/>
        <w:numPr>
          <w:ilvl w:val="0"/>
          <w:numId w:val="48"/>
        </w:numPr>
        <w:rPr>
          <w:rFonts w:cstheme="minorHAnsi"/>
          <w:color w:val="auto"/>
          <w:lang w:eastAsia="pl-PL"/>
        </w:rPr>
      </w:pPr>
      <w:r w:rsidRPr="00655FC7">
        <w:rPr>
          <w:rFonts w:cstheme="minorHAnsi"/>
          <w:color w:val="auto"/>
          <w:lang w:eastAsia="pl-PL"/>
        </w:rPr>
        <w:t>Luchów Dolny</w:t>
      </w:r>
    </w:p>
    <w:p w14:paraId="5B105A5B" w14:textId="77777777" w:rsidR="00D155AA" w:rsidRPr="00655FC7" w:rsidRDefault="00D155AA" w:rsidP="00D155AA">
      <w:pPr>
        <w:rPr>
          <w:rFonts w:cstheme="minorHAnsi"/>
          <w:color w:val="auto"/>
          <w:lang w:eastAsia="pl-PL"/>
        </w:rPr>
      </w:pPr>
    </w:p>
    <w:p w14:paraId="1D673D83" w14:textId="77777777" w:rsidR="00D155AA" w:rsidRDefault="00D155AA" w:rsidP="00D155AA">
      <w:pPr>
        <w:rPr>
          <w:rFonts w:cstheme="minorHAnsi"/>
          <w:color w:val="auto"/>
          <w:lang w:eastAsia="pl-PL"/>
        </w:rPr>
      </w:pPr>
      <w:r w:rsidRPr="00655FC7">
        <w:rPr>
          <w:rFonts w:cstheme="minorHAnsi"/>
          <w:color w:val="auto"/>
          <w:lang w:eastAsia="pl-PL"/>
        </w:rPr>
        <w:t>Istnieje potrzeba doposażenia OSP Tarnogród w sprzęt ratowniczo-gaśniczy.</w:t>
      </w:r>
    </w:p>
    <w:p w14:paraId="166EB37F" w14:textId="77777777" w:rsidR="00B5481C" w:rsidRPr="00655FC7" w:rsidRDefault="00B5481C" w:rsidP="00D155AA">
      <w:pPr>
        <w:rPr>
          <w:rFonts w:cstheme="minorHAnsi"/>
          <w:color w:val="auto"/>
          <w:lang w:eastAsia="pl-PL"/>
        </w:rPr>
      </w:pPr>
    </w:p>
    <w:p w14:paraId="1CAF8603" w14:textId="2EBC8BA9" w:rsidR="00D155AA" w:rsidRPr="00655FC7" w:rsidRDefault="00D155AA" w:rsidP="00D155AA">
      <w:pPr>
        <w:rPr>
          <w:rFonts w:cstheme="minorHAnsi"/>
          <w:color w:val="auto"/>
          <w:lang w:eastAsia="pl-PL"/>
        </w:rPr>
      </w:pPr>
      <w:r w:rsidRPr="00655FC7">
        <w:rPr>
          <w:rFonts w:cstheme="minorHAnsi"/>
          <w:color w:val="auto"/>
          <w:lang w:eastAsia="pl-PL"/>
        </w:rPr>
        <w:t>Poniżej przedstawiono liczbę interwencji przeprowadzanych na terenie miasta Tarnogród związanych ze zjawiskami spowodowanymi zmianami klimatu. Jak można zauważyć, w ostatnich 6</w:t>
      </w:r>
      <w:r w:rsidR="00133DFE" w:rsidRPr="00655FC7">
        <w:rPr>
          <w:rFonts w:cstheme="minorHAnsi"/>
          <w:color w:val="auto"/>
          <w:lang w:eastAsia="pl-PL"/>
        </w:rPr>
        <w:t> </w:t>
      </w:r>
      <w:r w:rsidRPr="00655FC7">
        <w:rPr>
          <w:rFonts w:cstheme="minorHAnsi"/>
          <w:color w:val="auto"/>
          <w:lang w:eastAsia="pl-PL"/>
        </w:rPr>
        <w:t>latach wzrosła liczba interwencji związana z silnymi wiatrami i opadami deszczu.</w:t>
      </w:r>
    </w:p>
    <w:p w14:paraId="14B4D624" w14:textId="77777777" w:rsidR="00D155AA" w:rsidRPr="00655FC7" w:rsidRDefault="00D155AA" w:rsidP="00D155AA">
      <w:pPr>
        <w:rPr>
          <w:rFonts w:cstheme="minorHAnsi"/>
          <w:color w:val="auto"/>
          <w:lang w:eastAsia="pl-PL"/>
        </w:rPr>
      </w:pPr>
    </w:p>
    <w:p w14:paraId="7887EDA1" w14:textId="6CBE9740" w:rsidR="00D155AA" w:rsidRPr="00655FC7" w:rsidRDefault="00D155AA" w:rsidP="00D155AA">
      <w:pPr>
        <w:pStyle w:val="Styltabela"/>
      </w:pPr>
      <w:bookmarkStart w:id="103" w:name="_Toc178846313"/>
      <w:r w:rsidRPr="00655FC7">
        <w:t xml:space="preserve">Tabela </w:t>
      </w:r>
      <w:r w:rsidR="00E833A9">
        <w:fldChar w:fldCharType="begin"/>
      </w:r>
      <w:r w:rsidR="00E833A9">
        <w:instrText xml:space="preserve"> SEQ Tabela \* ARABIC </w:instrText>
      </w:r>
      <w:r w:rsidR="00E833A9">
        <w:fldChar w:fldCharType="separate"/>
      </w:r>
      <w:r w:rsidR="00A654D8">
        <w:rPr>
          <w:noProof/>
        </w:rPr>
        <w:t>7</w:t>
      </w:r>
      <w:r w:rsidR="00E833A9">
        <w:rPr>
          <w:noProof/>
        </w:rPr>
        <w:fldChar w:fldCharType="end"/>
      </w:r>
      <w:r w:rsidRPr="00655FC7">
        <w:t>. Interwencje związane ze zjawiskami spowodowanymi zmianami klimatu (silne burze, wiatry, deszcze ulewne, podtopienia itd.) na terenie Miasta Tarnogród.</w:t>
      </w:r>
      <w:bookmarkEnd w:id="103"/>
    </w:p>
    <w:tbl>
      <w:tblPr>
        <w:tblW w:w="9072" w:type="dxa"/>
        <w:jc w:val="center"/>
        <w:tblLayout w:type="fixed"/>
        <w:tblCellMar>
          <w:top w:w="55" w:type="dxa"/>
          <w:left w:w="55" w:type="dxa"/>
          <w:bottom w:w="55" w:type="dxa"/>
          <w:right w:w="55" w:type="dxa"/>
        </w:tblCellMar>
        <w:tblLook w:val="0000" w:firstRow="0" w:lastRow="0" w:firstColumn="0" w:lastColumn="0" w:noHBand="0" w:noVBand="0"/>
      </w:tblPr>
      <w:tblGrid>
        <w:gridCol w:w="1542"/>
        <w:gridCol w:w="1285"/>
        <w:gridCol w:w="1286"/>
        <w:gridCol w:w="1285"/>
        <w:gridCol w:w="1286"/>
        <w:gridCol w:w="1285"/>
        <w:gridCol w:w="1103"/>
      </w:tblGrid>
      <w:tr w:rsidR="00D155AA" w:rsidRPr="00655FC7" w14:paraId="67CC7DC4" w14:textId="77777777" w:rsidTr="00827748">
        <w:trPr>
          <w:trHeight w:val="283"/>
          <w:jc w:val="center"/>
        </w:trPr>
        <w:tc>
          <w:tcPr>
            <w:tcW w:w="1542" w:type="dxa"/>
            <w:tcBorders>
              <w:top w:val="single" w:sz="4" w:space="0" w:color="000000"/>
              <w:left w:val="single" w:sz="4" w:space="0" w:color="000000"/>
              <w:bottom w:val="single" w:sz="4" w:space="0" w:color="000000"/>
            </w:tcBorders>
            <w:shd w:val="clear" w:color="auto" w:fill="A3D33A" w:themeFill="text2" w:themeFillTint="99"/>
            <w:vAlign w:val="center"/>
          </w:tcPr>
          <w:p w14:paraId="11B42F6E" w14:textId="77777777" w:rsidR="00D155AA" w:rsidRPr="00655FC7" w:rsidRDefault="00D155AA" w:rsidP="00827748">
            <w:pPr>
              <w:spacing w:line="240" w:lineRule="auto"/>
              <w:ind w:firstLine="0"/>
              <w:jc w:val="center"/>
              <w:rPr>
                <w:rFonts w:cstheme="minorHAnsi"/>
                <w:b/>
                <w:bCs/>
                <w:color w:val="auto"/>
                <w:sz w:val="18"/>
                <w:szCs w:val="18"/>
                <w:lang w:eastAsia="pl-PL"/>
              </w:rPr>
            </w:pPr>
            <w:r w:rsidRPr="00655FC7">
              <w:rPr>
                <w:rFonts w:cstheme="minorHAnsi"/>
                <w:b/>
                <w:bCs/>
                <w:color w:val="auto"/>
                <w:sz w:val="18"/>
                <w:szCs w:val="18"/>
                <w:lang w:eastAsia="pl-PL"/>
              </w:rPr>
              <w:t>Rodzaj zdarzenia</w:t>
            </w:r>
          </w:p>
        </w:tc>
        <w:tc>
          <w:tcPr>
            <w:tcW w:w="1285" w:type="dxa"/>
            <w:tcBorders>
              <w:top w:val="single" w:sz="4" w:space="0" w:color="000000"/>
              <w:left w:val="single" w:sz="4" w:space="0" w:color="000000"/>
              <w:bottom w:val="single" w:sz="4" w:space="0" w:color="000000"/>
            </w:tcBorders>
            <w:shd w:val="clear" w:color="auto" w:fill="A3D33A" w:themeFill="text2" w:themeFillTint="99"/>
            <w:vAlign w:val="center"/>
          </w:tcPr>
          <w:p w14:paraId="488C3ED7" w14:textId="77777777" w:rsidR="00D155AA" w:rsidRPr="00655FC7" w:rsidRDefault="00D155AA" w:rsidP="00827748">
            <w:pPr>
              <w:spacing w:line="240" w:lineRule="auto"/>
              <w:ind w:firstLine="0"/>
              <w:jc w:val="center"/>
              <w:rPr>
                <w:rFonts w:cstheme="minorHAnsi"/>
                <w:b/>
                <w:bCs/>
                <w:color w:val="auto"/>
                <w:sz w:val="18"/>
                <w:szCs w:val="18"/>
                <w:lang w:eastAsia="pl-PL"/>
              </w:rPr>
            </w:pPr>
            <w:r w:rsidRPr="00655FC7">
              <w:rPr>
                <w:rFonts w:cstheme="minorHAnsi"/>
                <w:b/>
                <w:bCs/>
                <w:color w:val="auto"/>
                <w:sz w:val="18"/>
                <w:szCs w:val="18"/>
                <w:lang w:eastAsia="pl-PL"/>
              </w:rPr>
              <w:t>2018</w:t>
            </w:r>
          </w:p>
        </w:tc>
        <w:tc>
          <w:tcPr>
            <w:tcW w:w="1286" w:type="dxa"/>
            <w:tcBorders>
              <w:top w:val="single" w:sz="4" w:space="0" w:color="000000"/>
              <w:left w:val="single" w:sz="4" w:space="0" w:color="000000"/>
              <w:bottom w:val="single" w:sz="4" w:space="0" w:color="000000"/>
              <w:right w:val="single" w:sz="4" w:space="0" w:color="000000"/>
            </w:tcBorders>
            <w:shd w:val="clear" w:color="auto" w:fill="A3D33A" w:themeFill="text2" w:themeFillTint="99"/>
            <w:vAlign w:val="center"/>
          </w:tcPr>
          <w:p w14:paraId="47539A91" w14:textId="77777777" w:rsidR="00D155AA" w:rsidRPr="00655FC7" w:rsidRDefault="00D155AA" w:rsidP="00827748">
            <w:pPr>
              <w:spacing w:line="240" w:lineRule="auto"/>
              <w:ind w:firstLine="0"/>
              <w:jc w:val="center"/>
              <w:rPr>
                <w:rFonts w:cstheme="minorHAnsi"/>
                <w:b/>
                <w:bCs/>
                <w:color w:val="auto"/>
                <w:sz w:val="18"/>
                <w:szCs w:val="18"/>
                <w:lang w:eastAsia="pl-PL"/>
              </w:rPr>
            </w:pPr>
            <w:r w:rsidRPr="00655FC7">
              <w:rPr>
                <w:rFonts w:cstheme="minorHAnsi"/>
                <w:b/>
                <w:bCs/>
                <w:color w:val="auto"/>
                <w:sz w:val="18"/>
                <w:szCs w:val="18"/>
                <w:lang w:eastAsia="pl-PL"/>
              </w:rPr>
              <w:t>2019</w:t>
            </w:r>
          </w:p>
        </w:tc>
        <w:tc>
          <w:tcPr>
            <w:tcW w:w="1285" w:type="dxa"/>
            <w:tcBorders>
              <w:top w:val="single" w:sz="4" w:space="0" w:color="000000"/>
              <w:left w:val="single" w:sz="4" w:space="0" w:color="000000"/>
              <w:bottom w:val="single" w:sz="4" w:space="0" w:color="000000"/>
              <w:right w:val="single" w:sz="4" w:space="0" w:color="000000"/>
            </w:tcBorders>
            <w:shd w:val="clear" w:color="auto" w:fill="A3D33A" w:themeFill="text2" w:themeFillTint="99"/>
            <w:vAlign w:val="center"/>
          </w:tcPr>
          <w:p w14:paraId="6D5D8C0F" w14:textId="77777777" w:rsidR="00D155AA" w:rsidRPr="00655FC7" w:rsidRDefault="00D155AA" w:rsidP="00827748">
            <w:pPr>
              <w:spacing w:line="240" w:lineRule="auto"/>
              <w:ind w:firstLine="0"/>
              <w:jc w:val="center"/>
              <w:rPr>
                <w:rFonts w:cstheme="minorHAnsi"/>
                <w:b/>
                <w:bCs/>
                <w:color w:val="auto"/>
                <w:sz w:val="18"/>
                <w:szCs w:val="18"/>
                <w:lang w:eastAsia="pl-PL"/>
              </w:rPr>
            </w:pPr>
            <w:r w:rsidRPr="00655FC7">
              <w:rPr>
                <w:rFonts w:cstheme="minorHAnsi"/>
                <w:b/>
                <w:bCs/>
                <w:color w:val="auto"/>
                <w:sz w:val="18"/>
                <w:szCs w:val="18"/>
                <w:lang w:eastAsia="pl-PL"/>
              </w:rPr>
              <w:t>2020</w:t>
            </w:r>
          </w:p>
        </w:tc>
        <w:tc>
          <w:tcPr>
            <w:tcW w:w="1286" w:type="dxa"/>
            <w:tcBorders>
              <w:top w:val="single" w:sz="4" w:space="0" w:color="000000"/>
              <w:left w:val="single" w:sz="4" w:space="0" w:color="000000"/>
              <w:bottom w:val="single" w:sz="4" w:space="0" w:color="000000"/>
              <w:right w:val="single" w:sz="4" w:space="0" w:color="000000"/>
            </w:tcBorders>
            <w:shd w:val="clear" w:color="auto" w:fill="A3D33A" w:themeFill="text2" w:themeFillTint="99"/>
            <w:vAlign w:val="center"/>
          </w:tcPr>
          <w:p w14:paraId="38D2FE0E" w14:textId="77777777" w:rsidR="00D155AA" w:rsidRPr="00655FC7" w:rsidRDefault="00D155AA" w:rsidP="00827748">
            <w:pPr>
              <w:spacing w:line="240" w:lineRule="auto"/>
              <w:ind w:firstLine="0"/>
              <w:jc w:val="center"/>
              <w:rPr>
                <w:rFonts w:cstheme="minorHAnsi"/>
                <w:b/>
                <w:bCs/>
                <w:color w:val="auto"/>
                <w:sz w:val="18"/>
                <w:szCs w:val="18"/>
                <w:lang w:eastAsia="pl-PL"/>
              </w:rPr>
            </w:pPr>
            <w:r w:rsidRPr="00655FC7">
              <w:rPr>
                <w:rFonts w:cstheme="minorHAnsi"/>
                <w:b/>
                <w:bCs/>
                <w:color w:val="auto"/>
                <w:sz w:val="18"/>
                <w:szCs w:val="18"/>
                <w:lang w:eastAsia="pl-PL"/>
              </w:rPr>
              <w:t>2021</w:t>
            </w:r>
          </w:p>
        </w:tc>
        <w:tc>
          <w:tcPr>
            <w:tcW w:w="1285" w:type="dxa"/>
            <w:tcBorders>
              <w:top w:val="single" w:sz="4" w:space="0" w:color="000000"/>
              <w:left w:val="single" w:sz="4" w:space="0" w:color="000000"/>
              <w:bottom w:val="single" w:sz="4" w:space="0" w:color="000000"/>
              <w:right w:val="single" w:sz="4" w:space="0" w:color="000000"/>
            </w:tcBorders>
            <w:shd w:val="clear" w:color="auto" w:fill="A3D33A" w:themeFill="text2" w:themeFillTint="99"/>
            <w:vAlign w:val="center"/>
          </w:tcPr>
          <w:p w14:paraId="11693A6D" w14:textId="77777777" w:rsidR="00D155AA" w:rsidRPr="00655FC7" w:rsidRDefault="00D155AA" w:rsidP="00827748">
            <w:pPr>
              <w:spacing w:line="240" w:lineRule="auto"/>
              <w:ind w:firstLine="0"/>
              <w:jc w:val="center"/>
              <w:rPr>
                <w:rFonts w:cstheme="minorHAnsi"/>
                <w:b/>
                <w:bCs/>
                <w:color w:val="auto"/>
                <w:sz w:val="18"/>
                <w:szCs w:val="18"/>
                <w:lang w:eastAsia="pl-PL"/>
              </w:rPr>
            </w:pPr>
            <w:r w:rsidRPr="00655FC7">
              <w:rPr>
                <w:rFonts w:cstheme="minorHAnsi"/>
                <w:b/>
                <w:bCs/>
                <w:color w:val="auto"/>
                <w:sz w:val="18"/>
                <w:szCs w:val="18"/>
                <w:lang w:eastAsia="pl-PL"/>
              </w:rPr>
              <w:t>2022</w:t>
            </w:r>
          </w:p>
        </w:tc>
        <w:tc>
          <w:tcPr>
            <w:tcW w:w="1103" w:type="dxa"/>
            <w:tcBorders>
              <w:top w:val="single" w:sz="4" w:space="0" w:color="000000"/>
              <w:left w:val="single" w:sz="4" w:space="0" w:color="000000"/>
              <w:bottom w:val="single" w:sz="4" w:space="0" w:color="000000"/>
              <w:right w:val="single" w:sz="4" w:space="0" w:color="000000"/>
            </w:tcBorders>
            <w:shd w:val="clear" w:color="auto" w:fill="A3D33A" w:themeFill="text2" w:themeFillTint="99"/>
            <w:vAlign w:val="center"/>
          </w:tcPr>
          <w:p w14:paraId="0CF32B30" w14:textId="77777777" w:rsidR="00D155AA" w:rsidRPr="00655FC7" w:rsidRDefault="00D155AA" w:rsidP="00827748">
            <w:pPr>
              <w:spacing w:line="240" w:lineRule="auto"/>
              <w:ind w:firstLine="0"/>
              <w:jc w:val="center"/>
              <w:rPr>
                <w:rFonts w:cstheme="minorHAnsi"/>
                <w:b/>
                <w:bCs/>
                <w:color w:val="auto"/>
                <w:sz w:val="18"/>
                <w:szCs w:val="18"/>
                <w:lang w:eastAsia="pl-PL"/>
              </w:rPr>
            </w:pPr>
            <w:r w:rsidRPr="00655FC7">
              <w:rPr>
                <w:rFonts w:cstheme="minorHAnsi"/>
                <w:b/>
                <w:bCs/>
                <w:color w:val="auto"/>
                <w:sz w:val="18"/>
                <w:szCs w:val="18"/>
                <w:lang w:eastAsia="pl-PL"/>
              </w:rPr>
              <w:t>2023</w:t>
            </w:r>
          </w:p>
        </w:tc>
      </w:tr>
      <w:tr w:rsidR="00D155AA" w:rsidRPr="00655FC7" w14:paraId="36D13DE8" w14:textId="77777777" w:rsidTr="00827748">
        <w:trPr>
          <w:jc w:val="center"/>
        </w:trPr>
        <w:tc>
          <w:tcPr>
            <w:tcW w:w="1542" w:type="dxa"/>
            <w:tcBorders>
              <w:left w:val="single" w:sz="4" w:space="0" w:color="000000"/>
              <w:bottom w:val="single" w:sz="4" w:space="0" w:color="auto"/>
            </w:tcBorders>
            <w:vAlign w:val="center"/>
          </w:tcPr>
          <w:p w14:paraId="2B01C449" w14:textId="77777777" w:rsidR="00D155AA" w:rsidRPr="00655FC7" w:rsidRDefault="00D155AA" w:rsidP="00827748">
            <w:pPr>
              <w:spacing w:line="240" w:lineRule="auto"/>
              <w:ind w:firstLine="0"/>
              <w:jc w:val="center"/>
              <w:rPr>
                <w:rFonts w:cstheme="minorHAnsi"/>
                <w:b/>
                <w:bCs/>
                <w:color w:val="auto"/>
                <w:sz w:val="18"/>
                <w:szCs w:val="18"/>
                <w:lang w:eastAsia="pl-PL"/>
              </w:rPr>
            </w:pPr>
            <w:r w:rsidRPr="00655FC7">
              <w:rPr>
                <w:rFonts w:cstheme="minorHAnsi"/>
                <w:b/>
                <w:bCs/>
                <w:color w:val="auto"/>
                <w:sz w:val="18"/>
                <w:szCs w:val="18"/>
                <w:lang w:eastAsia="pl-PL"/>
              </w:rPr>
              <w:t>Silne wiatry</w:t>
            </w:r>
          </w:p>
        </w:tc>
        <w:tc>
          <w:tcPr>
            <w:tcW w:w="1285" w:type="dxa"/>
            <w:tcBorders>
              <w:left w:val="single" w:sz="4" w:space="0" w:color="000000"/>
              <w:bottom w:val="single" w:sz="4" w:space="0" w:color="auto"/>
            </w:tcBorders>
            <w:vAlign w:val="center"/>
          </w:tcPr>
          <w:p w14:paraId="7DD3F690"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1</w:t>
            </w:r>
          </w:p>
        </w:tc>
        <w:tc>
          <w:tcPr>
            <w:tcW w:w="1286" w:type="dxa"/>
            <w:tcBorders>
              <w:left w:val="single" w:sz="4" w:space="0" w:color="000000"/>
              <w:bottom w:val="single" w:sz="4" w:space="0" w:color="auto"/>
              <w:right w:val="single" w:sz="4" w:space="0" w:color="000000"/>
            </w:tcBorders>
            <w:vAlign w:val="center"/>
          </w:tcPr>
          <w:p w14:paraId="47A6EE8B"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2</w:t>
            </w:r>
          </w:p>
        </w:tc>
        <w:tc>
          <w:tcPr>
            <w:tcW w:w="1285" w:type="dxa"/>
            <w:tcBorders>
              <w:left w:val="single" w:sz="4" w:space="0" w:color="000000"/>
              <w:bottom w:val="single" w:sz="4" w:space="0" w:color="auto"/>
              <w:right w:val="single" w:sz="4" w:space="0" w:color="000000"/>
            </w:tcBorders>
            <w:vAlign w:val="center"/>
          </w:tcPr>
          <w:p w14:paraId="6A1A2AA0"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2</w:t>
            </w:r>
          </w:p>
        </w:tc>
        <w:tc>
          <w:tcPr>
            <w:tcW w:w="1286" w:type="dxa"/>
            <w:tcBorders>
              <w:left w:val="single" w:sz="4" w:space="0" w:color="000000"/>
              <w:bottom w:val="single" w:sz="4" w:space="0" w:color="auto"/>
              <w:right w:val="single" w:sz="4" w:space="0" w:color="000000"/>
            </w:tcBorders>
            <w:vAlign w:val="center"/>
          </w:tcPr>
          <w:p w14:paraId="08E23E0E"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1</w:t>
            </w:r>
          </w:p>
        </w:tc>
        <w:tc>
          <w:tcPr>
            <w:tcW w:w="1285" w:type="dxa"/>
            <w:tcBorders>
              <w:left w:val="single" w:sz="4" w:space="0" w:color="000000"/>
              <w:bottom w:val="single" w:sz="4" w:space="0" w:color="auto"/>
              <w:right w:val="single" w:sz="4" w:space="0" w:color="000000"/>
            </w:tcBorders>
            <w:vAlign w:val="center"/>
          </w:tcPr>
          <w:p w14:paraId="6A735136"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2</w:t>
            </w:r>
          </w:p>
        </w:tc>
        <w:tc>
          <w:tcPr>
            <w:tcW w:w="1103" w:type="dxa"/>
            <w:tcBorders>
              <w:left w:val="single" w:sz="4" w:space="0" w:color="000000"/>
              <w:bottom w:val="single" w:sz="4" w:space="0" w:color="auto"/>
              <w:right w:val="single" w:sz="4" w:space="0" w:color="000000"/>
            </w:tcBorders>
            <w:vAlign w:val="center"/>
          </w:tcPr>
          <w:p w14:paraId="64FF724F"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6</w:t>
            </w:r>
          </w:p>
        </w:tc>
      </w:tr>
      <w:tr w:rsidR="00D155AA" w:rsidRPr="00655FC7" w14:paraId="313295CA" w14:textId="77777777" w:rsidTr="00827748">
        <w:trPr>
          <w:jc w:val="center"/>
        </w:trPr>
        <w:tc>
          <w:tcPr>
            <w:tcW w:w="1542" w:type="dxa"/>
            <w:tcBorders>
              <w:top w:val="single" w:sz="4" w:space="0" w:color="auto"/>
              <w:left w:val="single" w:sz="4" w:space="0" w:color="auto"/>
              <w:bottom w:val="single" w:sz="4" w:space="0" w:color="auto"/>
              <w:right w:val="single" w:sz="4" w:space="0" w:color="auto"/>
            </w:tcBorders>
            <w:shd w:val="clear" w:color="auto" w:fill="E1EFCB" w:themeFill="accent1" w:themeFillTint="33"/>
            <w:vAlign w:val="center"/>
          </w:tcPr>
          <w:p w14:paraId="1440B4C4" w14:textId="77777777" w:rsidR="00D155AA" w:rsidRPr="00655FC7" w:rsidRDefault="00D155AA" w:rsidP="00827748">
            <w:pPr>
              <w:spacing w:line="240" w:lineRule="auto"/>
              <w:ind w:firstLine="0"/>
              <w:jc w:val="center"/>
              <w:rPr>
                <w:rFonts w:cstheme="minorHAnsi"/>
                <w:b/>
                <w:bCs/>
                <w:color w:val="auto"/>
                <w:sz w:val="18"/>
                <w:szCs w:val="18"/>
                <w:lang w:eastAsia="pl-PL"/>
              </w:rPr>
            </w:pPr>
            <w:r w:rsidRPr="00655FC7">
              <w:rPr>
                <w:rFonts w:cstheme="minorHAnsi"/>
                <w:b/>
                <w:bCs/>
                <w:color w:val="auto"/>
                <w:sz w:val="18"/>
                <w:szCs w:val="18"/>
                <w:lang w:eastAsia="pl-PL"/>
              </w:rPr>
              <w:t>Przybory wód</w:t>
            </w:r>
          </w:p>
        </w:tc>
        <w:tc>
          <w:tcPr>
            <w:tcW w:w="1285" w:type="dxa"/>
            <w:tcBorders>
              <w:top w:val="single" w:sz="4" w:space="0" w:color="auto"/>
              <w:left w:val="single" w:sz="4" w:space="0" w:color="auto"/>
              <w:bottom w:val="single" w:sz="4" w:space="0" w:color="auto"/>
              <w:right w:val="single" w:sz="4" w:space="0" w:color="auto"/>
            </w:tcBorders>
            <w:shd w:val="clear" w:color="auto" w:fill="E1EFCB" w:themeFill="accent1" w:themeFillTint="33"/>
            <w:vAlign w:val="center"/>
          </w:tcPr>
          <w:p w14:paraId="1163819F"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286" w:type="dxa"/>
            <w:tcBorders>
              <w:top w:val="single" w:sz="4" w:space="0" w:color="auto"/>
              <w:left w:val="single" w:sz="4" w:space="0" w:color="auto"/>
              <w:bottom w:val="single" w:sz="4" w:space="0" w:color="auto"/>
              <w:right w:val="single" w:sz="4" w:space="0" w:color="auto"/>
            </w:tcBorders>
            <w:shd w:val="clear" w:color="auto" w:fill="E1EFCB" w:themeFill="accent1" w:themeFillTint="33"/>
            <w:vAlign w:val="center"/>
          </w:tcPr>
          <w:p w14:paraId="31707001"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285" w:type="dxa"/>
            <w:tcBorders>
              <w:top w:val="single" w:sz="4" w:space="0" w:color="auto"/>
              <w:left w:val="single" w:sz="4" w:space="0" w:color="auto"/>
              <w:bottom w:val="single" w:sz="4" w:space="0" w:color="auto"/>
              <w:right w:val="single" w:sz="4" w:space="0" w:color="auto"/>
            </w:tcBorders>
            <w:shd w:val="clear" w:color="auto" w:fill="E1EFCB" w:themeFill="accent1" w:themeFillTint="33"/>
            <w:vAlign w:val="center"/>
          </w:tcPr>
          <w:p w14:paraId="41859587"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286" w:type="dxa"/>
            <w:tcBorders>
              <w:top w:val="single" w:sz="4" w:space="0" w:color="auto"/>
              <w:left w:val="single" w:sz="4" w:space="0" w:color="auto"/>
              <w:bottom w:val="single" w:sz="4" w:space="0" w:color="auto"/>
              <w:right w:val="single" w:sz="4" w:space="0" w:color="auto"/>
            </w:tcBorders>
            <w:shd w:val="clear" w:color="auto" w:fill="E1EFCB" w:themeFill="accent1" w:themeFillTint="33"/>
            <w:vAlign w:val="center"/>
          </w:tcPr>
          <w:p w14:paraId="3CC63A9A"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285" w:type="dxa"/>
            <w:tcBorders>
              <w:top w:val="single" w:sz="4" w:space="0" w:color="auto"/>
              <w:left w:val="single" w:sz="4" w:space="0" w:color="auto"/>
              <w:bottom w:val="single" w:sz="4" w:space="0" w:color="auto"/>
              <w:right w:val="single" w:sz="4" w:space="0" w:color="auto"/>
            </w:tcBorders>
            <w:shd w:val="clear" w:color="auto" w:fill="E1EFCB" w:themeFill="accent1" w:themeFillTint="33"/>
            <w:vAlign w:val="center"/>
          </w:tcPr>
          <w:p w14:paraId="1BC308A1"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103" w:type="dxa"/>
            <w:tcBorders>
              <w:top w:val="single" w:sz="4" w:space="0" w:color="auto"/>
              <w:left w:val="single" w:sz="4" w:space="0" w:color="auto"/>
              <w:bottom w:val="single" w:sz="4" w:space="0" w:color="auto"/>
              <w:right w:val="single" w:sz="4" w:space="0" w:color="auto"/>
            </w:tcBorders>
            <w:shd w:val="clear" w:color="auto" w:fill="E1EFCB" w:themeFill="accent1" w:themeFillTint="33"/>
            <w:vAlign w:val="center"/>
          </w:tcPr>
          <w:p w14:paraId="242EC46F"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r>
      <w:tr w:rsidR="00D155AA" w:rsidRPr="00655FC7" w14:paraId="72B82A60" w14:textId="77777777" w:rsidTr="00827748">
        <w:trPr>
          <w:jc w:val="center"/>
        </w:trPr>
        <w:tc>
          <w:tcPr>
            <w:tcW w:w="1542" w:type="dxa"/>
            <w:tcBorders>
              <w:top w:val="single" w:sz="4" w:space="0" w:color="auto"/>
              <w:left w:val="single" w:sz="4" w:space="0" w:color="auto"/>
              <w:bottom w:val="single" w:sz="4" w:space="0" w:color="auto"/>
              <w:right w:val="single" w:sz="4" w:space="0" w:color="auto"/>
            </w:tcBorders>
            <w:vAlign w:val="center"/>
          </w:tcPr>
          <w:p w14:paraId="7CA93A73" w14:textId="77777777" w:rsidR="00D155AA" w:rsidRPr="00655FC7" w:rsidRDefault="00D155AA" w:rsidP="00827748">
            <w:pPr>
              <w:spacing w:line="240" w:lineRule="auto"/>
              <w:ind w:firstLine="0"/>
              <w:jc w:val="center"/>
              <w:rPr>
                <w:rFonts w:cstheme="minorHAnsi"/>
                <w:b/>
                <w:bCs/>
                <w:color w:val="auto"/>
                <w:sz w:val="18"/>
                <w:szCs w:val="18"/>
                <w:lang w:eastAsia="pl-PL"/>
              </w:rPr>
            </w:pPr>
            <w:r w:rsidRPr="00655FC7">
              <w:rPr>
                <w:rFonts w:cstheme="minorHAnsi"/>
                <w:b/>
                <w:bCs/>
                <w:color w:val="auto"/>
                <w:sz w:val="18"/>
                <w:szCs w:val="18"/>
                <w:lang w:eastAsia="pl-PL"/>
              </w:rPr>
              <w:t>Opady śniegu</w:t>
            </w:r>
          </w:p>
        </w:tc>
        <w:tc>
          <w:tcPr>
            <w:tcW w:w="1285" w:type="dxa"/>
            <w:tcBorders>
              <w:top w:val="single" w:sz="4" w:space="0" w:color="auto"/>
              <w:left w:val="single" w:sz="4" w:space="0" w:color="auto"/>
              <w:bottom w:val="single" w:sz="4" w:space="0" w:color="auto"/>
              <w:right w:val="single" w:sz="4" w:space="0" w:color="auto"/>
            </w:tcBorders>
            <w:vAlign w:val="center"/>
          </w:tcPr>
          <w:p w14:paraId="03344657"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286" w:type="dxa"/>
            <w:tcBorders>
              <w:top w:val="single" w:sz="4" w:space="0" w:color="auto"/>
              <w:left w:val="single" w:sz="4" w:space="0" w:color="auto"/>
              <w:bottom w:val="single" w:sz="4" w:space="0" w:color="auto"/>
              <w:right w:val="single" w:sz="4" w:space="0" w:color="auto"/>
            </w:tcBorders>
            <w:vAlign w:val="center"/>
          </w:tcPr>
          <w:p w14:paraId="077B3520"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285" w:type="dxa"/>
            <w:tcBorders>
              <w:top w:val="single" w:sz="4" w:space="0" w:color="auto"/>
              <w:left w:val="single" w:sz="4" w:space="0" w:color="auto"/>
              <w:bottom w:val="single" w:sz="4" w:space="0" w:color="auto"/>
              <w:right w:val="single" w:sz="4" w:space="0" w:color="auto"/>
            </w:tcBorders>
            <w:vAlign w:val="center"/>
          </w:tcPr>
          <w:p w14:paraId="1CB1C4FA"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286" w:type="dxa"/>
            <w:tcBorders>
              <w:top w:val="single" w:sz="4" w:space="0" w:color="auto"/>
              <w:left w:val="single" w:sz="4" w:space="0" w:color="auto"/>
              <w:bottom w:val="single" w:sz="4" w:space="0" w:color="auto"/>
              <w:right w:val="single" w:sz="4" w:space="0" w:color="auto"/>
            </w:tcBorders>
            <w:vAlign w:val="center"/>
          </w:tcPr>
          <w:p w14:paraId="6ADE65B4"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285" w:type="dxa"/>
            <w:tcBorders>
              <w:top w:val="single" w:sz="4" w:space="0" w:color="auto"/>
              <w:left w:val="single" w:sz="4" w:space="0" w:color="auto"/>
              <w:bottom w:val="single" w:sz="4" w:space="0" w:color="auto"/>
              <w:right w:val="single" w:sz="4" w:space="0" w:color="auto"/>
            </w:tcBorders>
            <w:vAlign w:val="center"/>
          </w:tcPr>
          <w:p w14:paraId="70F09280"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103" w:type="dxa"/>
            <w:tcBorders>
              <w:top w:val="single" w:sz="4" w:space="0" w:color="auto"/>
              <w:left w:val="single" w:sz="4" w:space="0" w:color="auto"/>
              <w:bottom w:val="single" w:sz="4" w:space="0" w:color="auto"/>
              <w:right w:val="single" w:sz="4" w:space="0" w:color="auto"/>
            </w:tcBorders>
            <w:vAlign w:val="center"/>
          </w:tcPr>
          <w:p w14:paraId="58313481"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1</w:t>
            </w:r>
          </w:p>
        </w:tc>
      </w:tr>
      <w:tr w:rsidR="00D155AA" w:rsidRPr="00655FC7" w14:paraId="38FF900D" w14:textId="77777777" w:rsidTr="00827748">
        <w:trPr>
          <w:jc w:val="center"/>
        </w:trPr>
        <w:tc>
          <w:tcPr>
            <w:tcW w:w="1542" w:type="dxa"/>
            <w:tcBorders>
              <w:top w:val="single" w:sz="4" w:space="0" w:color="auto"/>
              <w:left w:val="single" w:sz="4" w:space="0" w:color="auto"/>
              <w:bottom w:val="single" w:sz="4" w:space="0" w:color="auto"/>
              <w:right w:val="single" w:sz="4" w:space="0" w:color="auto"/>
            </w:tcBorders>
            <w:shd w:val="clear" w:color="auto" w:fill="E1EFCB" w:themeFill="accent1" w:themeFillTint="33"/>
            <w:vAlign w:val="center"/>
          </w:tcPr>
          <w:p w14:paraId="1E3EAC33" w14:textId="77777777" w:rsidR="00D155AA" w:rsidRPr="00655FC7" w:rsidRDefault="00D155AA" w:rsidP="00827748">
            <w:pPr>
              <w:spacing w:line="240" w:lineRule="auto"/>
              <w:ind w:firstLine="0"/>
              <w:jc w:val="center"/>
              <w:rPr>
                <w:rFonts w:cstheme="minorHAnsi"/>
                <w:b/>
                <w:bCs/>
                <w:color w:val="auto"/>
                <w:sz w:val="18"/>
                <w:szCs w:val="18"/>
                <w:lang w:eastAsia="pl-PL"/>
              </w:rPr>
            </w:pPr>
            <w:r w:rsidRPr="00655FC7">
              <w:rPr>
                <w:rFonts w:cstheme="minorHAnsi"/>
                <w:b/>
                <w:bCs/>
                <w:color w:val="auto"/>
                <w:sz w:val="18"/>
                <w:szCs w:val="18"/>
                <w:lang w:eastAsia="pl-PL"/>
              </w:rPr>
              <w:t>Opady deszczu</w:t>
            </w:r>
          </w:p>
        </w:tc>
        <w:tc>
          <w:tcPr>
            <w:tcW w:w="1285" w:type="dxa"/>
            <w:tcBorders>
              <w:top w:val="single" w:sz="4" w:space="0" w:color="auto"/>
              <w:left w:val="single" w:sz="4" w:space="0" w:color="auto"/>
              <w:bottom w:val="single" w:sz="4" w:space="0" w:color="auto"/>
              <w:right w:val="single" w:sz="4" w:space="0" w:color="auto"/>
            </w:tcBorders>
            <w:shd w:val="clear" w:color="auto" w:fill="E1EFCB" w:themeFill="accent1" w:themeFillTint="33"/>
            <w:vAlign w:val="center"/>
          </w:tcPr>
          <w:p w14:paraId="6560D5CD"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1</w:t>
            </w:r>
          </w:p>
        </w:tc>
        <w:tc>
          <w:tcPr>
            <w:tcW w:w="1286" w:type="dxa"/>
            <w:tcBorders>
              <w:top w:val="single" w:sz="4" w:space="0" w:color="auto"/>
              <w:left w:val="single" w:sz="4" w:space="0" w:color="auto"/>
              <w:bottom w:val="single" w:sz="4" w:space="0" w:color="auto"/>
              <w:right w:val="single" w:sz="4" w:space="0" w:color="auto"/>
            </w:tcBorders>
            <w:shd w:val="clear" w:color="auto" w:fill="E1EFCB" w:themeFill="accent1" w:themeFillTint="33"/>
            <w:vAlign w:val="center"/>
          </w:tcPr>
          <w:p w14:paraId="4EF6F8EE"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285" w:type="dxa"/>
            <w:tcBorders>
              <w:top w:val="single" w:sz="4" w:space="0" w:color="auto"/>
              <w:left w:val="single" w:sz="4" w:space="0" w:color="auto"/>
              <w:bottom w:val="single" w:sz="4" w:space="0" w:color="auto"/>
              <w:right w:val="single" w:sz="4" w:space="0" w:color="auto"/>
            </w:tcBorders>
            <w:shd w:val="clear" w:color="auto" w:fill="E1EFCB" w:themeFill="accent1" w:themeFillTint="33"/>
            <w:vAlign w:val="center"/>
          </w:tcPr>
          <w:p w14:paraId="73B8AC08"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1</w:t>
            </w:r>
          </w:p>
        </w:tc>
        <w:tc>
          <w:tcPr>
            <w:tcW w:w="1286" w:type="dxa"/>
            <w:tcBorders>
              <w:top w:val="single" w:sz="4" w:space="0" w:color="auto"/>
              <w:left w:val="single" w:sz="4" w:space="0" w:color="auto"/>
              <w:bottom w:val="single" w:sz="4" w:space="0" w:color="auto"/>
              <w:right w:val="single" w:sz="4" w:space="0" w:color="auto"/>
            </w:tcBorders>
            <w:shd w:val="clear" w:color="auto" w:fill="E1EFCB" w:themeFill="accent1" w:themeFillTint="33"/>
            <w:vAlign w:val="center"/>
          </w:tcPr>
          <w:p w14:paraId="0EACAC7D"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4</w:t>
            </w:r>
          </w:p>
        </w:tc>
        <w:tc>
          <w:tcPr>
            <w:tcW w:w="1285" w:type="dxa"/>
            <w:tcBorders>
              <w:top w:val="single" w:sz="4" w:space="0" w:color="auto"/>
              <w:left w:val="single" w:sz="4" w:space="0" w:color="auto"/>
              <w:bottom w:val="single" w:sz="4" w:space="0" w:color="auto"/>
              <w:right w:val="single" w:sz="4" w:space="0" w:color="auto"/>
            </w:tcBorders>
            <w:shd w:val="clear" w:color="auto" w:fill="E1EFCB" w:themeFill="accent1" w:themeFillTint="33"/>
            <w:vAlign w:val="center"/>
          </w:tcPr>
          <w:p w14:paraId="1161FB60"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103" w:type="dxa"/>
            <w:tcBorders>
              <w:top w:val="single" w:sz="4" w:space="0" w:color="auto"/>
              <w:left w:val="single" w:sz="4" w:space="0" w:color="auto"/>
              <w:bottom w:val="single" w:sz="4" w:space="0" w:color="auto"/>
              <w:right w:val="single" w:sz="4" w:space="0" w:color="auto"/>
            </w:tcBorders>
            <w:shd w:val="clear" w:color="auto" w:fill="E1EFCB" w:themeFill="accent1" w:themeFillTint="33"/>
            <w:vAlign w:val="center"/>
          </w:tcPr>
          <w:p w14:paraId="76F53BAF"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3</w:t>
            </w:r>
          </w:p>
        </w:tc>
      </w:tr>
      <w:tr w:rsidR="00D155AA" w:rsidRPr="00655FC7" w14:paraId="2D5B1C96" w14:textId="77777777" w:rsidTr="00827748">
        <w:trPr>
          <w:jc w:val="center"/>
        </w:trPr>
        <w:tc>
          <w:tcPr>
            <w:tcW w:w="1542" w:type="dxa"/>
            <w:tcBorders>
              <w:top w:val="single" w:sz="4" w:space="0" w:color="auto"/>
              <w:left w:val="single" w:sz="4" w:space="0" w:color="auto"/>
              <w:bottom w:val="single" w:sz="4" w:space="0" w:color="auto"/>
              <w:right w:val="single" w:sz="4" w:space="0" w:color="auto"/>
            </w:tcBorders>
            <w:vAlign w:val="center"/>
          </w:tcPr>
          <w:p w14:paraId="3F4616B8" w14:textId="77777777" w:rsidR="00D155AA" w:rsidRPr="00655FC7" w:rsidRDefault="00D155AA" w:rsidP="00827748">
            <w:pPr>
              <w:spacing w:line="240" w:lineRule="auto"/>
              <w:ind w:firstLine="0"/>
              <w:jc w:val="center"/>
              <w:rPr>
                <w:rFonts w:cstheme="minorHAnsi"/>
                <w:b/>
                <w:bCs/>
                <w:color w:val="auto"/>
                <w:sz w:val="18"/>
                <w:szCs w:val="18"/>
                <w:lang w:eastAsia="pl-PL"/>
              </w:rPr>
            </w:pPr>
            <w:r w:rsidRPr="00655FC7">
              <w:rPr>
                <w:rFonts w:cstheme="minorHAnsi"/>
                <w:b/>
                <w:bCs/>
                <w:color w:val="auto"/>
                <w:sz w:val="18"/>
                <w:szCs w:val="18"/>
                <w:lang w:eastAsia="pl-PL"/>
              </w:rPr>
              <w:t>Chemiczne</w:t>
            </w:r>
          </w:p>
        </w:tc>
        <w:tc>
          <w:tcPr>
            <w:tcW w:w="1285" w:type="dxa"/>
            <w:tcBorders>
              <w:top w:val="single" w:sz="4" w:space="0" w:color="auto"/>
              <w:left w:val="single" w:sz="4" w:space="0" w:color="auto"/>
              <w:bottom w:val="single" w:sz="4" w:space="0" w:color="auto"/>
              <w:right w:val="single" w:sz="4" w:space="0" w:color="auto"/>
            </w:tcBorders>
            <w:vAlign w:val="center"/>
          </w:tcPr>
          <w:p w14:paraId="7EE25C11"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286" w:type="dxa"/>
            <w:tcBorders>
              <w:top w:val="single" w:sz="4" w:space="0" w:color="auto"/>
              <w:left w:val="single" w:sz="4" w:space="0" w:color="auto"/>
              <w:bottom w:val="single" w:sz="4" w:space="0" w:color="auto"/>
              <w:right w:val="single" w:sz="4" w:space="0" w:color="auto"/>
            </w:tcBorders>
            <w:vAlign w:val="center"/>
          </w:tcPr>
          <w:p w14:paraId="4CF30677"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1</w:t>
            </w:r>
          </w:p>
        </w:tc>
        <w:tc>
          <w:tcPr>
            <w:tcW w:w="1285" w:type="dxa"/>
            <w:tcBorders>
              <w:top w:val="single" w:sz="4" w:space="0" w:color="auto"/>
              <w:left w:val="single" w:sz="4" w:space="0" w:color="auto"/>
              <w:bottom w:val="single" w:sz="4" w:space="0" w:color="auto"/>
              <w:right w:val="single" w:sz="4" w:space="0" w:color="auto"/>
            </w:tcBorders>
            <w:vAlign w:val="center"/>
          </w:tcPr>
          <w:p w14:paraId="224BDAAD"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286" w:type="dxa"/>
            <w:tcBorders>
              <w:top w:val="single" w:sz="4" w:space="0" w:color="auto"/>
              <w:left w:val="single" w:sz="4" w:space="0" w:color="auto"/>
              <w:bottom w:val="single" w:sz="4" w:space="0" w:color="auto"/>
              <w:right w:val="single" w:sz="4" w:space="0" w:color="auto"/>
            </w:tcBorders>
            <w:vAlign w:val="center"/>
          </w:tcPr>
          <w:p w14:paraId="5310D159"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1</w:t>
            </w:r>
          </w:p>
        </w:tc>
        <w:tc>
          <w:tcPr>
            <w:tcW w:w="1285" w:type="dxa"/>
            <w:tcBorders>
              <w:top w:val="single" w:sz="4" w:space="0" w:color="auto"/>
              <w:left w:val="single" w:sz="4" w:space="0" w:color="auto"/>
              <w:bottom w:val="single" w:sz="4" w:space="0" w:color="auto"/>
              <w:right w:val="single" w:sz="4" w:space="0" w:color="auto"/>
            </w:tcBorders>
            <w:vAlign w:val="center"/>
          </w:tcPr>
          <w:p w14:paraId="473C2D81"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103" w:type="dxa"/>
            <w:tcBorders>
              <w:top w:val="single" w:sz="4" w:space="0" w:color="auto"/>
              <w:left w:val="single" w:sz="4" w:space="0" w:color="auto"/>
              <w:bottom w:val="single" w:sz="4" w:space="0" w:color="auto"/>
              <w:right w:val="single" w:sz="4" w:space="0" w:color="auto"/>
            </w:tcBorders>
            <w:vAlign w:val="center"/>
          </w:tcPr>
          <w:p w14:paraId="6AAA9676"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r>
      <w:tr w:rsidR="00D155AA" w:rsidRPr="00655FC7" w14:paraId="2862A501" w14:textId="77777777" w:rsidTr="00827748">
        <w:trPr>
          <w:jc w:val="center"/>
        </w:trPr>
        <w:tc>
          <w:tcPr>
            <w:tcW w:w="1542" w:type="dxa"/>
            <w:tcBorders>
              <w:top w:val="single" w:sz="4" w:space="0" w:color="auto"/>
              <w:left w:val="single" w:sz="4" w:space="0" w:color="auto"/>
              <w:bottom w:val="single" w:sz="4" w:space="0" w:color="auto"/>
              <w:right w:val="single" w:sz="4" w:space="0" w:color="auto"/>
            </w:tcBorders>
            <w:shd w:val="clear" w:color="auto" w:fill="E1EFCB" w:themeFill="accent1" w:themeFillTint="33"/>
            <w:vAlign w:val="center"/>
          </w:tcPr>
          <w:p w14:paraId="1B6479AA" w14:textId="77777777" w:rsidR="00D155AA" w:rsidRPr="00655FC7" w:rsidRDefault="00D155AA" w:rsidP="00827748">
            <w:pPr>
              <w:spacing w:line="240" w:lineRule="auto"/>
              <w:ind w:firstLine="0"/>
              <w:jc w:val="center"/>
              <w:rPr>
                <w:rFonts w:cstheme="minorHAnsi"/>
                <w:b/>
                <w:bCs/>
                <w:color w:val="auto"/>
                <w:sz w:val="18"/>
                <w:szCs w:val="18"/>
                <w:lang w:eastAsia="pl-PL"/>
              </w:rPr>
            </w:pPr>
            <w:r w:rsidRPr="00655FC7">
              <w:rPr>
                <w:rFonts w:cstheme="minorHAnsi"/>
                <w:b/>
                <w:bCs/>
                <w:color w:val="auto"/>
                <w:sz w:val="18"/>
                <w:szCs w:val="18"/>
                <w:lang w:eastAsia="pl-PL"/>
              </w:rPr>
              <w:t>Ekologiczne</w:t>
            </w:r>
          </w:p>
        </w:tc>
        <w:tc>
          <w:tcPr>
            <w:tcW w:w="1285" w:type="dxa"/>
            <w:tcBorders>
              <w:top w:val="single" w:sz="4" w:space="0" w:color="auto"/>
              <w:left w:val="single" w:sz="4" w:space="0" w:color="auto"/>
              <w:bottom w:val="single" w:sz="4" w:space="0" w:color="auto"/>
              <w:right w:val="single" w:sz="4" w:space="0" w:color="auto"/>
            </w:tcBorders>
            <w:shd w:val="clear" w:color="auto" w:fill="E1EFCB" w:themeFill="accent1" w:themeFillTint="33"/>
            <w:vAlign w:val="center"/>
          </w:tcPr>
          <w:p w14:paraId="789C3A0F"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286" w:type="dxa"/>
            <w:tcBorders>
              <w:top w:val="single" w:sz="4" w:space="0" w:color="auto"/>
              <w:left w:val="single" w:sz="4" w:space="0" w:color="auto"/>
              <w:bottom w:val="single" w:sz="4" w:space="0" w:color="auto"/>
              <w:right w:val="single" w:sz="4" w:space="0" w:color="auto"/>
            </w:tcBorders>
            <w:shd w:val="clear" w:color="auto" w:fill="E1EFCB" w:themeFill="accent1" w:themeFillTint="33"/>
            <w:vAlign w:val="center"/>
          </w:tcPr>
          <w:p w14:paraId="1C6C4058"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285" w:type="dxa"/>
            <w:tcBorders>
              <w:top w:val="single" w:sz="4" w:space="0" w:color="auto"/>
              <w:left w:val="single" w:sz="4" w:space="0" w:color="auto"/>
              <w:bottom w:val="single" w:sz="4" w:space="0" w:color="auto"/>
              <w:right w:val="single" w:sz="4" w:space="0" w:color="auto"/>
            </w:tcBorders>
            <w:shd w:val="clear" w:color="auto" w:fill="E1EFCB" w:themeFill="accent1" w:themeFillTint="33"/>
            <w:vAlign w:val="center"/>
          </w:tcPr>
          <w:p w14:paraId="7FED4336"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286" w:type="dxa"/>
            <w:tcBorders>
              <w:top w:val="single" w:sz="4" w:space="0" w:color="auto"/>
              <w:left w:val="single" w:sz="4" w:space="0" w:color="auto"/>
              <w:bottom w:val="single" w:sz="4" w:space="0" w:color="auto"/>
              <w:right w:val="single" w:sz="4" w:space="0" w:color="auto"/>
            </w:tcBorders>
            <w:shd w:val="clear" w:color="auto" w:fill="E1EFCB" w:themeFill="accent1" w:themeFillTint="33"/>
            <w:vAlign w:val="center"/>
          </w:tcPr>
          <w:p w14:paraId="4C386740"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285" w:type="dxa"/>
            <w:tcBorders>
              <w:top w:val="single" w:sz="4" w:space="0" w:color="auto"/>
              <w:left w:val="single" w:sz="4" w:space="0" w:color="auto"/>
              <w:bottom w:val="single" w:sz="4" w:space="0" w:color="auto"/>
              <w:right w:val="single" w:sz="4" w:space="0" w:color="auto"/>
            </w:tcBorders>
            <w:shd w:val="clear" w:color="auto" w:fill="E1EFCB" w:themeFill="accent1" w:themeFillTint="33"/>
            <w:vAlign w:val="center"/>
          </w:tcPr>
          <w:p w14:paraId="2ADDED2D"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103" w:type="dxa"/>
            <w:tcBorders>
              <w:top w:val="single" w:sz="4" w:space="0" w:color="auto"/>
              <w:left w:val="single" w:sz="4" w:space="0" w:color="auto"/>
              <w:bottom w:val="single" w:sz="4" w:space="0" w:color="auto"/>
              <w:right w:val="single" w:sz="4" w:space="0" w:color="auto"/>
            </w:tcBorders>
            <w:shd w:val="clear" w:color="auto" w:fill="E1EFCB" w:themeFill="accent1" w:themeFillTint="33"/>
            <w:vAlign w:val="center"/>
          </w:tcPr>
          <w:p w14:paraId="1EE0928B"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r>
      <w:tr w:rsidR="00D155AA" w:rsidRPr="00655FC7" w14:paraId="52F1DC99" w14:textId="77777777" w:rsidTr="00827748">
        <w:trPr>
          <w:jc w:val="center"/>
        </w:trPr>
        <w:tc>
          <w:tcPr>
            <w:tcW w:w="1542" w:type="dxa"/>
            <w:tcBorders>
              <w:top w:val="single" w:sz="4" w:space="0" w:color="auto"/>
              <w:left w:val="single" w:sz="4" w:space="0" w:color="auto"/>
              <w:bottom w:val="single" w:sz="4" w:space="0" w:color="auto"/>
              <w:right w:val="single" w:sz="4" w:space="0" w:color="auto"/>
            </w:tcBorders>
            <w:vAlign w:val="center"/>
          </w:tcPr>
          <w:p w14:paraId="6B60EE47" w14:textId="77777777" w:rsidR="00D155AA" w:rsidRPr="00655FC7" w:rsidRDefault="00D155AA" w:rsidP="00827748">
            <w:pPr>
              <w:spacing w:line="240" w:lineRule="auto"/>
              <w:ind w:firstLine="0"/>
              <w:jc w:val="center"/>
              <w:rPr>
                <w:rFonts w:cstheme="minorHAnsi"/>
                <w:b/>
                <w:bCs/>
                <w:color w:val="auto"/>
                <w:sz w:val="18"/>
                <w:szCs w:val="18"/>
                <w:lang w:eastAsia="pl-PL"/>
              </w:rPr>
            </w:pPr>
            <w:r w:rsidRPr="00655FC7">
              <w:rPr>
                <w:rFonts w:cstheme="minorHAnsi"/>
                <w:b/>
                <w:bCs/>
                <w:color w:val="auto"/>
                <w:sz w:val="18"/>
                <w:szCs w:val="18"/>
                <w:lang w:eastAsia="pl-PL"/>
              </w:rPr>
              <w:t>Na obszarach wodnych</w:t>
            </w:r>
          </w:p>
        </w:tc>
        <w:tc>
          <w:tcPr>
            <w:tcW w:w="1285" w:type="dxa"/>
            <w:tcBorders>
              <w:top w:val="single" w:sz="4" w:space="0" w:color="auto"/>
              <w:left w:val="single" w:sz="4" w:space="0" w:color="auto"/>
              <w:bottom w:val="single" w:sz="4" w:space="0" w:color="auto"/>
              <w:right w:val="single" w:sz="4" w:space="0" w:color="auto"/>
            </w:tcBorders>
            <w:vAlign w:val="center"/>
          </w:tcPr>
          <w:p w14:paraId="00A20E9C"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1</w:t>
            </w:r>
          </w:p>
        </w:tc>
        <w:tc>
          <w:tcPr>
            <w:tcW w:w="1286" w:type="dxa"/>
            <w:tcBorders>
              <w:top w:val="single" w:sz="4" w:space="0" w:color="auto"/>
              <w:left w:val="single" w:sz="4" w:space="0" w:color="auto"/>
              <w:bottom w:val="single" w:sz="4" w:space="0" w:color="auto"/>
              <w:right w:val="single" w:sz="4" w:space="0" w:color="auto"/>
            </w:tcBorders>
            <w:vAlign w:val="center"/>
          </w:tcPr>
          <w:p w14:paraId="6417310A"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285" w:type="dxa"/>
            <w:tcBorders>
              <w:top w:val="single" w:sz="4" w:space="0" w:color="auto"/>
              <w:left w:val="single" w:sz="4" w:space="0" w:color="auto"/>
              <w:bottom w:val="single" w:sz="4" w:space="0" w:color="auto"/>
              <w:right w:val="single" w:sz="4" w:space="0" w:color="auto"/>
            </w:tcBorders>
            <w:vAlign w:val="center"/>
          </w:tcPr>
          <w:p w14:paraId="68C13994"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286" w:type="dxa"/>
            <w:tcBorders>
              <w:top w:val="single" w:sz="4" w:space="0" w:color="auto"/>
              <w:left w:val="single" w:sz="4" w:space="0" w:color="auto"/>
              <w:bottom w:val="single" w:sz="4" w:space="0" w:color="auto"/>
              <w:right w:val="single" w:sz="4" w:space="0" w:color="auto"/>
            </w:tcBorders>
            <w:vAlign w:val="center"/>
          </w:tcPr>
          <w:p w14:paraId="57CACC1D"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285" w:type="dxa"/>
            <w:tcBorders>
              <w:top w:val="single" w:sz="4" w:space="0" w:color="auto"/>
              <w:left w:val="single" w:sz="4" w:space="0" w:color="auto"/>
              <w:bottom w:val="single" w:sz="4" w:space="0" w:color="auto"/>
              <w:right w:val="single" w:sz="4" w:space="0" w:color="auto"/>
            </w:tcBorders>
            <w:vAlign w:val="center"/>
          </w:tcPr>
          <w:p w14:paraId="1A055D36"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c>
          <w:tcPr>
            <w:tcW w:w="1103" w:type="dxa"/>
            <w:tcBorders>
              <w:top w:val="single" w:sz="4" w:space="0" w:color="auto"/>
              <w:left w:val="single" w:sz="4" w:space="0" w:color="auto"/>
              <w:bottom w:val="single" w:sz="4" w:space="0" w:color="auto"/>
              <w:right w:val="single" w:sz="4" w:space="0" w:color="auto"/>
            </w:tcBorders>
            <w:vAlign w:val="center"/>
          </w:tcPr>
          <w:p w14:paraId="5AD5B0F0" w14:textId="77777777" w:rsidR="00D155AA" w:rsidRPr="00655FC7" w:rsidRDefault="00D155AA" w:rsidP="00827748">
            <w:pPr>
              <w:spacing w:line="240" w:lineRule="auto"/>
              <w:ind w:firstLine="0"/>
              <w:jc w:val="center"/>
              <w:rPr>
                <w:rFonts w:cstheme="minorHAnsi"/>
                <w:color w:val="auto"/>
                <w:sz w:val="18"/>
                <w:szCs w:val="18"/>
                <w:lang w:eastAsia="pl-PL"/>
              </w:rPr>
            </w:pPr>
            <w:r w:rsidRPr="00655FC7">
              <w:rPr>
                <w:rFonts w:cstheme="minorHAnsi"/>
                <w:color w:val="auto"/>
                <w:sz w:val="18"/>
                <w:szCs w:val="18"/>
                <w:lang w:eastAsia="pl-PL"/>
              </w:rPr>
              <w:t>0</w:t>
            </w:r>
          </w:p>
        </w:tc>
      </w:tr>
    </w:tbl>
    <w:p w14:paraId="23A8CBA0" w14:textId="77777777" w:rsidR="00D155AA" w:rsidRPr="00655FC7" w:rsidRDefault="00D155AA" w:rsidP="00D155AA">
      <w:pPr>
        <w:jc w:val="center"/>
        <w:rPr>
          <w:rFonts w:cstheme="minorHAnsi"/>
          <w:color w:val="auto"/>
          <w:sz w:val="20"/>
          <w:szCs w:val="20"/>
          <w:lang w:eastAsia="pl-PL"/>
        </w:rPr>
      </w:pPr>
      <w:r w:rsidRPr="00655FC7">
        <w:rPr>
          <w:rFonts w:cstheme="minorHAnsi"/>
          <w:color w:val="auto"/>
          <w:sz w:val="20"/>
          <w:szCs w:val="20"/>
          <w:lang w:eastAsia="pl-PL"/>
        </w:rPr>
        <w:t>Źródło: Komenda Powiatowa Państwowej Straży Pożarnej w Biłgoraju</w:t>
      </w:r>
    </w:p>
    <w:p w14:paraId="1D987E23" w14:textId="77777777" w:rsidR="00D155AA" w:rsidRPr="00655FC7" w:rsidRDefault="00D155AA" w:rsidP="00D155AA">
      <w:pPr>
        <w:rPr>
          <w:rFonts w:cstheme="minorHAnsi"/>
          <w:color w:val="auto"/>
          <w:lang w:eastAsia="pl-PL"/>
        </w:rPr>
      </w:pPr>
    </w:p>
    <w:p w14:paraId="7E2BC35A" w14:textId="77777777" w:rsidR="00D155AA" w:rsidRPr="00655FC7" w:rsidRDefault="00D155AA" w:rsidP="00D155AA">
      <w:pPr>
        <w:rPr>
          <w:rFonts w:cstheme="minorHAnsi"/>
          <w:color w:val="auto"/>
          <w:lang w:eastAsia="pl-PL"/>
        </w:rPr>
      </w:pPr>
      <w:r w:rsidRPr="00655FC7">
        <w:rPr>
          <w:rFonts w:cstheme="minorHAnsi"/>
          <w:color w:val="auto"/>
          <w:lang w:eastAsia="pl-PL"/>
        </w:rPr>
        <w:lastRenderedPageBreak/>
        <w:t>Miasto nie posiada wytycznych w razie wystąpienia ekstremalnych zjawisk i postępowania w razie nastania klęsk żywiołowych. Na terenie miasta nie istnieje także system monitoringu i ostrzegania o zagrożeniach.</w:t>
      </w:r>
    </w:p>
    <w:p w14:paraId="6FF24E33" w14:textId="77777777" w:rsidR="00D155AA" w:rsidRPr="00655FC7" w:rsidRDefault="00D155AA" w:rsidP="00D155AA">
      <w:pPr>
        <w:rPr>
          <w:rFonts w:cstheme="minorHAnsi"/>
          <w:lang w:eastAsia="pl-PL"/>
        </w:rPr>
      </w:pPr>
    </w:p>
    <w:p w14:paraId="3DAEFA21" w14:textId="77777777" w:rsidR="00D155AA" w:rsidRPr="00655FC7" w:rsidRDefault="00D155AA" w:rsidP="00B62479">
      <w:pPr>
        <w:pStyle w:val="Nagwek2"/>
        <w:rPr>
          <w:lang w:eastAsia="pl-PL"/>
        </w:rPr>
      </w:pPr>
      <w:bookmarkStart w:id="104" w:name="_Toc177732045"/>
      <w:r w:rsidRPr="00655FC7">
        <w:rPr>
          <w:lang w:eastAsia="pl-PL"/>
        </w:rPr>
        <w:t>Infrastruktura techniczna, energetyka i usługi komunalne</w:t>
      </w:r>
      <w:bookmarkEnd w:id="104"/>
    </w:p>
    <w:p w14:paraId="7CBEAAB6" w14:textId="77777777" w:rsidR="00D155AA" w:rsidRPr="00655FC7" w:rsidRDefault="00D155AA" w:rsidP="00D155AA">
      <w:pPr>
        <w:pStyle w:val="Nagwek3"/>
      </w:pPr>
      <w:bookmarkStart w:id="105" w:name="_Toc45877454"/>
      <w:bookmarkStart w:id="106" w:name="_Toc177732046"/>
      <w:r w:rsidRPr="00655FC7">
        <w:t>Sieć wodociągowa</w:t>
      </w:r>
      <w:bookmarkEnd w:id="105"/>
      <w:bookmarkEnd w:id="106"/>
    </w:p>
    <w:p w14:paraId="39A80972" w14:textId="0DA76DA6" w:rsidR="00133DFE" w:rsidRDefault="00D155AA" w:rsidP="00D155AA">
      <w:pPr>
        <w:rPr>
          <w:rFonts w:eastAsia="Calibri" w:cstheme="minorHAnsi"/>
          <w:color w:val="auto"/>
        </w:rPr>
      </w:pPr>
      <w:r w:rsidRPr="00655FC7">
        <w:rPr>
          <w:rFonts w:eastAsia="Calibri" w:cstheme="minorHAnsi"/>
          <w:color w:val="auto"/>
        </w:rPr>
        <w:t>Miasto Tarnogród eksploatuje wodociągową sieć o długości 27,1 km. Odsetek mieszkańców korzystających z sieci wodociągowej w 2022 r. wynosił 99,4% ogółu ludności. Woda zużyta w przeliczeniu na 1 mieszkańca wynosiła 40,7 m</w:t>
      </w:r>
      <w:r w:rsidRPr="00655FC7">
        <w:rPr>
          <w:rFonts w:eastAsia="Calibri" w:cstheme="minorHAnsi"/>
          <w:color w:val="auto"/>
          <w:vertAlign w:val="superscript"/>
        </w:rPr>
        <w:t>3</w:t>
      </w:r>
      <w:r w:rsidRPr="00655FC7">
        <w:rPr>
          <w:rFonts w:eastAsia="Calibri" w:cstheme="minorHAnsi"/>
          <w:color w:val="auto"/>
        </w:rPr>
        <w:t>. W tabeli poniżej przedstawiono charakterystykę sieci wodociągowej na terenie Miasta Tarnogród.</w:t>
      </w:r>
    </w:p>
    <w:p w14:paraId="3D8CD9B7" w14:textId="77777777" w:rsidR="00916D51" w:rsidRPr="00655FC7" w:rsidRDefault="00916D51" w:rsidP="00D155AA">
      <w:pPr>
        <w:rPr>
          <w:rFonts w:eastAsia="Calibri" w:cstheme="minorHAnsi"/>
          <w:color w:val="auto"/>
        </w:rPr>
      </w:pPr>
    </w:p>
    <w:p w14:paraId="6E3B935B" w14:textId="63BB4E07" w:rsidR="00D155AA" w:rsidRPr="00655FC7" w:rsidRDefault="00D155AA" w:rsidP="00D155AA">
      <w:pPr>
        <w:pStyle w:val="Styltabela"/>
        <w:rPr>
          <w:rFonts w:eastAsiaTheme="minorEastAsia"/>
        </w:rPr>
      </w:pPr>
      <w:bookmarkStart w:id="107" w:name="_Toc45877525"/>
      <w:bookmarkStart w:id="108" w:name="_Toc120700030"/>
      <w:bookmarkStart w:id="109" w:name="_Toc178846314"/>
      <w:r w:rsidRPr="00655FC7">
        <w:rPr>
          <w:rFonts w:eastAsiaTheme="minorEastAsia"/>
        </w:rPr>
        <w:t xml:space="preserve">Tabela </w:t>
      </w:r>
      <w:r w:rsidR="00E833A9">
        <w:rPr>
          <w:rFonts w:eastAsiaTheme="minorEastAsia"/>
        </w:rPr>
        <w:fldChar w:fldCharType="begin"/>
      </w:r>
      <w:r w:rsidR="00E833A9">
        <w:rPr>
          <w:rFonts w:eastAsiaTheme="minorEastAsia"/>
        </w:rPr>
        <w:instrText xml:space="preserve"> SEQ Tabela \* ARABIC </w:instrText>
      </w:r>
      <w:r w:rsidR="00E833A9">
        <w:rPr>
          <w:rFonts w:eastAsiaTheme="minorEastAsia"/>
        </w:rPr>
        <w:fldChar w:fldCharType="separate"/>
      </w:r>
      <w:r w:rsidR="00A654D8">
        <w:rPr>
          <w:rFonts w:eastAsiaTheme="minorEastAsia"/>
          <w:noProof/>
        </w:rPr>
        <w:t>8</w:t>
      </w:r>
      <w:r w:rsidR="00E833A9">
        <w:rPr>
          <w:rFonts w:eastAsiaTheme="minorEastAsia"/>
        </w:rPr>
        <w:fldChar w:fldCharType="end"/>
      </w:r>
      <w:r w:rsidRPr="00655FC7">
        <w:rPr>
          <w:rFonts w:eastAsiaTheme="minorEastAsia"/>
        </w:rPr>
        <w:t xml:space="preserve">.Charakterystyka sieci wodociągowej </w:t>
      </w:r>
      <w:bookmarkEnd w:id="107"/>
      <w:r w:rsidRPr="00655FC7">
        <w:rPr>
          <w:rFonts w:eastAsiaTheme="minorEastAsia"/>
        </w:rPr>
        <w:t>(stan na 31.12.2022 r</w:t>
      </w:r>
      <w:bookmarkEnd w:id="108"/>
      <w:r w:rsidRPr="00655FC7">
        <w:rPr>
          <w:rFonts w:eastAsiaTheme="minorEastAsia"/>
        </w:rPr>
        <w:t>.)</w:t>
      </w:r>
      <w:bookmarkEnd w:id="109"/>
    </w:p>
    <w:tbl>
      <w:tblPr>
        <w:tblStyle w:val="Tabela-MPAaga312"/>
        <w:tblW w:w="9072" w:type="dxa"/>
        <w:jc w:val="center"/>
        <w:tblLook w:val="04A0" w:firstRow="1" w:lastRow="0" w:firstColumn="1" w:lastColumn="0" w:noHBand="0" w:noVBand="1"/>
      </w:tblPr>
      <w:tblGrid>
        <w:gridCol w:w="456"/>
        <w:gridCol w:w="6318"/>
        <w:gridCol w:w="1027"/>
        <w:gridCol w:w="1271"/>
      </w:tblGrid>
      <w:tr w:rsidR="00D155AA" w:rsidRPr="00655FC7" w14:paraId="1533351F" w14:textId="77777777" w:rsidTr="00827748">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A6D165" w:themeFill="accent1" w:themeFillTint="99"/>
            <w:vAlign w:val="center"/>
          </w:tcPr>
          <w:p w14:paraId="7E90FC2C" w14:textId="77777777" w:rsidR="00D155AA" w:rsidRPr="00655FC7" w:rsidRDefault="00D155AA" w:rsidP="00827748">
            <w:pPr>
              <w:ind w:firstLine="0"/>
              <w:rPr>
                <w:rFonts w:asciiTheme="minorHAnsi" w:eastAsia="Calibri" w:hAnsiTheme="minorHAnsi" w:cstheme="minorHAnsi"/>
                <w:bCs w:val="0"/>
                <w:color w:val="auto"/>
                <w:sz w:val="18"/>
                <w:szCs w:val="18"/>
              </w:rPr>
            </w:pPr>
            <w:r w:rsidRPr="00655FC7">
              <w:rPr>
                <w:rFonts w:asciiTheme="minorHAnsi" w:eastAsia="Calibri" w:hAnsiTheme="minorHAnsi" w:cstheme="minorHAnsi"/>
                <w:bCs w:val="0"/>
                <w:color w:val="auto"/>
                <w:sz w:val="18"/>
                <w:szCs w:val="18"/>
              </w:rPr>
              <w:t>Lp.</w:t>
            </w:r>
          </w:p>
        </w:tc>
        <w:tc>
          <w:tcPr>
            <w:tcW w:w="6318" w:type="dxa"/>
            <w:shd w:val="clear" w:color="auto" w:fill="A6D165" w:themeFill="accent1" w:themeFillTint="99"/>
            <w:vAlign w:val="center"/>
          </w:tcPr>
          <w:p w14:paraId="1B271667"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Cs w:val="0"/>
                <w:color w:val="auto"/>
                <w:sz w:val="18"/>
                <w:szCs w:val="18"/>
              </w:rPr>
            </w:pPr>
            <w:r w:rsidRPr="00655FC7">
              <w:rPr>
                <w:rFonts w:asciiTheme="minorHAnsi" w:eastAsia="Calibri" w:hAnsiTheme="minorHAnsi" w:cstheme="minorHAnsi"/>
                <w:bCs w:val="0"/>
                <w:color w:val="auto"/>
                <w:sz w:val="18"/>
                <w:szCs w:val="18"/>
              </w:rPr>
              <w:t>Wskaźnik</w:t>
            </w:r>
          </w:p>
        </w:tc>
        <w:tc>
          <w:tcPr>
            <w:tcW w:w="1027" w:type="dxa"/>
            <w:shd w:val="clear" w:color="auto" w:fill="A6D165" w:themeFill="accent1" w:themeFillTint="99"/>
            <w:vAlign w:val="center"/>
          </w:tcPr>
          <w:p w14:paraId="45932EFB"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Cs w:val="0"/>
                <w:color w:val="auto"/>
                <w:sz w:val="18"/>
                <w:szCs w:val="18"/>
              </w:rPr>
            </w:pPr>
            <w:r w:rsidRPr="00655FC7">
              <w:rPr>
                <w:rFonts w:asciiTheme="minorHAnsi" w:eastAsia="Calibri" w:hAnsiTheme="minorHAnsi" w:cstheme="minorHAnsi"/>
                <w:bCs w:val="0"/>
                <w:color w:val="auto"/>
                <w:sz w:val="18"/>
                <w:szCs w:val="18"/>
              </w:rPr>
              <w:t>Jednostka</w:t>
            </w:r>
          </w:p>
        </w:tc>
        <w:tc>
          <w:tcPr>
            <w:tcW w:w="1271" w:type="dxa"/>
            <w:shd w:val="clear" w:color="auto" w:fill="A6D165" w:themeFill="accent1" w:themeFillTint="99"/>
            <w:vAlign w:val="center"/>
          </w:tcPr>
          <w:p w14:paraId="3A7E2A8D"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Cs w:val="0"/>
                <w:color w:val="auto"/>
                <w:sz w:val="18"/>
                <w:szCs w:val="18"/>
              </w:rPr>
            </w:pPr>
            <w:r w:rsidRPr="00655FC7">
              <w:rPr>
                <w:rFonts w:asciiTheme="minorHAnsi" w:eastAsia="Calibri" w:hAnsiTheme="minorHAnsi" w:cstheme="minorHAnsi"/>
                <w:bCs w:val="0"/>
                <w:color w:val="auto"/>
                <w:sz w:val="18"/>
                <w:szCs w:val="18"/>
              </w:rPr>
              <w:t>Wartość</w:t>
            </w:r>
          </w:p>
        </w:tc>
      </w:tr>
      <w:tr w:rsidR="00D155AA" w:rsidRPr="00655FC7" w14:paraId="352B88CF" w14:textId="77777777" w:rsidTr="00133DFE">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center"/>
          </w:tcPr>
          <w:p w14:paraId="6889AE31" w14:textId="77777777" w:rsidR="00D155AA" w:rsidRPr="00655FC7" w:rsidRDefault="00D155AA" w:rsidP="00827748">
            <w:pPr>
              <w:ind w:firstLine="0"/>
              <w:jc w:val="center"/>
              <w:rPr>
                <w:rFonts w:asciiTheme="minorHAnsi" w:eastAsia="Calibri" w:hAnsiTheme="minorHAnsi" w:cstheme="minorHAnsi"/>
                <w:b w:val="0"/>
                <w:color w:val="auto"/>
                <w:sz w:val="18"/>
                <w:szCs w:val="18"/>
              </w:rPr>
            </w:pPr>
            <w:r w:rsidRPr="00655FC7">
              <w:rPr>
                <w:rFonts w:asciiTheme="minorHAnsi" w:eastAsia="Calibri" w:hAnsiTheme="minorHAnsi" w:cstheme="minorHAnsi"/>
                <w:b w:val="0"/>
                <w:color w:val="auto"/>
                <w:sz w:val="18"/>
                <w:szCs w:val="18"/>
              </w:rPr>
              <w:t>1.</w:t>
            </w:r>
          </w:p>
        </w:tc>
        <w:tc>
          <w:tcPr>
            <w:tcW w:w="6318" w:type="dxa"/>
            <w:shd w:val="clear" w:color="auto" w:fill="FFFFFF" w:themeFill="background1"/>
            <w:vAlign w:val="center"/>
          </w:tcPr>
          <w:p w14:paraId="04EC7608"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Korzystający z instalacji w % ogółu ludności</w:t>
            </w:r>
          </w:p>
        </w:tc>
        <w:tc>
          <w:tcPr>
            <w:tcW w:w="1027" w:type="dxa"/>
            <w:shd w:val="clear" w:color="auto" w:fill="FFFFFF" w:themeFill="background1"/>
            <w:vAlign w:val="center"/>
          </w:tcPr>
          <w:p w14:paraId="7E78B76A"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w:t>
            </w:r>
          </w:p>
        </w:tc>
        <w:tc>
          <w:tcPr>
            <w:tcW w:w="1271" w:type="dxa"/>
            <w:shd w:val="clear" w:color="auto" w:fill="FFFFFF" w:themeFill="background1"/>
            <w:vAlign w:val="center"/>
          </w:tcPr>
          <w:p w14:paraId="78216BA5"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 w:val="18"/>
                <w:szCs w:val="18"/>
              </w:rPr>
            </w:pPr>
            <w:r w:rsidRPr="00655FC7">
              <w:rPr>
                <w:sz w:val="18"/>
                <w:szCs w:val="18"/>
              </w:rPr>
              <w:t>99,4</w:t>
            </w:r>
          </w:p>
        </w:tc>
      </w:tr>
      <w:tr w:rsidR="00D155AA" w:rsidRPr="00655FC7" w14:paraId="76E1C605" w14:textId="77777777" w:rsidTr="00133DFE">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center"/>
          </w:tcPr>
          <w:p w14:paraId="622C4E61" w14:textId="77777777" w:rsidR="00D155AA" w:rsidRPr="00655FC7" w:rsidRDefault="00D155AA" w:rsidP="00827748">
            <w:pPr>
              <w:ind w:firstLine="0"/>
              <w:jc w:val="center"/>
              <w:rPr>
                <w:rFonts w:asciiTheme="minorHAnsi" w:eastAsia="Calibri" w:hAnsiTheme="minorHAnsi" w:cstheme="minorHAnsi"/>
                <w:b w:val="0"/>
                <w:color w:val="auto"/>
                <w:sz w:val="18"/>
                <w:szCs w:val="18"/>
              </w:rPr>
            </w:pPr>
            <w:r w:rsidRPr="00655FC7">
              <w:rPr>
                <w:rFonts w:asciiTheme="minorHAnsi" w:eastAsia="Calibri" w:hAnsiTheme="minorHAnsi" w:cstheme="minorHAnsi"/>
                <w:b w:val="0"/>
                <w:color w:val="auto"/>
                <w:sz w:val="18"/>
                <w:szCs w:val="18"/>
              </w:rPr>
              <w:t>2.</w:t>
            </w:r>
          </w:p>
        </w:tc>
        <w:tc>
          <w:tcPr>
            <w:tcW w:w="6318" w:type="dxa"/>
            <w:shd w:val="clear" w:color="auto" w:fill="FFFFFF" w:themeFill="background1"/>
            <w:vAlign w:val="center"/>
          </w:tcPr>
          <w:p w14:paraId="58C7CFA1"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Woda dostarczona gospodarstwom domowym</w:t>
            </w:r>
          </w:p>
        </w:tc>
        <w:tc>
          <w:tcPr>
            <w:tcW w:w="1027" w:type="dxa"/>
            <w:shd w:val="clear" w:color="auto" w:fill="FFFFFF" w:themeFill="background1"/>
            <w:vAlign w:val="center"/>
          </w:tcPr>
          <w:p w14:paraId="04753F04"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rFonts w:cstheme="minorHAnsi"/>
                <w:color w:val="auto"/>
                <w:sz w:val="18"/>
                <w:szCs w:val="18"/>
              </w:rPr>
              <w:t>dam</w:t>
            </w:r>
            <w:r w:rsidRPr="00655FC7">
              <w:rPr>
                <w:rFonts w:cstheme="minorHAnsi"/>
                <w:color w:val="auto"/>
                <w:sz w:val="18"/>
                <w:szCs w:val="18"/>
                <w:vertAlign w:val="superscript"/>
              </w:rPr>
              <w:t>3</w:t>
            </w:r>
          </w:p>
        </w:tc>
        <w:tc>
          <w:tcPr>
            <w:tcW w:w="1271" w:type="dxa"/>
            <w:shd w:val="clear" w:color="auto" w:fill="FFFFFF" w:themeFill="background1"/>
            <w:vAlign w:val="center"/>
          </w:tcPr>
          <w:p w14:paraId="20FF22AB"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sz w:val="18"/>
                <w:szCs w:val="18"/>
              </w:rPr>
              <w:t>129</w:t>
            </w:r>
          </w:p>
        </w:tc>
      </w:tr>
      <w:tr w:rsidR="00D155AA" w:rsidRPr="00655FC7" w14:paraId="30FD3B3A" w14:textId="77777777" w:rsidTr="00133DFE">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center"/>
          </w:tcPr>
          <w:p w14:paraId="4E76AE18" w14:textId="77777777" w:rsidR="00D155AA" w:rsidRPr="00655FC7" w:rsidRDefault="00D155AA" w:rsidP="00827748">
            <w:pPr>
              <w:ind w:firstLine="0"/>
              <w:jc w:val="center"/>
              <w:rPr>
                <w:rFonts w:asciiTheme="minorHAnsi" w:eastAsia="Calibri" w:hAnsiTheme="minorHAnsi" w:cstheme="minorHAnsi"/>
                <w:b w:val="0"/>
                <w:color w:val="auto"/>
                <w:sz w:val="18"/>
                <w:szCs w:val="18"/>
              </w:rPr>
            </w:pPr>
            <w:r w:rsidRPr="00655FC7">
              <w:rPr>
                <w:rFonts w:asciiTheme="minorHAnsi" w:eastAsia="Calibri" w:hAnsiTheme="minorHAnsi" w:cstheme="minorHAnsi"/>
                <w:b w:val="0"/>
                <w:color w:val="auto"/>
                <w:sz w:val="18"/>
                <w:szCs w:val="18"/>
              </w:rPr>
              <w:t>3.</w:t>
            </w:r>
          </w:p>
        </w:tc>
        <w:tc>
          <w:tcPr>
            <w:tcW w:w="6318" w:type="dxa"/>
            <w:shd w:val="clear" w:color="auto" w:fill="FFFFFF" w:themeFill="background1"/>
            <w:vAlign w:val="center"/>
          </w:tcPr>
          <w:p w14:paraId="3A01A75C"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Długość eksploatowanej sieci wodociągowej</w:t>
            </w:r>
          </w:p>
        </w:tc>
        <w:tc>
          <w:tcPr>
            <w:tcW w:w="1027" w:type="dxa"/>
            <w:shd w:val="clear" w:color="auto" w:fill="FFFFFF" w:themeFill="background1"/>
            <w:vAlign w:val="center"/>
          </w:tcPr>
          <w:p w14:paraId="6C7E49B0"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km</w:t>
            </w:r>
          </w:p>
        </w:tc>
        <w:tc>
          <w:tcPr>
            <w:tcW w:w="1271" w:type="dxa"/>
            <w:shd w:val="clear" w:color="auto" w:fill="FFFFFF" w:themeFill="background1"/>
            <w:vAlign w:val="center"/>
          </w:tcPr>
          <w:p w14:paraId="43DDD9E7"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sz w:val="18"/>
                <w:szCs w:val="18"/>
              </w:rPr>
              <w:t>27,1</w:t>
            </w:r>
          </w:p>
        </w:tc>
      </w:tr>
      <w:tr w:rsidR="00D155AA" w:rsidRPr="00655FC7" w14:paraId="6AE3BE63" w14:textId="77777777" w:rsidTr="00133DFE">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center"/>
          </w:tcPr>
          <w:p w14:paraId="7DD5DE68" w14:textId="77777777" w:rsidR="00D155AA" w:rsidRPr="00655FC7" w:rsidRDefault="00D155AA" w:rsidP="00827748">
            <w:pPr>
              <w:ind w:firstLine="0"/>
              <w:jc w:val="center"/>
              <w:rPr>
                <w:rFonts w:asciiTheme="minorHAnsi" w:eastAsia="Calibri" w:hAnsiTheme="minorHAnsi" w:cstheme="minorHAnsi"/>
                <w:b w:val="0"/>
                <w:color w:val="auto"/>
                <w:sz w:val="18"/>
                <w:szCs w:val="18"/>
              </w:rPr>
            </w:pPr>
            <w:r w:rsidRPr="00655FC7">
              <w:rPr>
                <w:rFonts w:asciiTheme="minorHAnsi" w:eastAsia="Calibri" w:hAnsiTheme="minorHAnsi" w:cstheme="minorHAnsi"/>
                <w:b w:val="0"/>
                <w:color w:val="auto"/>
                <w:sz w:val="18"/>
                <w:szCs w:val="18"/>
              </w:rPr>
              <w:t>4.</w:t>
            </w:r>
          </w:p>
        </w:tc>
        <w:tc>
          <w:tcPr>
            <w:tcW w:w="6318" w:type="dxa"/>
            <w:shd w:val="clear" w:color="auto" w:fill="FFFFFF" w:themeFill="background1"/>
            <w:vAlign w:val="center"/>
          </w:tcPr>
          <w:p w14:paraId="10C240C8"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Ludność korzystająca z sieci wodociągowej</w:t>
            </w:r>
          </w:p>
        </w:tc>
        <w:tc>
          <w:tcPr>
            <w:tcW w:w="1027" w:type="dxa"/>
            <w:shd w:val="clear" w:color="auto" w:fill="FFFFFF" w:themeFill="background1"/>
            <w:vAlign w:val="center"/>
          </w:tcPr>
          <w:p w14:paraId="073BFC05"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osoba</w:t>
            </w:r>
          </w:p>
        </w:tc>
        <w:tc>
          <w:tcPr>
            <w:tcW w:w="1271" w:type="dxa"/>
            <w:shd w:val="clear" w:color="auto" w:fill="FFFFFF" w:themeFill="background1"/>
            <w:vAlign w:val="center"/>
          </w:tcPr>
          <w:p w14:paraId="23400A9C"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sz w:val="18"/>
                <w:szCs w:val="18"/>
              </w:rPr>
              <w:t>3 143</w:t>
            </w:r>
          </w:p>
        </w:tc>
      </w:tr>
      <w:tr w:rsidR="00D155AA" w:rsidRPr="00655FC7" w14:paraId="1BB43DE5" w14:textId="77777777" w:rsidTr="00133DFE">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center"/>
          </w:tcPr>
          <w:p w14:paraId="3E0BD340" w14:textId="77777777" w:rsidR="00D155AA" w:rsidRPr="00655FC7" w:rsidRDefault="00D155AA" w:rsidP="00827748">
            <w:pPr>
              <w:ind w:firstLine="0"/>
              <w:jc w:val="center"/>
              <w:rPr>
                <w:rFonts w:asciiTheme="minorHAnsi" w:eastAsia="Calibri" w:hAnsiTheme="minorHAnsi" w:cstheme="minorHAnsi"/>
                <w:b w:val="0"/>
                <w:color w:val="auto"/>
                <w:sz w:val="18"/>
                <w:szCs w:val="18"/>
              </w:rPr>
            </w:pPr>
            <w:r w:rsidRPr="00655FC7">
              <w:rPr>
                <w:rFonts w:asciiTheme="minorHAnsi" w:eastAsia="Calibri" w:hAnsiTheme="minorHAnsi" w:cstheme="minorHAnsi"/>
                <w:b w:val="0"/>
                <w:color w:val="auto"/>
                <w:sz w:val="18"/>
                <w:szCs w:val="18"/>
              </w:rPr>
              <w:t>5.</w:t>
            </w:r>
          </w:p>
        </w:tc>
        <w:tc>
          <w:tcPr>
            <w:tcW w:w="6318" w:type="dxa"/>
            <w:shd w:val="clear" w:color="auto" w:fill="FFFFFF" w:themeFill="background1"/>
            <w:vAlign w:val="center"/>
          </w:tcPr>
          <w:p w14:paraId="66B41EAE"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 xml:space="preserve">Zużycie wody na 1 mieszkańca </w:t>
            </w:r>
          </w:p>
        </w:tc>
        <w:tc>
          <w:tcPr>
            <w:tcW w:w="1027" w:type="dxa"/>
            <w:shd w:val="clear" w:color="auto" w:fill="FFFFFF" w:themeFill="background1"/>
            <w:vAlign w:val="center"/>
          </w:tcPr>
          <w:p w14:paraId="2709F0A6"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m</w:t>
            </w:r>
            <w:r w:rsidRPr="00655FC7">
              <w:rPr>
                <w:rFonts w:eastAsia="Calibri" w:cstheme="minorHAnsi"/>
                <w:color w:val="auto"/>
                <w:sz w:val="18"/>
                <w:szCs w:val="18"/>
                <w:vertAlign w:val="superscript"/>
              </w:rPr>
              <w:t>3</w:t>
            </w:r>
          </w:p>
        </w:tc>
        <w:tc>
          <w:tcPr>
            <w:tcW w:w="1271" w:type="dxa"/>
            <w:shd w:val="clear" w:color="auto" w:fill="FFFFFF" w:themeFill="background1"/>
            <w:vAlign w:val="center"/>
          </w:tcPr>
          <w:p w14:paraId="4361D850"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sz w:val="18"/>
                <w:szCs w:val="18"/>
              </w:rPr>
              <w:t>40,7</w:t>
            </w:r>
          </w:p>
        </w:tc>
      </w:tr>
    </w:tbl>
    <w:p w14:paraId="6CB742F2" w14:textId="77777777" w:rsidR="00D155AA" w:rsidRPr="00655FC7" w:rsidRDefault="00D155AA" w:rsidP="00D155AA">
      <w:pPr>
        <w:pStyle w:val="Cytat"/>
      </w:pPr>
      <w:r w:rsidRPr="00655FC7">
        <w:t>źródło: GUS</w:t>
      </w:r>
    </w:p>
    <w:p w14:paraId="4D902610" w14:textId="77777777" w:rsidR="00D155AA" w:rsidRPr="00655FC7" w:rsidRDefault="00D155AA" w:rsidP="00D155AA">
      <w:pPr>
        <w:rPr>
          <w:rFonts w:cstheme="minorHAnsi"/>
          <w:color w:val="auto"/>
          <w:lang w:eastAsia="pl-PL"/>
        </w:rPr>
      </w:pPr>
    </w:p>
    <w:p w14:paraId="2E11203C" w14:textId="77777777" w:rsidR="00D155AA" w:rsidRPr="00655FC7" w:rsidRDefault="00D155AA" w:rsidP="00D155AA">
      <w:pPr>
        <w:rPr>
          <w:rFonts w:cstheme="minorHAnsi"/>
          <w:color w:val="auto"/>
          <w:lang w:eastAsia="pl-PL"/>
        </w:rPr>
      </w:pPr>
      <w:r w:rsidRPr="00655FC7">
        <w:rPr>
          <w:rFonts w:cstheme="minorHAnsi"/>
          <w:color w:val="auto"/>
          <w:lang w:eastAsia="pl-PL"/>
        </w:rPr>
        <w:t>Analizując ilość wody z wodociągów w przeliczeniu na 1 korzystającego i 1 mieszkańca w latach 2013-2022 można zauważyć iż w ostatnich trzech latach zużycie wzrosło dla obu tych wskaźników (rysunek poniżej). W 2022 roku średnie zużycie wody w Mieście Tarnogród w przeliczeniu na 1 korzystającego i 1 mieszkańca było wyższe, niż analogiczna średnia dla Polski.</w:t>
      </w:r>
    </w:p>
    <w:p w14:paraId="620E7144" w14:textId="77777777" w:rsidR="00D155AA" w:rsidRPr="00655FC7" w:rsidRDefault="00D155AA" w:rsidP="00D155AA">
      <w:pPr>
        <w:rPr>
          <w:rFonts w:cstheme="minorHAnsi"/>
          <w:color w:val="auto"/>
          <w:lang w:eastAsia="pl-PL"/>
        </w:rPr>
      </w:pPr>
    </w:p>
    <w:p w14:paraId="5F1C24E1" w14:textId="77777777" w:rsidR="00D155AA" w:rsidRPr="00655FC7" w:rsidRDefault="00D155AA" w:rsidP="00D155AA">
      <w:pPr>
        <w:ind w:firstLine="0"/>
        <w:rPr>
          <w:rFonts w:cstheme="minorHAnsi"/>
          <w:color w:val="auto"/>
          <w:lang w:eastAsia="pl-PL"/>
        </w:rPr>
      </w:pPr>
      <w:r w:rsidRPr="00655FC7">
        <w:rPr>
          <w:noProof/>
        </w:rPr>
        <w:drawing>
          <wp:inline distT="0" distB="0" distL="0" distR="0" wp14:anchorId="38F8AD9E" wp14:editId="37295EE4">
            <wp:extent cx="5759450" cy="2456180"/>
            <wp:effectExtent l="0" t="0" r="12700" b="1270"/>
            <wp:docPr id="911268949" name="Wykres 1">
              <a:extLst xmlns:a="http://schemas.openxmlformats.org/drawingml/2006/main">
                <a:ext uri="{FF2B5EF4-FFF2-40B4-BE49-F238E27FC236}">
                  <a16:creationId xmlns:a16="http://schemas.microsoft.com/office/drawing/2014/main" id="{7FA61987-CC05-9AC2-11E5-8316CF9AF0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5BFAA26" w14:textId="2CD1CD3D" w:rsidR="00D155AA" w:rsidRPr="00655FC7" w:rsidRDefault="00D155AA" w:rsidP="00D155AA">
      <w:pPr>
        <w:pStyle w:val="Stylrysunek"/>
      </w:pPr>
      <w:bookmarkStart w:id="110" w:name="_Toc178846360"/>
      <w:r w:rsidRPr="00655FC7">
        <w:t xml:space="preserve">Rysunek </w:t>
      </w:r>
      <w:r w:rsidR="00EA4C85">
        <w:fldChar w:fldCharType="begin"/>
      </w:r>
      <w:r w:rsidR="00EA4C85">
        <w:instrText xml:space="preserve"> SEQ Rysunek \* ARABIC </w:instrText>
      </w:r>
      <w:r w:rsidR="00EA4C85">
        <w:fldChar w:fldCharType="separate"/>
      </w:r>
      <w:r w:rsidR="00A654D8">
        <w:rPr>
          <w:noProof/>
        </w:rPr>
        <w:t>18</w:t>
      </w:r>
      <w:r w:rsidR="00EA4C85">
        <w:rPr>
          <w:noProof/>
        </w:rPr>
        <w:fldChar w:fldCharType="end"/>
      </w:r>
      <w:r w:rsidRPr="00655FC7">
        <w:t>. Woda z wodociągów na 1 korzystającego i na 1 mieszkańca w latach 2013-2022.</w:t>
      </w:r>
      <w:bookmarkEnd w:id="110"/>
    </w:p>
    <w:p w14:paraId="34EF488D" w14:textId="77777777" w:rsidR="00D155AA" w:rsidRPr="00655FC7" w:rsidRDefault="00D155AA" w:rsidP="00D155AA">
      <w:pPr>
        <w:pStyle w:val="Cytat"/>
      </w:pPr>
      <w:r w:rsidRPr="00655FC7">
        <w:t>źródło: GUS BDL, opracowanie własne</w:t>
      </w:r>
    </w:p>
    <w:p w14:paraId="5ABF0D68" w14:textId="77777777" w:rsidR="00D155AA" w:rsidRPr="00655FC7" w:rsidRDefault="00D155AA" w:rsidP="00D155AA">
      <w:pPr>
        <w:rPr>
          <w:rFonts w:cstheme="minorHAnsi"/>
          <w:color w:val="auto"/>
          <w:lang w:eastAsia="pl-PL"/>
        </w:rPr>
      </w:pPr>
    </w:p>
    <w:p w14:paraId="6E7233DB" w14:textId="5271A25A" w:rsidR="00D155AA" w:rsidRPr="00655FC7" w:rsidRDefault="00D155AA" w:rsidP="00D155AA">
      <w:pPr>
        <w:spacing w:line="240" w:lineRule="auto"/>
        <w:rPr>
          <w:rFonts w:eastAsiaTheme="minorEastAsia" w:cstheme="minorHAnsi"/>
          <w:bCs/>
          <w:szCs w:val="18"/>
          <w:lang w:eastAsia="pl-PL"/>
        </w:rPr>
      </w:pPr>
      <w:r w:rsidRPr="00655FC7">
        <w:rPr>
          <w:rFonts w:eastAsiaTheme="minorEastAsia" w:cstheme="minorHAnsi"/>
          <w:bCs/>
          <w:szCs w:val="18"/>
          <w:lang w:eastAsia="pl-PL"/>
        </w:rPr>
        <w:lastRenderedPageBreak/>
        <w:t>W 2022 r. na terenie Miasta Tarnogród nastąpiły 23 awarie sieci wodociągowej. W ostatnich 3</w:t>
      </w:r>
      <w:r w:rsidR="00133DFE" w:rsidRPr="00655FC7">
        <w:rPr>
          <w:rFonts w:eastAsiaTheme="minorEastAsia" w:cstheme="minorHAnsi"/>
          <w:bCs/>
          <w:szCs w:val="18"/>
          <w:lang w:eastAsia="pl-PL"/>
        </w:rPr>
        <w:t> </w:t>
      </w:r>
      <w:r w:rsidRPr="00655FC7">
        <w:rPr>
          <w:rFonts w:eastAsiaTheme="minorEastAsia" w:cstheme="minorHAnsi"/>
          <w:bCs/>
          <w:szCs w:val="18"/>
          <w:lang w:eastAsia="pl-PL"/>
        </w:rPr>
        <w:t>latach liczba awarii wzrosła (rysunek poniżej). Straty wody z wodociągu w 2021 r. wynosiły 6,0</w:t>
      </w:r>
      <w:r w:rsidR="00133DFE" w:rsidRPr="00655FC7">
        <w:rPr>
          <w:rFonts w:eastAsiaTheme="minorEastAsia" w:cstheme="minorHAnsi"/>
          <w:bCs/>
          <w:szCs w:val="18"/>
          <w:lang w:eastAsia="pl-PL"/>
        </w:rPr>
        <w:t> </w:t>
      </w:r>
      <w:r w:rsidRPr="00655FC7">
        <w:rPr>
          <w:rFonts w:eastAsiaTheme="minorEastAsia" w:cstheme="minorHAnsi"/>
          <w:bCs/>
          <w:szCs w:val="18"/>
          <w:lang w:eastAsia="pl-PL"/>
        </w:rPr>
        <w:t>dam</w:t>
      </w:r>
      <w:r w:rsidRPr="00655FC7">
        <w:rPr>
          <w:rFonts w:eastAsiaTheme="minorEastAsia" w:cstheme="minorHAnsi"/>
          <w:bCs/>
          <w:szCs w:val="18"/>
          <w:vertAlign w:val="superscript"/>
          <w:lang w:eastAsia="pl-PL"/>
        </w:rPr>
        <w:t>3</w:t>
      </w:r>
      <w:r w:rsidRPr="00655FC7">
        <w:rPr>
          <w:rFonts w:eastAsiaTheme="minorEastAsia" w:cstheme="minorHAnsi"/>
          <w:bCs/>
          <w:szCs w:val="18"/>
          <w:lang w:eastAsia="pl-PL"/>
        </w:rPr>
        <w:t>, natomiast w 2022 r. 11,0 dam</w:t>
      </w:r>
      <w:r w:rsidRPr="00655FC7">
        <w:rPr>
          <w:rFonts w:eastAsiaTheme="minorEastAsia" w:cstheme="minorHAnsi"/>
          <w:bCs/>
          <w:szCs w:val="18"/>
          <w:vertAlign w:val="superscript"/>
          <w:lang w:eastAsia="pl-PL"/>
        </w:rPr>
        <w:t>3</w:t>
      </w:r>
      <w:r w:rsidRPr="00655FC7">
        <w:rPr>
          <w:rFonts w:eastAsiaTheme="minorEastAsia" w:cstheme="minorHAnsi"/>
          <w:bCs/>
          <w:szCs w:val="18"/>
          <w:lang w:eastAsia="pl-PL"/>
        </w:rPr>
        <w:t>.</w:t>
      </w:r>
    </w:p>
    <w:p w14:paraId="2E3C5A09" w14:textId="77777777" w:rsidR="00D155AA" w:rsidRPr="00655FC7" w:rsidRDefault="00D155AA" w:rsidP="00D155AA">
      <w:pPr>
        <w:spacing w:line="240" w:lineRule="auto"/>
        <w:rPr>
          <w:rFonts w:eastAsiaTheme="minorEastAsia" w:cstheme="minorHAnsi"/>
          <w:bCs/>
          <w:szCs w:val="18"/>
          <w:lang w:eastAsia="pl-PL"/>
        </w:rPr>
      </w:pPr>
    </w:p>
    <w:p w14:paraId="5C56E050" w14:textId="77777777" w:rsidR="00D155AA" w:rsidRPr="00655FC7" w:rsidRDefault="00D155AA" w:rsidP="00D155AA">
      <w:pPr>
        <w:spacing w:after="60" w:line="240" w:lineRule="auto"/>
        <w:ind w:firstLine="0"/>
        <w:rPr>
          <w:rFonts w:eastAsiaTheme="minorEastAsia" w:cstheme="minorHAnsi"/>
          <w:b/>
          <w:bCs/>
          <w:sz w:val="20"/>
          <w:szCs w:val="18"/>
          <w:lang w:eastAsia="pl-PL"/>
        </w:rPr>
      </w:pPr>
      <w:r w:rsidRPr="00655FC7">
        <w:rPr>
          <w:noProof/>
        </w:rPr>
        <w:drawing>
          <wp:inline distT="0" distB="0" distL="0" distR="0" wp14:anchorId="492A1829" wp14:editId="6EEDB3BC">
            <wp:extent cx="5760000" cy="1590675"/>
            <wp:effectExtent l="0" t="0" r="12700" b="9525"/>
            <wp:docPr id="1814306493" name="Wykres 1">
              <a:extLst xmlns:a="http://schemas.openxmlformats.org/drawingml/2006/main">
                <a:ext uri="{FF2B5EF4-FFF2-40B4-BE49-F238E27FC236}">
                  <a16:creationId xmlns:a16="http://schemas.microsoft.com/office/drawing/2014/main" id="{9BA3563B-677C-BD6F-9696-03D8774119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BE83D20" w14:textId="4B4C9CF8" w:rsidR="00D155AA" w:rsidRPr="00655FC7" w:rsidRDefault="00D155AA" w:rsidP="00D155AA">
      <w:pPr>
        <w:pStyle w:val="Stylrysunek"/>
      </w:pPr>
      <w:bookmarkStart w:id="111" w:name="_Toc178846361"/>
      <w:r w:rsidRPr="00655FC7">
        <w:t xml:space="preserve">Rysunek </w:t>
      </w:r>
      <w:r w:rsidR="00EA4C85">
        <w:fldChar w:fldCharType="begin"/>
      </w:r>
      <w:r w:rsidR="00EA4C85">
        <w:instrText xml:space="preserve"> SEQ Rysunek \* ARABIC </w:instrText>
      </w:r>
      <w:r w:rsidR="00EA4C85">
        <w:fldChar w:fldCharType="separate"/>
      </w:r>
      <w:r w:rsidR="00A654D8">
        <w:rPr>
          <w:noProof/>
        </w:rPr>
        <w:t>19</w:t>
      </w:r>
      <w:r w:rsidR="00EA4C85">
        <w:rPr>
          <w:noProof/>
        </w:rPr>
        <w:fldChar w:fldCharType="end"/>
      </w:r>
      <w:r w:rsidRPr="00655FC7">
        <w:t>. Awarie sieci wodociągowej.</w:t>
      </w:r>
      <w:bookmarkEnd w:id="111"/>
    </w:p>
    <w:p w14:paraId="677DA2DB" w14:textId="77777777" w:rsidR="00D155AA" w:rsidRPr="00655FC7" w:rsidRDefault="00D155AA" w:rsidP="00D155AA">
      <w:pPr>
        <w:pStyle w:val="Cytat"/>
      </w:pPr>
      <w:r w:rsidRPr="00655FC7">
        <w:t>źródło: GUS BDL, opracowanie własne</w:t>
      </w:r>
    </w:p>
    <w:p w14:paraId="22BDC6F2" w14:textId="77777777" w:rsidR="00D155AA" w:rsidRPr="00655FC7" w:rsidRDefault="00D155AA" w:rsidP="00D155AA">
      <w:pPr>
        <w:keepNext/>
        <w:spacing w:line="240" w:lineRule="auto"/>
        <w:ind w:firstLine="0"/>
      </w:pPr>
      <w:r w:rsidRPr="00655FC7">
        <w:rPr>
          <w:rFonts w:eastAsiaTheme="minorEastAsia" w:cstheme="minorHAnsi"/>
          <w:noProof/>
          <w:szCs w:val="20"/>
          <w:lang w:eastAsia="pl-PL"/>
        </w:rPr>
        <w:drawing>
          <wp:inline distT="0" distB="0" distL="0" distR="0" wp14:anchorId="30152125" wp14:editId="35A54702">
            <wp:extent cx="5759450" cy="4072890"/>
            <wp:effectExtent l="19050" t="19050" r="12700" b="22860"/>
            <wp:docPr id="1790532105" name="Obraz 1" descr="Obraz zawierający tekst, mapa, diagram,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532105" name="Obraz 1" descr="Obraz zawierający tekst, mapa, diagram, Czcionka&#10;&#10;Opis wygenerowany automatyczni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59450" cy="4072890"/>
                    </a:xfrm>
                    <a:prstGeom prst="rect">
                      <a:avLst/>
                    </a:prstGeom>
                    <a:ln>
                      <a:solidFill>
                        <a:schemeClr val="tx1"/>
                      </a:solidFill>
                    </a:ln>
                  </pic:spPr>
                </pic:pic>
              </a:graphicData>
            </a:graphic>
          </wp:inline>
        </w:drawing>
      </w:r>
    </w:p>
    <w:p w14:paraId="6585E5EA" w14:textId="71FC14AC" w:rsidR="00D155AA" w:rsidRPr="00655FC7" w:rsidRDefault="00D155AA" w:rsidP="00D155AA">
      <w:pPr>
        <w:pStyle w:val="Stylrysunek"/>
      </w:pPr>
      <w:bookmarkStart w:id="112" w:name="_Toc178846362"/>
      <w:r w:rsidRPr="00655FC7">
        <w:t xml:space="preserve">Rysunek </w:t>
      </w:r>
      <w:r w:rsidR="00EA4C85">
        <w:fldChar w:fldCharType="begin"/>
      </w:r>
      <w:r w:rsidR="00EA4C85">
        <w:instrText xml:space="preserve"> SEQ Rysunek \* ARABIC </w:instrText>
      </w:r>
      <w:r w:rsidR="00EA4C85">
        <w:fldChar w:fldCharType="separate"/>
      </w:r>
      <w:r w:rsidR="00A654D8">
        <w:rPr>
          <w:noProof/>
        </w:rPr>
        <w:t>20</w:t>
      </w:r>
      <w:r w:rsidR="00EA4C85">
        <w:rPr>
          <w:noProof/>
        </w:rPr>
        <w:fldChar w:fldCharType="end"/>
      </w:r>
      <w:r w:rsidRPr="00655FC7">
        <w:t>. Infrastruktura wodna na terenie Miasta Tarnogród.</w:t>
      </w:r>
      <w:bookmarkEnd w:id="112"/>
    </w:p>
    <w:p w14:paraId="5CD21E18" w14:textId="77777777" w:rsidR="00D155AA" w:rsidRPr="00655FC7" w:rsidRDefault="00D155AA" w:rsidP="00D155AA">
      <w:pPr>
        <w:pStyle w:val="Cytat"/>
      </w:pPr>
      <w:r w:rsidRPr="00655FC7">
        <w:t>Źródło: Opracowanie własne na podstawie danych RZGW PGW Wody Polskie</w:t>
      </w:r>
    </w:p>
    <w:p w14:paraId="03D961A1" w14:textId="77777777" w:rsidR="00D155AA" w:rsidRPr="00655FC7" w:rsidRDefault="00D155AA" w:rsidP="00D155AA">
      <w:pPr>
        <w:spacing w:line="240" w:lineRule="auto"/>
        <w:rPr>
          <w:rFonts w:eastAsiaTheme="minorEastAsia" w:cstheme="minorHAnsi"/>
          <w:szCs w:val="20"/>
          <w:lang w:eastAsia="pl-PL"/>
        </w:rPr>
      </w:pPr>
    </w:p>
    <w:p w14:paraId="458307F9" w14:textId="77777777" w:rsidR="00D155AA" w:rsidRPr="00655FC7" w:rsidRDefault="00D155AA" w:rsidP="008672B2">
      <w:pPr>
        <w:rPr>
          <w:lang w:eastAsia="pl-PL"/>
        </w:rPr>
      </w:pPr>
      <w:r w:rsidRPr="00655FC7">
        <w:rPr>
          <w:lang w:eastAsia="pl-PL"/>
        </w:rPr>
        <w:t>Jak wynika z powyższych danych, nie wszystkie posesje w Mieście Tarnogród są zwodociągowane. Na sieci wodociągowej występuje również dość duży problem z licznymi awariami, które szczególnie wzrosły w ostatnich latach. Ponadto, na terenie miasta istnieje przedsiębiorstwo o dużych poborach wody – Bioconcept Gardenia Sp. z o.o. Z tych względów w mieście występuje problem z niedoborem wody na nawadnianie upraw rolniczych.</w:t>
      </w:r>
    </w:p>
    <w:p w14:paraId="4ED5B4EC" w14:textId="77777777" w:rsidR="00D155AA" w:rsidRPr="00655FC7" w:rsidRDefault="00D155AA" w:rsidP="00D155AA">
      <w:pPr>
        <w:spacing w:line="240" w:lineRule="auto"/>
        <w:rPr>
          <w:rFonts w:eastAsiaTheme="minorEastAsia" w:cstheme="minorHAnsi"/>
          <w:szCs w:val="20"/>
          <w:lang w:eastAsia="pl-PL"/>
        </w:rPr>
      </w:pPr>
    </w:p>
    <w:p w14:paraId="778A96ED" w14:textId="77777777" w:rsidR="00D155AA" w:rsidRPr="00655FC7" w:rsidRDefault="00D155AA" w:rsidP="00D155AA">
      <w:pPr>
        <w:pStyle w:val="Nagwek3"/>
      </w:pPr>
      <w:bookmarkStart w:id="113" w:name="_Toc177732047"/>
      <w:r w:rsidRPr="00655FC7">
        <w:lastRenderedPageBreak/>
        <w:t>Sieć kanalizacyjna</w:t>
      </w:r>
      <w:bookmarkEnd w:id="113"/>
    </w:p>
    <w:p w14:paraId="1ACCF018" w14:textId="77777777" w:rsidR="00D155AA" w:rsidRPr="00655FC7" w:rsidRDefault="00D155AA" w:rsidP="00D155AA">
      <w:pPr>
        <w:rPr>
          <w:rFonts w:eastAsia="Calibri" w:cstheme="minorHAnsi"/>
          <w:color w:val="auto"/>
        </w:rPr>
      </w:pPr>
      <w:r w:rsidRPr="00655FC7">
        <w:rPr>
          <w:rFonts w:eastAsia="Calibri" w:cstheme="minorHAnsi"/>
          <w:color w:val="auto"/>
        </w:rPr>
        <w:t>Miasto Tarnogród posiada czynną sieć kanalizacyjną o długości 29,3 km z 725 przyłączami prowadzącymi do budynków mieszkalnych jednorodzinnych i zbiorowego zamieszkania. W 2022 roku odprowadzono kanalizacją 89,0 dam</w:t>
      </w:r>
      <w:r w:rsidRPr="00655FC7">
        <w:rPr>
          <w:rFonts w:eastAsia="Calibri" w:cstheme="minorHAnsi"/>
          <w:color w:val="auto"/>
          <w:vertAlign w:val="superscript"/>
        </w:rPr>
        <w:t xml:space="preserve">3 </w:t>
      </w:r>
      <w:r w:rsidRPr="00655FC7">
        <w:rPr>
          <w:rFonts w:eastAsia="Calibri" w:cstheme="minorHAnsi"/>
          <w:color w:val="auto"/>
        </w:rPr>
        <w:t>ścieków. W poniższej tabeli przedstawiono charakterystykę sieci kanalizacji sanitarnej na terenie Miasta Tarnogród.</w:t>
      </w:r>
    </w:p>
    <w:p w14:paraId="43239512" w14:textId="77777777" w:rsidR="00D155AA" w:rsidRPr="00655FC7" w:rsidRDefault="00D155AA" w:rsidP="00D155AA">
      <w:pPr>
        <w:rPr>
          <w:rFonts w:eastAsia="Calibri" w:cstheme="minorHAnsi"/>
          <w:color w:val="auto"/>
        </w:rPr>
      </w:pPr>
    </w:p>
    <w:p w14:paraId="471AB0E6" w14:textId="132C02D0" w:rsidR="00D155AA" w:rsidRPr="00655FC7" w:rsidRDefault="00D155AA" w:rsidP="00D155AA">
      <w:pPr>
        <w:pStyle w:val="Styltabela"/>
        <w:rPr>
          <w:rFonts w:eastAsia="Calibri"/>
        </w:rPr>
      </w:pPr>
      <w:bookmarkStart w:id="114" w:name="_Toc120700031"/>
      <w:bookmarkStart w:id="115" w:name="_Toc178846315"/>
      <w:r w:rsidRPr="00655FC7">
        <w:rPr>
          <w:rFonts w:eastAsiaTheme="minorEastAsia"/>
        </w:rPr>
        <w:t xml:space="preserve">Tabela </w:t>
      </w:r>
      <w:r w:rsidR="00E833A9">
        <w:rPr>
          <w:rFonts w:eastAsiaTheme="minorEastAsia"/>
        </w:rPr>
        <w:fldChar w:fldCharType="begin"/>
      </w:r>
      <w:r w:rsidR="00E833A9">
        <w:rPr>
          <w:rFonts w:eastAsiaTheme="minorEastAsia"/>
        </w:rPr>
        <w:instrText xml:space="preserve"> SEQ Tabela \* ARABIC </w:instrText>
      </w:r>
      <w:r w:rsidR="00E833A9">
        <w:rPr>
          <w:rFonts w:eastAsiaTheme="minorEastAsia"/>
        </w:rPr>
        <w:fldChar w:fldCharType="separate"/>
      </w:r>
      <w:r w:rsidR="00A654D8">
        <w:rPr>
          <w:rFonts w:eastAsiaTheme="minorEastAsia"/>
          <w:noProof/>
        </w:rPr>
        <w:t>9</w:t>
      </w:r>
      <w:r w:rsidR="00E833A9">
        <w:rPr>
          <w:rFonts w:eastAsiaTheme="minorEastAsia"/>
        </w:rPr>
        <w:fldChar w:fldCharType="end"/>
      </w:r>
      <w:r w:rsidRPr="00655FC7">
        <w:rPr>
          <w:rFonts w:eastAsiaTheme="minorEastAsia"/>
        </w:rPr>
        <w:t>.Charakterystyka sieci kanalizacyjnej (stan na 31.12.2022 r.)</w:t>
      </w:r>
      <w:bookmarkEnd w:id="114"/>
      <w:r w:rsidR="0012165C">
        <w:rPr>
          <w:rFonts w:eastAsiaTheme="minorEastAsia"/>
        </w:rPr>
        <w:t>.</w:t>
      </w:r>
      <w:bookmarkEnd w:id="115"/>
    </w:p>
    <w:tbl>
      <w:tblPr>
        <w:tblStyle w:val="Tabela-MPAaga412"/>
        <w:tblW w:w="9072" w:type="dxa"/>
        <w:jc w:val="center"/>
        <w:tblLayout w:type="fixed"/>
        <w:tblLook w:val="04A0" w:firstRow="1" w:lastRow="0" w:firstColumn="1" w:lastColumn="0" w:noHBand="0" w:noVBand="1"/>
      </w:tblPr>
      <w:tblGrid>
        <w:gridCol w:w="6278"/>
        <w:gridCol w:w="1438"/>
        <w:gridCol w:w="1356"/>
      </w:tblGrid>
      <w:tr w:rsidR="00D155AA" w:rsidRPr="00655FC7" w14:paraId="15056C3C" w14:textId="77777777" w:rsidTr="00EE698F">
        <w:trPr>
          <w:cnfStyle w:val="100000000000" w:firstRow="1" w:lastRow="0" w:firstColumn="0" w:lastColumn="0" w:oddVBand="0" w:evenVBand="0" w:oddHBand="0" w:evenHBand="0" w:firstRowFirstColumn="0" w:firstRowLastColumn="0" w:lastRowFirstColumn="0" w:lastRowLastColumn="0"/>
          <w:trHeight w:val="283"/>
          <w:tblHeader/>
          <w:jc w:val="center"/>
        </w:trPr>
        <w:tc>
          <w:tcPr>
            <w:cnfStyle w:val="001000000000" w:firstRow="0" w:lastRow="0" w:firstColumn="1" w:lastColumn="0" w:oddVBand="0" w:evenVBand="0" w:oddHBand="0" w:evenHBand="0" w:firstRowFirstColumn="0" w:firstRowLastColumn="0" w:lastRowFirstColumn="0" w:lastRowLastColumn="0"/>
            <w:tcW w:w="6278" w:type="dxa"/>
            <w:shd w:val="clear" w:color="auto" w:fill="A6D165" w:themeFill="accent1" w:themeFillTint="99"/>
            <w:vAlign w:val="center"/>
          </w:tcPr>
          <w:p w14:paraId="66014DD4" w14:textId="77777777" w:rsidR="00D155AA" w:rsidRPr="00655FC7" w:rsidRDefault="00D155AA" w:rsidP="00827748">
            <w:pPr>
              <w:ind w:firstLine="0"/>
              <w:jc w:val="center"/>
              <w:rPr>
                <w:rFonts w:asciiTheme="minorHAnsi" w:eastAsia="Calibri" w:hAnsiTheme="minorHAnsi" w:cstheme="minorHAnsi"/>
                <w:color w:val="auto"/>
                <w:sz w:val="18"/>
                <w:szCs w:val="18"/>
              </w:rPr>
            </w:pPr>
            <w:r w:rsidRPr="00655FC7">
              <w:rPr>
                <w:rFonts w:asciiTheme="minorHAnsi" w:eastAsia="Calibri" w:hAnsiTheme="minorHAnsi" w:cstheme="minorHAnsi"/>
                <w:color w:val="auto"/>
                <w:sz w:val="18"/>
                <w:szCs w:val="18"/>
              </w:rPr>
              <w:t>Wskaźnik</w:t>
            </w:r>
          </w:p>
        </w:tc>
        <w:tc>
          <w:tcPr>
            <w:tcW w:w="1438" w:type="dxa"/>
            <w:shd w:val="clear" w:color="auto" w:fill="A6D165" w:themeFill="accent1" w:themeFillTint="99"/>
            <w:vAlign w:val="center"/>
          </w:tcPr>
          <w:p w14:paraId="5B13BBE5"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color w:val="auto"/>
                <w:sz w:val="18"/>
                <w:szCs w:val="18"/>
              </w:rPr>
            </w:pPr>
            <w:r w:rsidRPr="00655FC7">
              <w:rPr>
                <w:rFonts w:asciiTheme="minorHAnsi" w:eastAsia="Calibri" w:hAnsiTheme="minorHAnsi" w:cstheme="minorHAnsi"/>
                <w:color w:val="auto"/>
                <w:sz w:val="18"/>
                <w:szCs w:val="18"/>
              </w:rPr>
              <w:t>Jednostka</w:t>
            </w:r>
          </w:p>
        </w:tc>
        <w:tc>
          <w:tcPr>
            <w:tcW w:w="1356" w:type="dxa"/>
            <w:shd w:val="clear" w:color="auto" w:fill="A6D165" w:themeFill="accent1" w:themeFillTint="99"/>
            <w:vAlign w:val="center"/>
          </w:tcPr>
          <w:p w14:paraId="1F1C2007"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color w:val="auto"/>
                <w:sz w:val="18"/>
                <w:szCs w:val="18"/>
              </w:rPr>
            </w:pPr>
            <w:r w:rsidRPr="00655FC7">
              <w:rPr>
                <w:rFonts w:asciiTheme="minorHAnsi" w:eastAsia="Calibri" w:hAnsiTheme="minorHAnsi" w:cstheme="minorHAnsi"/>
                <w:color w:val="auto"/>
                <w:sz w:val="18"/>
                <w:szCs w:val="18"/>
              </w:rPr>
              <w:t>Wartość</w:t>
            </w:r>
          </w:p>
        </w:tc>
      </w:tr>
      <w:tr w:rsidR="00D155AA" w:rsidRPr="00655FC7" w14:paraId="26E2D6EE" w14:textId="77777777" w:rsidTr="00EE698F">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6278" w:type="dxa"/>
            <w:shd w:val="clear" w:color="auto" w:fill="FFFFFF" w:themeFill="background1"/>
            <w:vAlign w:val="center"/>
          </w:tcPr>
          <w:p w14:paraId="0C15FC69" w14:textId="77777777" w:rsidR="00D155AA" w:rsidRPr="00655FC7" w:rsidRDefault="00D155AA" w:rsidP="00827748">
            <w:pPr>
              <w:ind w:firstLine="0"/>
              <w:jc w:val="center"/>
              <w:rPr>
                <w:rFonts w:asciiTheme="minorHAnsi" w:eastAsia="Calibri" w:hAnsiTheme="minorHAnsi" w:cstheme="minorHAnsi"/>
                <w:b w:val="0"/>
                <w:color w:val="auto"/>
                <w:sz w:val="18"/>
                <w:szCs w:val="18"/>
              </w:rPr>
            </w:pPr>
            <w:r w:rsidRPr="00655FC7">
              <w:rPr>
                <w:rFonts w:asciiTheme="minorHAnsi" w:eastAsia="Calibri" w:hAnsiTheme="minorHAnsi" w:cstheme="minorHAnsi"/>
                <w:b w:val="0"/>
                <w:color w:val="auto"/>
                <w:sz w:val="18"/>
                <w:szCs w:val="18"/>
              </w:rPr>
              <w:t>Korzystający z instalacji w % ogółu ludności</w:t>
            </w:r>
          </w:p>
        </w:tc>
        <w:tc>
          <w:tcPr>
            <w:tcW w:w="1438" w:type="dxa"/>
            <w:shd w:val="clear" w:color="auto" w:fill="FFFFFF" w:themeFill="background1"/>
            <w:vAlign w:val="center"/>
          </w:tcPr>
          <w:p w14:paraId="42810DFA"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w:t>
            </w:r>
          </w:p>
        </w:tc>
        <w:tc>
          <w:tcPr>
            <w:tcW w:w="1356" w:type="dxa"/>
            <w:shd w:val="clear" w:color="auto" w:fill="FFFFFF" w:themeFill="background1"/>
            <w:vAlign w:val="center"/>
          </w:tcPr>
          <w:p w14:paraId="6C0214BF"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 w:val="18"/>
                <w:szCs w:val="18"/>
              </w:rPr>
            </w:pPr>
            <w:r w:rsidRPr="00655FC7">
              <w:rPr>
                <w:sz w:val="18"/>
                <w:szCs w:val="18"/>
              </w:rPr>
              <w:t>82,4</w:t>
            </w:r>
          </w:p>
        </w:tc>
      </w:tr>
      <w:tr w:rsidR="00D155AA" w:rsidRPr="00655FC7" w14:paraId="35EC5105" w14:textId="77777777" w:rsidTr="00EE698F">
        <w:trPr>
          <w:trHeight w:val="283"/>
          <w:jc w:val="center"/>
        </w:trPr>
        <w:tc>
          <w:tcPr>
            <w:cnfStyle w:val="001000000000" w:firstRow="0" w:lastRow="0" w:firstColumn="1" w:lastColumn="0" w:oddVBand="0" w:evenVBand="0" w:oddHBand="0" w:evenHBand="0" w:firstRowFirstColumn="0" w:firstRowLastColumn="0" w:lastRowFirstColumn="0" w:lastRowLastColumn="0"/>
            <w:tcW w:w="6278" w:type="dxa"/>
            <w:shd w:val="clear" w:color="auto" w:fill="FFFFFF" w:themeFill="background1"/>
            <w:vAlign w:val="center"/>
          </w:tcPr>
          <w:p w14:paraId="675C1F88" w14:textId="77777777" w:rsidR="00D155AA" w:rsidRPr="00655FC7" w:rsidRDefault="00D155AA" w:rsidP="00827748">
            <w:pPr>
              <w:ind w:firstLine="0"/>
              <w:jc w:val="center"/>
              <w:rPr>
                <w:rFonts w:asciiTheme="minorHAnsi" w:hAnsiTheme="minorHAnsi" w:cstheme="minorHAnsi"/>
                <w:b w:val="0"/>
                <w:color w:val="auto"/>
                <w:sz w:val="18"/>
                <w:szCs w:val="18"/>
              </w:rPr>
            </w:pPr>
            <w:r w:rsidRPr="00655FC7">
              <w:rPr>
                <w:rFonts w:asciiTheme="minorHAnsi" w:hAnsiTheme="minorHAnsi" w:cstheme="minorHAnsi"/>
                <w:b w:val="0"/>
                <w:color w:val="auto"/>
                <w:sz w:val="18"/>
                <w:szCs w:val="18"/>
              </w:rPr>
              <w:t>Ścieki bytowe odprowadzone siecią kanalizacyjną</w:t>
            </w:r>
          </w:p>
        </w:tc>
        <w:tc>
          <w:tcPr>
            <w:tcW w:w="1438" w:type="dxa"/>
            <w:shd w:val="clear" w:color="auto" w:fill="FFFFFF" w:themeFill="background1"/>
            <w:vAlign w:val="center"/>
          </w:tcPr>
          <w:p w14:paraId="543291A7"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rFonts w:cstheme="minorHAnsi"/>
                <w:color w:val="auto"/>
                <w:sz w:val="18"/>
                <w:szCs w:val="18"/>
              </w:rPr>
              <w:t>dam</w:t>
            </w:r>
            <w:r w:rsidRPr="00655FC7">
              <w:rPr>
                <w:rFonts w:cstheme="minorHAnsi"/>
                <w:color w:val="auto"/>
                <w:sz w:val="18"/>
                <w:szCs w:val="18"/>
                <w:vertAlign w:val="superscript"/>
              </w:rPr>
              <w:t>3</w:t>
            </w:r>
          </w:p>
        </w:tc>
        <w:tc>
          <w:tcPr>
            <w:tcW w:w="1356" w:type="dxa"/>
            <w:shd w:val="clear" w:color="auto" w:fill="FFFFFF" w:themeFill="background1"/>
            <w:vAlign w:val="center"/>
          </w:tcPr>
          <w:p w14:paraId="330A8710"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sz w:val="18"/>
                <w:szCs w:val="18"/>
              </w:rPr>
              <w:t>89</w:t>
            </w:r>
          </w:p>
        </w:tc>
      </w:tr>
      <w:tr w:rsidR="00D155AA" w:rsidRPr="00655FC7" w14:paraId="3C0DF467" w14:textId="77777777" w:rsidTr="00EE698F">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6278" w:type="dxa"/>
            <w:shd w:val="clear" w:color="auto" w:fill="FFFFFF" w:themeFill="background1"/>
            <w:vAlign w:val="center"/>
          </w:tcPr>
          <w:p w14:paraId="45ED0F59" w14:textId="77777777" w:rsidR="00D155AA" w:rsidRPr="00655FC7" w:rsidRDefault="00D155AA" w:rsidP="00827748">
            <w:pPr>
              <w:ind w:firstLine="0"/>
              <w:jc w:val="center"/>
              <w:rPr>
                <w:rFonts w:asciiTheme="minorHAnsi" w:eastAsia="Calibri" w:hAnsiTheme="minorHAnsi" w:cstheme="minorHAnsi"/>
                <w:b w:val="0"/>
                <w:color w:val="auto"/>
                <w:sz w:val="18"/>
                <w:szCs w:val="18"/>
              </w:rPr>
            </w:pPr>
            <w:r w:rsidRPr="00655FC7">
              <w:rPr>
                <w:rFonts w:asciiTheme="minorHAnsi" w:eastAsia="Calibri" w:hAnsiTheme="minorHAnsi" w:cstheme="minorHAnsi"/>
                <w:b w:val="0"/>
                <w:color w:val="auto"/>
                <w:sz w:val="18"/>
                <w:szCs w:val="18"/>
              </w:rPr>
              <w:t>Długość czynnej sieci kanalizacyjnej</w:t>
            </w:r>
          </w:p>
        </w:tc>
        <w:tc>
          <w:tcPr>
            <w:tcW w:w="1438" w:type="dxa"/>
            <w:shd w:val="clear" w:color="auto" w:fill="FFFFFF" w:themeFill="background1"/>
            <w:vAlign w:val="center"/>
          </w:tcPr>
          <w:p w14:paraId="32729DB4"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km</w:t>
            </w:r>
          </w:p>
        </w:tc>
        <w:tc>
          <w:tcPr>
            <w:tcW w:w="1356" w:type="dxa"/>
            <w:shd w:val="clear" w:color="auto" w:fill="FFFFFF" w:themeFill="background1"/>
            <w:vAlign w:val="center"/>
          </w:tcPr>
          <w:p w14:paraId="7218CA18"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sz w:val="18"/>
                <w:szCs w:val="18"/>
              </w:rPr>
              <w:t>29,3</w:t>
            </w:r>
          </w:p>
        </w:tc>
      </w:tr>
      <w:tr w:rsidR="00D155AA" w:rsidRPr="00655FC7" w14:paraId="7A8FAC01" w14:textId="77777777" w:rsidTr="00EE698F">
        <w:trPr>
          <w:trHeight w:val="283"/>
          <w:jc w:val="center"/>
        </w:trPr>
        <w:tc>
          <w:tcPr>
            <w:cnfStyle w:val="001000000000" w:firstRow="0" w:lastRow="0" w:firstColumn="1" w:lastColumn="0" w:oddVBand="0" w:evenVBand="0" w:oddHBand="0" w:evenHBand="0" w:firstRowFirstColumn="0" w:firstRowLastColumn="0" w:lastRowFirstColumn="0" w:lastRowLastColumn="0"/>
            <w:tcW w:w="6278" w:type="dxa"/>
            <w:shd w:val="clear" w:color="auto" w:fill="FFFFFF" w:themeFill="background1"/>
            <w:vAlign w:val="center"/>
          </w:tcPr>
          <w:p w14:paraId="7E65ECA7" w14:textId="77777777" w:rsidR="00D155AA" w:rsidRPr="00655FC7" w:rsidRDefault="00D155AA" w:rsidP="00827748">
            <w:pPr>
              <w:ind w:firstLine="0"/>
              <w:jc w:val="center"/>
              <w:rPr>
                <w:rFonts w:asciiTheme="minorHAnsi" w:eastAsia="Calibri" w:hAnsiTheme="minorHAnsi" w:cstheme="minorHAnsi"/>
                <w:b w:val="0"/>
                <w:color w:val="auto"/>
                <w:sz w:val="18"/>
                <w:szCs w:val="18"/>
              </w:rPr>
            </w:pPr>
            <w:r w:rsidRPr="00655FC7">
              <w:rPr>
                <w:rFonts w:asciiTheme="minorHAnsi" w:eastAsia="Calibri" w:hAnsiTheme="minorHAnsi" w:cstheme="minorHAnsi"/>
                <w:b w:val="0"/>
                <w:color w:val="auto"/>
                <w:sz w:val="18"/>
                <w:szCs w:val="18"/>
              </w:rPr>
              <w:t>Ludność korzystająca z sieci kanalizacyjnej (dane dostępne tylko dla 2021)</w:t>
            </w:r>
          </w:p>
        </w:tc>
        <w:tc>
          <w:tcPr>
            <w:tcW w:w="1438" w:type="dxa"/>
            <w:shd w:val="clear" w:color="auto" w:fill="FFFFFF" w:themeFill="background1"/>
            <w:vAlign w:val="center"/>
          </w:tcPr>
          <w:p w14:paraId="2734CFAF"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osoba</w:t>
            </w:r>
          </w:p>
        </w:tc>
        <w:tc>
          <w:tcPr>
            <w:tcW w:w="1356" w:type="dxa"/>
            <w:shd w:val="clear" w:color="auto" w:fill="FFFFFF" w:themeFill="background1"/>
            <w:vAlign w:val="center"/>
          </w:tcPr>
          <w:p w14:paraId="301040B8"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sz w:val="18"/>
                <w:szCs w:val="18"/>
              </w:rPr>
              <w:t>2 604</w:t>
            </w:r>
          </w:p>
        </w:tc>
      </w:tr>
      <w:tr w:rsidR="00D155AA" w:rsidRPr="00655FC7" w14:paraId="061C6A03" w14:textId="77777777" w:rsidTr="00EE698F">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6278" w:type="dxa"/>
            <w:shd w:val="clear" w:color="auto" w:fill="FFFFFF" w:themeFill="background1"/>
            <w:vAlign w:val="center"/>
          </w:tcPr>
          <w:p w14:paraId="74C6A868" w14:textId="77777777" w:rsidR="00D155AA" w:rsidRPr="00655FC7" w:rsidRDefault="00D155AA" w:rsidP="00827748">
            <w:pPr>
              <w:ind w:firstLine="0"/>
              <w:jc w:val="center"/>
              <w:rPr>
                <w:rFonts w:asciiTheme="minorHAnsi" w:eastAsia="Calibri" w:hAnsiTheme="minorHAnsi" w:cstheme="minorHAnsi"/>
                <w:b w:val="0"/>
                <w:color w:val="auto"/>
                <w:sz w:val="18"/>
                <w:szCs w:val="18"/>
              </w:rPr>
            </w:pPr>
            <w:r w:rsidRPr="00655FC7">
              <w:rPr>
                <w:rFonts w:asciiTheme="minorHAnsi" w:eastAsia="Calibri" w:hAnsiTheme="minorHAnsi" w:cstheme="minorHAnsi"/>
                <w:b w:val="0"/>
                <w:color w:val="auto"/>
                <w:sz w:val="18"/>
                <w:szCs w:val="18"/>
              </w:rPr>
              <w:t>Przyłącza prowadzące do budynków mieszkalnych i zbiorowego zamieszkania</w:t>
            </w:r>
          </w:p>
        </w:tc>
        <w:tc>
          <w:tcPr>
            <w:tcW w:w="1438" w:type="dxa"/>
            <w:shd w:val="clear" w:color="auto" w:fill="FFFFFF" w:themeFill="background1"/>
            <w:vAlign w:val="center"/>
          </w:tcPr>
          <w:p w14:paraId="04379C57"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szt.</w:t>
            </w:r>
          </w:p>
        </w:tc>
        <w:tc>
          <w:tcPr>
            <w:tcW w:w="1356" w:type="dxa"/>
            <w:shd w:val="clear" w:color="auto" w:fill="FFFFFF" w:themeFill="background1"/>
            <w:vAlign w:val="center"/>
          </w:tcPr>
          <w:p w14:paraId="64756123"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sz w:val="18"/>
                <w:szCs w:val="18"/>
              </w:rPr>
              <w:t>725</w:t>
            </w:r>
          </w:p>
        </w:tc>
      </w:tr>
    </w:tbl>
    <w:p w14:paraId="0B1BB6F5" w14:textId="77777777" w:rsidR="00D155AA" w:rsidRPr="00655FC7" w:rsidRDefault="00D155AA" w:rsidP="00D155AA">
      <w:pPr>
        <w:pStyle w:val="Cytat"/>
      </w:pPr>
      <w:r w:rsidRPr="00655FC7">
        <w:t>źródło: BDL GUS</w:t>
      </w:r>
    </w:p>
    <w:p w14:paraId="47FD5EBB" w14:textId="57637AD1" w:rsidR="00D155AA" w:rsidRPr="00655FC7" w:rsidRDefault="00D155AA" w:rsidP="00D155AA">
      <w:pPr>
        <w:rPr>
          <w:rFonts w:cstheme="minorHAnsi"/>
        </w:rPr>
      </w:pPr>
      <w:r w:rsidRPr="00655FC7">
        <w:rPr>
          <w:rFonts w:cstheme="minorHAnsi"/>
        </w:rPr>
        <w:t>Na przestrzeni lat 2015-202</w:t>
      </w:r>
      <w:r w:rsidR="00133DFE" w:rsidRPr="00655FC7">
        <w:rPr>
          <w:rFonts w:cstheme="minorHAnsi"/>
        </w:rPr>
        <w:t>2</w:t>
      </w:r>
      <w:r w:rsidRPr="00655FC7">
        <w:rPr>
          <w:rFonts w:cstheme="minorHAnsi"/>
        </w:rPr>
        <w:t xml:space="preserve"> liczba osób korzystających z sieci kanalizacyjnej spadła o 7,6%, co jednak nie przekłada się mniejszą ilości ścieków odprowadzanych (rysunek poniżej). Przyczyną spadku liczby ludności korzystającej z sieci nie jest rezygnacja z korzystania z sieci kanalizacyjnej, a przemiany demograficzne. Liczba ludności Miasta Tarnogród w latach 2015-202</w:t>
      </w:r>
      <w:r w:rsidR="00133DFE" w:rsidRPr="00655FC7">
        <w:rPr>
          <w:rFonts w:cstheme="minorHAnsi"/>
        </w:rPr>
        <w:t>2</w:t>
      </w:r>
      <w:r w:rsidRPr="00655FC7">
        <w:rPr>
          <w:rFonts w:cstheme="minorHAnsi"/>
        </w:rPr>
        <w:t xml:space="preserve"> również spadała – o 303 mieszkańców (spadek o 8,7%).</w:t>
      </w:r>
    </w:p>
    <w:p w14:paraId="5E27F55D" w14:textId="77777777" w:rsidR="00D155AA" w:rsidRPr="00655FC7" w:rsidRDefault="00D155AA" w:rsidP="00D155AA">
      <w:pPr>
        <w:rPr>
          <w:rFonts w:cstheme="minorHAnsi"/>
        </w:rPr>
      </w:pPr>
    </w:p>
    <w:p w14:paraId="3DFCCAED" w14:textId="77777777" w:rsidR="00D155AA" w:rsidRPr="00655FC7" w:rsidRDefault="00D155AA" w:rsidP="00D155AA">
      <w:pPr>
        <w:spacing w:line="240" w:lineRule="auto"/>
        <w:ind w:firstLine="0"/>
        <w:jc w:val="center"/>
        <w:rPr>
          <w:rFonts w:eastAsia="Calibri" w:cstheme="minorHAnsi"/>
          <w:color w:val="auto"/>
          <w:sz w:val="20"/>
          <w:szCs w:val="20"/>
        </w:rPr>
      </w:pPr>
      <w:r w:rsidRPr="00655FC7">
        <w:rPr>
          <w:noProof/>
        </w:rPr>
        <w:drawing>
          <wp:inline distT="0" distB="0" distL="0" distR="0" wp14:anchorId="20A1E4E8" wp14:editId="7DD74F33">
            <wp:extent cx="5760000" cy="2340000"/>
            <wp:effectExtent l="0" t="0" r="12700" b="3175"/>
            <wp:docPr id="965045205" name="Wykres 1">
              <a:extLst xmlns:a="http://schemas.openxmlformats.org/drawingml/2006/main">
                <a:ext uri="{FF2B5EF4-FFF2-40B4-BE49-F238E27FC236}">
                  <a16:creationId xmlns:a16="http://schemas.microsoft.com/office/drawing/2014/main" id="{0FDBD9E8-04ED-0B37-8D83-185947411D1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2601AD48" w14:textId="19C0D9DF" w:rsidR="00D155AA" w:rsidRPr="00655FC7" w:rsidRDefault="00D155AA" w:rsidP="00D155AA">
      <w:pPr>
        <w:tabs>
          <w:tab w:val="left" w:pos="3119"/>
        </w:tabs>
        <w:spacing w:line="240" w:lineRule="auto"/>
        <w:jc w:val="center"/>
        <w:rPr>
          <w:rFonts w:eastAsiaTheme="minorEastAsia" w:cstheme="minorHAnsi"/>
          <w:b/>
          <w:bCs/>
          <w:color w:val="auto"/>
          <w:sz w:val="20"/>
          <w:szCs w:val="18"/>
          <w:lang w:eastAsia="pl-PL"/>
        </w:rPr>
      </w:pPr>
      <w:bookmarkStart w:id="116" w:name="_Toc178846363"/>
      <w:r w:rsidRPr="00655FC7">
        <w:rPr>
          <w:rFonts w:eastAsiaTheme="minorEastAsia" w:cstheme="minorHAnsi"/>
          <w:b/>
          <w:bCs/>
          <w:color w:val="auto"/>
          <w:sz w:val="20"/>
          <w:szCs w:val="18"/>
          <w:lang w:eastAsia="pl-PL"/>
        </w:rPr>
        <w:t xml:space="preserve">Rysunek </w:t>
      </w:r>
      <w:r w:rsidRPr="00655FC7">
        <w:rPr>
          <w:rFonts w:eastAsiaTheme="minorEastAsia" w:cstheme="minorHAnsi"/>
          <w:b/>
          <w:bCs/>
          <w:color w:val="auto"/>
          <w:sz w:val="20"/>
          <w:szCs w:val="18"/>
          <w:lang w:eastAsia="pl-PL"/>
        </w:rPr>
        <w:fldChar w:fldCharType="begin"/>
      </w:r>
      <w:r w:rsidRPr="00655FC7">
        <w:rPr>
          <w:rFonts w:eastAsiaTheme="minorEastAsia" w:cstheme="minorHAnsi"/>
          <w:b/>
          <w:bCs/>
          <w:color w:val="auto"/>
          <w:sz w:val="20"/>
          <w:szCs w:val="18"/>
          <w:lang w:eastAsia="pl-PL"/>
        </w:rPr>
        <w:instrText xml:space="preserve"> SEQ Rysunek \* ARABIC </w:instrText>
      </w:r>
      <w:r w:rsidRPr="00655FC7">
        <w:rPr>
          <w:rFonts w:eastAsiaTheme="minorEastAsia" w:cstheme="minorHAnsi"/>
          <w:b/>
          <w:bCs/>
          <w:color w:val="auto"/>
          <w:sz w:val="20"/>
          <w:szCs w:val="18"/>
          <w:lang w:eastAsia="pl-PL"/>
        </w:rPr>
        <w:fldChar w:fldCharType="separate"/>
      </w:r>
      <w:r w:rsidR="00A654D8">
        <w:rPr>
          <w:rFonts w:eastAsiaTheme="minorEastAsia" w:cstheme="minorHAnsi"/>
          <w:b/>
          <w:bCs/>
          <w:noProof/>
          <w:color w:val="auto"/>
          <w:sz w:val="20"/>
          <w:szCs w:val="18"/>
          <w:lang w:eastAsia="pl-PL"/>
        </w:rPr>
        <w:t>21</w:t>
      </w:r>
      <w:r w:rsidRPr="00655FC7">
        <w:rPr>
          <w:rFonts w:eastAsiaTheme="minorEastAsia" w:cstheme="minorHAnsi"/>
          <w:b/>
          <w:bCs/>
          <w:color w:val="auto"/>
          <w:sz w:val="20"/>
          <w:szCs w:val="18"/>
          <w:lang w:eastAsia="pl-PL"/>
        </w:rPr>
        <w:fldChar w:fldCharType="end"/>
      </w:r>
      <w:r w:rsidRPr="00655FC7">
        <w:rPr>
          <w:rFonts w:eastAsiaTheme="minorEastAsia" w:cstheme="minorHAnsi"/>
          <w:b/>
          <w:bCs/>
          <w:color w:val="auto"/>
          <w:sz w:val="20"/>
          <w:szCs w:val="18"/>
          <w:lang w:eastAsia="pl-PL"/>
        </w:rPr>
        <w:t>. Ścieki odprowadzane oraz ludność korzystająca z sieci kanalizacyjnej.</w:t>
      </w:r>
      <w:bookmarkEnd w:id="116"/>
      <w:r w:rsidRPr="00655FC7">
        <w:rPr>
          <w:rFonts w:eastAsiaTheme="minorEastAsia" w:cstheme="minorHAnsi"/>
          <w:b/>
          <w:bCs/>
          <w:color w:val="auto"/>
          <w:sz w:val="20"/>
          <w:szCs w:val="18"/>
          <w:lang w:eastAsia="pl-PL"/>
        </w:rPr>
        <w:t xml:space="preserve"> </w:t>
      </w:r>
    </w:p>
    <w:p w14:paraId="29616C10" w14:textId="77777777" w:rsidR="00D155AA" w:rsidRPr="00655FC7" w:rsidRDefault="00D155AA" w:rsidP="00D155AA">
      <w:pPr>
        <w:pStyle w:val="Cytat"/>
      </w:pPr>
      <w:r w:rsidRPr="00655FC7">
        <w:t>źródło: GUS BDL, opracowanie własne</w:t>
      </w:r>
    </w:p>
    <w:p w14:paraId="197B718A" w14:textId="77777777" w:rsidR="00D155AA" w:rsidRPr="00655FC7" w:rsidRDefault="00D155AA" w:rsidP="00D155AA">
      <w:pPr>
        <w:rPr>
          <w:rFonts w:cstheme="minorHAnsi"/>
          <w:lang w:eastAsia="pl-PL"/>
        </w:rPr>
      </w:pPr>
    </w:p>
    <w:p w14:paraId="6DA14E24" w14:textId="1E6B8389" w:rsidR="008672B2" w:rsidRPr="00655FC7" w:rsidRDefault="008672B2" w:rsidP="00D155AA">
      <w:pPr>
        <w:rPr>
          <w:rFonts w:cstheme="minorHAnsi"/>
          <w:lang w:eastAsia="pl-PL"/>
        </w:rPr>
      </w:pPr>
      <w:r w:rsidRPr="00655FC7">
        <w:rPr>
          <w:rFonts w:cstheme="minorHAnsi"/>
          <w:lang w:eastAsia="pl-PL"/>
        </w:rPr>
        <w:t xml:space="preserve">Na terenie miasta gospodarką ściekową oraz zarządzaniem oczyszczalnią ścieków zajmuje się przedsiębiorstwo Tarnogrodzki Zakład Komunalny Sp. z o.o. Miasto zgłasza potrzebę rozbudowy i modernizacji oczyszczalni ścieków. Ponadto, na terenie występują problemy wynikające z braku pełnego skanalizowania obszaru. Wskazano </w:t>
      </w:r>
      <w:r w:rsidR="00561302" w:rsidRPr="00655FC7">
        <w:rPr>
          <w:rFonts w:cstheme="minorHAnsi"/>
          <w:lang w:eastAsia="pl-PL"/>
        </w:rPr>
        <w:t>m.in. miejscowości Luchów Górny i Luchów Dolny, położone na południowy-zachód od Miasta Tarnogród. Mieszkańcy nieposiadający podłączenia do sieci kanalizacyjnej korzystają ze zbiorników bezodpływowych, które nie zawsze charakteryzują się pełną szczelnością, jednak część korzysta także z przydomowych oczyszczalni ścieków. Zgodnie z prawem mieszkańcy powinni zgłaszać do gminy istniejące zbiorniki bezodpływowe i posiadać stosowną umowę z Tarnogrodzkim Zakładem Komunalnym na odbiór ścieków.</w:t>
      </w:r>
    </w:p>
    <w:p w14:paraId="5F8A16C1" w14:textId="20D2E046" w:rsidR="00D155AA" w:rsidRPr="00655FC7" w:rsidRDefault="006F1E12" w:rsidP="00D155AA">
      <w:pPr>
        <w:rPr>
          <w:rFonts w:cstheme="minorHAnsi"/>
          <w:color w:val="auto"/>
          <w:lang w:eastAsia="pl-PL"/>
        </w:rPr>
      </w:pPr>
      <w:r w:rsidRPr="00655FC7">
        <w:rPr>
          <w:rFonts w:cstheme="minorHAnsi"/>
          <w:color w:val="auto"/>
          <w:lang w:eastAsia="pl-PL"/>
        </w:rPr>
        <w:lastRenderedPageBreak/>
        <w:t>Miasto deklaruje systematyczną rozbudowę sieci kanalizacyjnej w mieście, tak, aby stworzyć możliwość podłączenia do niej jak największej liczby mieszkańców.</w:t>
      </w:r>
    </w:p>
    <w:p w14:paraId="7BE12118" w14:textId="77777777" w:rsidR="006F1E12" w:rsidRPr="00655FC7" w:rsidRDefault="006F1E12" w:rsidP="00D155AA">
      <w:pPr>
        <w:rPr>
          <w:rFonts w:cstheme="minorHAnsi"/>
          <w:lang w:eastAsia="pl-PL"/>
        </w:rPr>
      </w:pPr>
    </w:p>
    <w:p w14:paraId="4F97D27D" w14:textId="77777777" w:rsidR="00D155AA" w:rsidRPr="00655FC7" w:rsidRDefault="00D155AA" w:rsidP="00D155AA">
      <w:pPr>
        <w:pStyle w:val="Nagwek3"/>
      </w:pPr>
      <w:bookmarkStart w:id="117" w:name="_Toc177732048"/>
      <w:r w:rsidRPr="00655FC7">
        <w:t>Sieć deszczowa</w:t>
      </w:r>
      <w:bookmarkEnd w:id="117"/>
    </w:p>
    <w:p w14:paraId="0E72E03A" w14:textId="4AEA3899" w:rsidR="00D155AA" w:rsidRPr="00655FC7" w:rsidRDefault="00D155AA" w:rsidP="00D155AA">
      <w:pPr>
        <w:rPr>
          <w:rFonts w:cstheme="minorHAnsi"/>
          <w:color w:val="auto"/>
          <w:lang w:eastAsia="pl-PL"/>
        </w:rPr>
      </w:pPr>
      <w:r w:rsidRPr="00655FC7">
        <w:rPr>
          <w:rFonts w:cstheme="minorHAnsi"/>
          <w:color w:val="auto"/>
          <w:lang w:eastAsia="pl-PL"/>
        </w:rPr>
        <w:t>Częściowo na terenie miasta istnieje kanalizacja deszczowa.</w:t>
      </w:r>
      <w:r w:rsidR="00F35160" w:rsidRPr="00655FC7">
        <w:rPr>
          <w:rFonts w:cstheme="minorHAnsi"/>
          <w:color w:val="auto"/>
          <w:lang w:eastAsia="pl-PL"/>
        </w:rPr>
        <w:t xml:space="preserve"> Obejmuje ona główne ulice w centrum miasta.</w:t>
      </w:r>
    </w:p>
    <w:p w14:paraId="6810CA3D" w14:textId="0C9FEBCB" w:rsidR="00D155AA" w:rsidRPr="00655FC7" w:rsidRDefault="004F5201" w:rsidP="00D155AA">
      <w:pPr>
        <w:rPr>
          <w:rFonts w:cstheme="minorHAnsi"/>
          <w:lang w:eastAsia="pl-PL"/>
        </w:rPr>
      </w:pPr>
      <w:r w:rsidRPr="00655FC7">
        <w:rPr>
          <w:rFonts w:cstheme="minorHAnsi"/>
          <w:lang w:eastAsia="pl-PL"/>
        </w:rPr>
        <w:t xml:space="preserve">Jesienią 2023 roku zakończony został remont drogi wojewódzkiej nr 835, w wyniku którego do miejskiej sieci deszczowej podłączona została kanalizacja burzowa wzdłuż ul. 1 </w:t>
      </w:r>
      <w:r w:rsidR="00A370B8">
        <w:rPr>
          <w:rFonts w:cstheme="minorHAnsi"/>
          <w:lang w:eastAsia="pl-PL"/>
        </w:rPr>
        <w:t>M</w:t>
      </w:r>
      <w:r w:rsidRPr="00655FC7">
        <w:rPr>
          <w:rFonts w:cstheme="minorHAnsi"/>
          <w:lang w:eastAsia="pl-PL"/>
        </w:rPr>
        <w:t xml:space="preserve">aja. Miasto zgłasza problem w tym zakresie, </w:t>
      </w:r>
      <w:r w:rsidR="001208A4" w:rsidRPr="00655FC7">
        <w:rPr>
          <w:rFonts w:cstheme="minorHAnsi"/>
          <w:lang w:eastAsia="pl-PL"/>
        </w:rPr>
        <w:t>spowodowany przepustowością infrastruktury, który opisany zostanie w rozdziale dotyczącym zagrożeń</w:t>
      </w:r>
      <w:r w:rsidRPr="00655FC7">
        <w:rPr>
          <w:rFonts w:cstheme="minorHAnsi"/>
          <w:lang w:eastAsia="pl-PL"/>
        </w:rPr>
        <w:t>.</w:t>
      </w:r>
    </w:p>
    <w:p w14:paraId="672B76B3" w14:textId="77777777" w:rsidR="00D155AA" w:rsidRPr="00655FC7" w:rsidRDefault="00D155AA" w:rsidP="00D155AA">
      <w:pPr>
        <w:pStyle w:val="Nagwek3"/>
      </w:pPr>
      <w:bookmarkStart w:id="118" w:name="_Toc177732049"/>
      <w:r w:rsidRPr="00655FC7">
        <w:t>Sieć gazownicza</w:t>
      </w:r>
      <w:bookmarkEnd w:id="118"/>
    </w:p>
    <w:p w14:paraId="0975AA7D" w14:textId="3227981B" w:rsidR="00D155AA" w:rsidRPr="00655FC7" w:rsidRDefault="00D155AA" w:rsidP="00D155AA">
      <w:pPr>
        <w:rPr>
          <w:rFonts w:cstheme="minorHAnsi"/>
          <w:lang w:eastAsia="pl-PL"/>
        </w:rPr>
      </w:pPr>
      <w:r w:rsidRPr="00655FC7">
        <w:rPr>
          <w:rFonts w:cstheme="minorHAnsi"/>
          <w:lang w:eastAsia="pl-PL"/>
        </w:rPr>
        <w:t xml:space="preserve">Na terenie Miasta Tarnogród istnieje sieć gazowa o łącznej długości 63 004 m. Ogółem z sieci korzysta 656 odbiorców, a </w:t>
      </w:r>
      <w:r w:rsidRPr="00655FC7">
        <w:rPr>
          <w:rFonts w:cstheme="minorHAnsi"/>
          <w:color w:val="333333"/>
          <w:shd w:val="clear" w:color="auto" w:fill="FFFFFF"/>
        </w:rPr>
        <w:t>262</w:t>
      </w:r>
      <w:r w:rsidRPr="00655FC7">
        <w:rPr>
          <w:rFonts w:cstheme="minorHAnsi"/>
          <w:color w:val="FF0000"/>
          <w:bdr w:val="none" w:sz="0" w:space="0" w:color="auto" w:frame="1"/>
          <w:shd w:val="clear" w:color="auto" w:fill="FFFFFF"/>
          <w:vertAlign w:val="superscript"/>
        </w:rPr>
        <w:t xml:space="preserve"> </w:t>
      </w:r>
      <w:r w:rsidRPr="00655FC7">
        <w:rPr>
          <w:rFonts w:cstheme="minorHAnsi"/>
          <w:lang w:eastAsia="pl-PL"/>
        </w:rPr>
        <w:t>gospodarstwa zużywają gaz na cele grzewcze. Procent ogółu mieszkańców miasta</w:t>
      </w:r>
      <w:r w:rsidR="006073B7">
        <w:rPr>
          <w:rFonts w:cstheme="minorHAnsi"/>
          <w:lang w:eastAsia="pl-PL"/>
        </w:rPr>
        <w:t>,</w:t>
      </w:r>
      <w:r w:rsidRPr="00655FC7">
        <w:rPr>
          <w:rFonts w:cstheme="minorHAnsi"/>
          <w:lang w:eastAsia="pl-PL"/>
        </w:rPr>
        <w:t xml:space="preserve"> jaki korzysta z instalacji gazowej</w:t>
      </w:r>
      <w:r w:rsidR="006073B7">
        <w:rPr>
          <w:rFonts w:cstheme="minorHAnsi"/>
          <w:lang w:eastAsia="pl-PL"/>
        </w:rPr>
        <w:t>,</w:t>
      </w:r>
      <w:r w:rsidRPr="00655FC7">
        <w:rPr>
          <w:rFonts w:cstheme="minorHAnsi"/>
          <w:lang w:eastAsia="pl-PL"/>
        </w:rPr>
        <w:t xml:space="preserve"> to 78,4%.</w:t>
      </w:r>
    </w:p>
    <w:p w14:paraId="021A41C0" w14:textId="77777777" w:rsidR="00D155AA" w:rsidRPr="00655FC7" w:rsidRDefault="00D155AA" w:rsidP="00D155AA">
      <w:pPr>
        <w:rPr>
          <w:rFonts w:cstheme="minorHAnsi"/>
          <w:lang w:eastAsia="pl-PL"/>
        </w:rPr>
      </w:pPr>
    </w:p>
    <w:p w14:paraId="4459090A" w14:textId="129AF796" w:rsidR="00D155AA" w:rsidRPr="00655FC7" w:rsidRDefault="00D155AA" w:rsidP="00D155AA">
      <w:pPr>
        <w:pStyle w:val="Styltabela"/>
        <w:rPr>
          <w:rFonts w:eastAsia="Calibri"/>
        </w:rPr>
      </w:pPr>
      <w:bookmarkStart w:id="119" w:name="_Toc100601256"/>
      <w:bookmarkStart w:id="120" w:name="_Toc178846316"/>
      <w:r w:rsidRPr="00655FC7">
        <w:rPr>
          <w:rFonts w:eastAsiaTheme="minorEastAsia"/>
        </w:rPr>
        <w:t xml:space="preserve">Tabela </w:t>
      </w:r>
      <w:r w:rsidR="00E833A9">
        <w:rPr>
          <w:rFonts w:eastAsiaTheme="minorEastAsia"/>
        </w:rPr>
        <w:fldChar w:fldCharType="begin"/>
      </w:r>
      <w:r w:rsidR="00E833A9">
        <w:rPr>
          <w:rFonts w:eastAsiaTheme="minorEastAsia"/>
        </w:rPr>
        <w:instrText xml:space="preserve"> SEQ Tabela \* ARABIC </w:instrText>
      </w:r>
      <w:r w:rsidR="00E833A9">
        <w:rPr>
          <w:rFonts w:eastAsiaTheme="minorEastAsia"/>
        </w:rPr>
        <w:fldChar w:fldCharType="separate"/>
      </w:r>
      <w:r w:rsidR="00A654D8">
        <w:rPr>
          <w:rFonts w:eastAsiaTheme="minorEastAsia"/>
          <w:noProof/>
        </w:rPr>
        <w:t>10</w:t>
      </w:r>
      <w:r w:rsidR="00E833A9">
        <w:rPr>
          <w:rFonts w:eastAsiaTheme="minorEastAsia"/>
        </w:rPr>
        <w:fldChar w:fldCharType="end"/>
      </w:r>
      <w:r w:rsidRPr="00655FC7">
        <w:rPr>
          <w:rFonts w:eastAsiaTheme="minorEastAsia"/>
        </w:rPr>
        <w:t>.Charakterystyka sieci gazowej (stan na 31.12.2022 r.).</w:t>
      </w:r>
      <w:bookmarkEnd w:id="119"/>
      <w:bookmarkEnd w:id="120"/>
    </w:p>
    <w:tbl>
      <w:tblPr>
        <w:tblStyle w:val="Tabela-MPAaga512"/>
        <w:tblW w:w="9072" w:type="dxa"/>
        <w:jc w:val="center"/>
        <w:tblBorders>
          <w:top w:val="single" w:sz="8" w:space="0" w:color="757918" w:themeColor="accent3" w:themeShade="BF"/>
          <w:left w:val="single" w:sz="8" w:space="0" w:color="757918" w:themeColor="accent3" w:themeShade="BF"/>
          <w:bottom w:val="single" w:sz="8" w:space="0" w:color="757918" w:themeColor="accent3" w:themeShade="BF"/>
          <w:right w:val="single" w:sz="8" w:space="0" w:color="757918" w:themeColor="accent3" w:themeShade="BF"/>
          <w:insideH w:val="single" w:sz="8" w:space="0" w:color="757918" w:themeColor="accent3" w:themeShade="BF"/>
          <w:insideV w:val="single" w:sz="8" w:space="0" w:color="757918" w:themeColor="accent3" w:themeShade="BF"/>
        </w:tblBorders>
        <w:tblLook w:val="04A0" w:firstRow="1" w:lastRow="0" w:firstColumn="1" w:lastColumn="0" w:noHBand="0" w:noVBand="1"/>
      </w:tblPr>
      <w:tblGrid>
        <w:gridCol w:w="516"/>
        <w:gridCol w:w="6255"/>
        <w:gridCol w:w="1049"/>
        <w:gridCol w:w="1252"/>
      </w:tblGrid>
      <w:tr w:rsidR="00D155AA" w:rsidRPr="00655FC7" w14:paraId="13CA4F6B" w14:textId="77777777" w:rsidTr="00827748">
        <w:trPr>
          <w:cnfStyle w:val="100000000000" w:firstRow="1" w:lastRow="0" w:firstColumn="0" w:lastColumn="0" w:oddVBand="0" w:evenVBand="0" w:oddHBand="0" w:evenHBand="0" w:firstRowFirstColumn="0" w:firstRowLastColumn="0" w:lastRowFirstColumn="0" w:lastRowLastColumn="0"/>
          <w:trHeight w:val="340"/>
          <w:tblHeade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9BBB59" w:themeFill="accent6" w:themeFillShade="BF"/>
            <w:vAlign w:val="center"/>
          </w:tcPr>
          <w:p w14:paraId="26BC9782" w14:textId="77777777" w:rsidR="00D155AA" w:rsidRPr="00655FC7" w:rsidRDefault="00D155AA" w:rsidP="00827748">
            <w:pPr>
              <w:spacing w:line="276" w:lineRule="auto"/>
              <w:ind w:firstLine="0"/>
              <w:jc w:val="center"/>
              <w:rPr>
                <w:rFonts w:ascii="Calibri" w:eastAsia="Calibri" w:hAnsi="Calibri" w:cs="Calibri"/>
                <w:bCs w:val="0"/>
                <w:color w:val="auto"/>
                <w:sz w:val="18"/>
                <w:szCs w:val="18"/>
              </w:rPr>
            </w:pPr>
            <w:r w:rsidRPr="00655FC7">
              <w:rPr>
                <w:rFonts w:ascii="Calibri" w:eastAsia="Calibri" w:hAnsi="Calibri" w:cs="Calibri"/>
                <w:bCs w:val="0"/>
                <w:color w:val="auto"/>
                <w:sz w:val="18"/>
                <w:szCs w:val="18"/>
              </w:rPr>
              <w:t>Lp.</w:t>
            </w:r>
          </w:p>
        </w:tc>
        <w:tc>
          <w:tcPr>
            <w:tcW w:w="6255" w:type="dxa"/>
            <w:shd w:val="clear" w:color="auto" w:fill="9BBB59" w:themeFill="accent6" w:themeFillShade="BF"/>
            <w:vAlign w:val="center"/>
          </w:tcPr>
          <w:p w14:paraId="2C0D1CA9" w14:textId="77777777" w:rsidR="00D155AA" w:rsidRPr="00655FC7" w:rsidRDefault="00D155AA" w:rsidP="0082774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Cs w:val="0"/>
                <w:color w:val="auto"/>
                <w:sz w:val="18"/>
                <w:szCs w:val="18"/>
              </w:rPr>
            </w:pPr>
            <w:r w:rsidRPr="00655FC7">
              <w:rPr>
                <w:rFonts w:ascii="Calibri" w:eastAsia="Calibri" w:hAnsi="Calibri" w:cs="Calibri"/>
                <w:bCs w:val="0"/>
                <w:color w:val="auto"/>
                <w:sz w:val="18"/>
                <w:szCs w:val="18"/>
              </w:rPr>
              <w:t>Wskaźnik</w:t>
            </w:r>
          </w:p>
        </w:tc>
        <w:tc>
          <w:tcPr>
            <w:tcW w:w="1049" w:type="dxa"/>
            <w:shd w:val="clear" w:color="auto" w:fill="9BBB59" w:themeFill="accent6" w:themeFillShade="BF"/>
            <w:vAlign w:val="center"/>
          </w:tcPr>
          <w:p w14:paraId="0E114F59" w14:textId="77777777" w:rsidR="00D155AA" w:rsidRPr="00655FC7" w:rsidRDefault="00D155AA" w:rsidP="0082774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Cs w:val="0"/>
                <w:color w:val="auto"/>
                <w:sz w:val="18"/>
                <w:szCs w:val="18"/>
              </w:rPr>
            </w:pPr>
            <w:r w:rsidRPr="00655FC7">
              <w:rPr>
                <w:rFonts w:ascii="Calibri" w:eastAsia="Calibri" w:hAnsi="Calibri" w:cs="Calibri"/>
                <w:bCs w:val="0"/>
                <w:color w:val="auto"/>
                <w:sz w:val="18"/>
                <w:szCs w:val="18"/>
              </w:rPr>
              <w:t>Jednostka</w:t>
            </w:r>
          </w:p>
        </w:tc>
        <w:tc>
          <w:tcPr>
            <w:tcW w:w="1252" w:type="dxa"/>
            <w:shd w:val="clear" w:color="auto" w:fill="9BBB59" w:themeFill="accent6" w:themeFillShade="BF"/>
            <w:vAlign w:val="center"/>
          </w:tcPr>
          <w:p w14:paraId="491DB58A" w14:textId="77777777" w:rsidR="00D155AA" w:rsidRPr="00655FC7" w:rsidRDefault="00D155AA" w:rsidP="0082774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Calibri" w:eastAsia="Calibri" w:hAnsi="Calibri" w:cs="Calibri"/>
                <w:bCs w:val="0"/>
                <w:color w:val="auto"/>
                <w:sz w:val="18"/>
                <w:szCs w:val="18"/>
              </w:rPr>
            </w:pPr>
            <w:r w:rsidRPr="00655FC7">
              <w:rPr>
                <w:rFonts w:ascii="Calibri" w:eastAsia="Calibri" w:hAnsi="Calibri" w:cs="Calibri"/>
                <w:bCs w:val="0"/>
                <w:color w:val="auto"/>
                <w:sz w:val="18"/>
                <w:szCs w:val="18"/>
              </w:rPr>
              <w:t>Wartość</w:t>
            </w:r>
          </w:p>
        </w:tc>
      </w:tr>
      <w:tr w:rsidR="00D155AA" w:rsidRPr="00655FC7" w14:paraId="61D0D97A" w14:textId="77777777" w:rsidTr="00827748">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center"/>
          </w:tcPr>
          <w:p w14:paraId="53557F02" w14:textId="77777777" w:rsidR="00D155AA" w:rsidRPr="00655FC7" w:rsidRDefault="00D155AA" w:rsidP="00827748">
            <w:pPr>
              <w:spacing w:line="276" w:lineRule="auto"/>
              <w:ind w:firstLine="0"/>
              <w:jc w:val="center"/>
              <w:rPr>
                <w:rFonts w:ascii="Calibri" w:eastAsia="Calibri" w:hAnsi="Calibri" w:cs="Calibri"/>
                <w:b w:val="0"/>
                <w:color w:val="auto"/>
                <w:sz w:val="18"/>
                <w:szCs w:val="18"/>
              </w:rPr>
            </w:pPr>
            <w:r w:rsidRPr="00655FC7">
              <w:rPr>
                <w:rFonts w:ascii="Calibri" w:eastAsia="Calibri" w:hAnsi="Calibri" w:cs="Calibri"/>
                <w:b w:val="0"/>
                <w:color w:val="auto"/>
                <w:sz w:val="18"/>
                <w:szCs w:val="18"/>
              </w:rPr>
              <w:t>1.</w:t>
            </w:r>
          </w:p>
        </w:tc>
        <w:tc>
          <w:tcPr>
            <w:tcW w:w="6255" w:type="dxa"/>
            <w:shd w:val="clear" w:color="auto" w:fill="FFFFFF" w:themeFill="background1"/>
            <w:vAlign w:val="center"/>
          </w:tcPr>
          <w:p w14:paraId="11F63FFA"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sz w:val="18"/>
                <w:szCs w:val="18"/>
              </w:rPr>
            </w:pPr>
            <w:r w:rsidRPr="00655FC7">
              <w:rPr>
                <w:rFonts w:ascii="Calibri" w:hAnsi="Calibri" w:cs="Calibri"/>
                <w:bCs/>
                <w:color w:val="000000"/>
                <w:sz w:val="18"/>
                <w:szCs w:val="18"/>
              </w:rPr>
              <w:t>Długość czynnej sieci ogółem</w:t>
            </w:r>
          </w:p>
        </w:tc>
        <w:tc>
          <w:tcPr>
            <w:tcW w:w="1049" w:type="dxa"/>
            <w:shd w:val="clear" w:color="auto" w:fill="FFFFFF" w:themeFill="background1"/>
            <w:vAlign w:val="center"/>
          </w:tcPr>
          <w:p w14:paraId="2F0121E7"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sz w:val="18"/>
                <w:szCs w:val="18"/>
              </w:rPr>
            </w:pPr>
            <w:r w:rsidRPr="00655FC7">
              <w:rPr>
                <w:rFonts w:ascii="Calibri" w:hAnsi="Calibri" w:cs="Calibri"/>
                <w:bCs/>
                <w:color w:val="000000"/>
                <w:sz w:val="18"/>
                <w:szCs w:val="18"/>
              </w:rPr>
              <w:t>m</w:t>
            </w:r>
          </w:p>
        </w:tc>
        <w:tc>
          <w:tcPr>
            <w:tcW w:w="1252" w:type="dxa"/>
            <w:shd w:val="clear" w:color="auto" w:fill="FFFFFF" w:themeFill="background1"/>
            <w:vAlign w:val="center"/>
          </w:tcPr>
          <w:p w14:paraId="597E6AB7"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sz w:val="18"/>
                <w:szCs w:val="18"/>
              </w:rPr>
            </w:pPr>
            <w:r w:rsidRPr="00655FC7">
              <w:rPr>
                <w:sz w:val="18"/>
                <w:szCs w:val="18"/>
              </w:rPr>
              <w:t>63 004</w:t>
            </w:r>
          </w:p>
        </w:tc>
      </w:tr>
      <w:tr w:rsidR="00D155AA" w:rsidRPr="00655FC7" w14:paraId="7BFA5A5C" w14:textId="77777777" w:rsidTr="00827748">
        <w:trPr>
          <w:trHeight w:val="283"/>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center"/>
          </w:tcPr>
          <w:p w14:paraId="243405D9" w14:textId="77777777" w:rsidR="00D155AA" w:rsidRPr="00655FC7" w:rsidRDefault="00D155AA" w:rsidP="00827748">
            <w:pPr>
              <w:spacing w:line="276" w:lineRule="auto"/>
              <w:ind w:firstLine="0"/>
              <w:jc w:val="center"/>
              <w:rPr>
                <w:rFonts w:ascii="Calibri" w:eastAsia="Calibri" w:hAnsi="Calibri" w:cs="Calibri"/>
                <w:b w:val="0"/>
                <w:color w:val="auto"/>
                <w:sz w:val="18"/>
                <w:szCs w:val="18"/>
              </w:rPr>
            </w:pPr>
            <w:r w:rsidRPr="00655FC7">
              <w:rPr>
                <w:rFonts w:ascii="Calibri" w:eastAsia="Calibri" w:hAnsi="Calibri" w:cs="Calibri"/>
                <w:b w:val="0"/>
                <w:color w:val="auto"/>
                <w:sz w:val="18"/>
                <w:szCs w:val="18"/>
              </w:rPr>
              <w:t>2.</w:t>
            </w:r>
          </w:p>
        </w:tc>
        <w:tc>
          <w:tcPr>
            <w:tcW w:w="6255" w:type="dxa"/>
            <w:shd w:val="clear" w:color="auto" w:fill="FFFFFF" w:themeFill="background1"/>
            <w:vAlign w:val="center"/>
          </w:tcPr>
          <w:p w14:paraId="7AD11837"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sz w:val="18"/>
                <w:szCs w:val="18"/>
              </w:rPr>
            </w:pPr>
            <w:r w:rsidRPr="00655FC7">
              <w:rPr>
                <w:rFonts w:ascii="Calibri" w:hAnsi="Calibri" w:cs="Calibri"/>
                <w:bCs/>
                <w:color w:val="000000"/>
                <w:sz w:val="18"/>
                <w:szCs w:val="18"/>
              </w:rPr>
              <w:t>Długość czynnej sieci ogółem w km na 100 km</w:t>
            </w:r>
            <w:r w:rsidRPr="00655FC7">
              <w:rPr>
                <w:rFonts w:ascii="Calibri" w:hAnsi="Calibri" w:cs="Calibri"/>
                <w:bCs/>
                <w:color w:val="000000"/>
                <w:sz w:val="18"/>
                <w:szCs w:val="18"/>
                <w:vertAlign w:val="superscript"/>
              </w:rPr>
              <w:t>2</w:t>
            </w:r>
          </w:p>
        </w:tc>
        <w:tc>
          <w:tcPr>
            <w:tcW w:w="1049" w:type="dxa"/>
            <w:shd w:val="clear" w:color="auto" w:fill="FFFFFF" w:themeFill="background1"/>
            <w:vAlign w:val="center"/>
          </w:tcPr>
          <w:p w14:paraId="429AF3A3"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sz w:val="18"/>
                <w:szCs w:val="18"/>
              </w:rPr>
            </w:pPr>
            <w:r w:rsidRPr="00655FC7">
              <w:rPr>
                <w:rFonts w:ascii="Calibri" w:hAnsi="Calibri" w:cs="Calibri"/>
                <w:bCs/>
                <w:color w:val="000000"/>
                <w:sz w:val="18"/>
                <w:szCs w:val="18"/>
              </w:rPr>
              <w:t>-</w:t>
            </w:r>
          </w:p>
        </w:tc>
        <w:tc>
          <w:tcPr>
            <w:tcW w:w="1252" w:type="dxa"/>
            <w:shd w:val="clear" w:color="auto" w:fill="FFFFFF" w:themeFill="background1"/>
            <w:vAlign w:val="center"/>
          </w:tcPr>
          <w:p w14:paraId="4D817F38"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sz w:val="18"/>
                <w:szCs w:val="18"/>
              </w:rPr>
            </w:pPr>
            <w:r w:rsidRPr="00655FC7">
              <w:rPr>
                <w:sz w:val="18"/>
                <w:szCs w:val="18"/>
              </w:rPr>
              <w:t>589,4</w:t>
            </w:r>
          </w:p>
        </w:tc>
      </w:tr>
      <w:tr w:rsidR="00D155AA" w:rsidRPr="00655FC7" w14:paraId="476AF94F" w14:textId="77777777" w:rsidTr="00827748">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center"/>
          </w:tcPr>
          <w:p w14:paraId="4E698584" w14:textId="77777777" w:rsidR="00D155AA" w:rsidRPr="00655FC7" w:rsidRDefault="00D155AA" w:rsidP="00827748">
            <w:pPr>
              <w:spacing w:line="276" w:lineRule="auto"/>
              <w:ind w:firstLine="0"/>
              <w:jc w:val="center"/>
              <w:rPr>
                <w:rFonts w:ascii="Calibri" w:eastAsia="Calibri" w:hAnsi="Calibri" w:cs="Calibri"/>
                <w:b w:val="0"/>
                <w:color w:val="auto"/>
                <w:sz w:val="18"/>
                <w:szCs w:val="18"/>
              </w:rPr>
            </w:pPr>
            <w:r w:rsidRPr="00655FC7">
              <w:rPr>
                <w:rFonts w:ascii="Calibri" w:eastAsia="Calibri" w:hAnsi="Calibri" w:cs="Calibri"/>
                <w:b w:val="0"/>
                <w:color w:val="auto"/>
                <w:sz w:val="18"/>
                <w:szCs w:val="18"/>
              </w:rPr>
              <w:t>3.</w:t>
            </w:r>
          </w:p>
        </w:tc>
        <w:tc>
          <w:tcPr>
            <w:tcW w:w="6255" w:type="dxa"/>
            <w:shd w:val="clear" w:color="auto" w:fill="FFFFFF" w:themeFill="background1"/>
            <w:vAlign w:val="center"/>
          </w:tcPr>
          <w:p w14:paraId="4133E9CD"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sz w:val="18"/>
                <w:szCs w:val="18"/>
              </w:rPr>
            </w:pPr>
            <w:r w:rsidRPr="00655FC7">
              <w:rPr>
                <w:rFonts w:ascii="Calibri" w:hAnsi="Calibri" w:cs="Calibri"/>
                <w:bCs/>
                <w:color w:val="000000"/>
                <w:sz w:val="18"/>
                <w:szCs w:val="18"/>
              </w:rPr>
              <w:t>Czynne przyłącza do budynków ogółem (mieszkalnych i niemieszkalnych)</w:t>
            </w:r>
          </w:p>
        </w:tc>
        <w:tc>
          <w:tcPr>
            <w:tcW w:w="1049" w:type="dxa"/>
            <w:shd w:val="clear" w:color="auto" w:fill="FFFFFF" w:themeFill="background1"/>
            <w:vAlign w:val="center"/>
          </w:tcPr>
          <w:p w14:paraId="7F9D36EF"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sz w:val="18"/>
                <w:szCs w:val="18"/>
              </w:rPr>
            </w:pPr>
            <w:r w:rsidRPr="00655FC7">
              <w:rPr>
                <w:rFonts w:ascii="Calibri" w:hAnsi="Calibri" w:cs="Calibri"/>
                <w:bCs/>
                <w:color w:val="000000"/>
                <w:sz w:val="18"/>
                <w:szCs w:val="18"/>
              </w:rPr>
              <w:t>szt.</w:t>
            </w:r>
          </w:p>
        </w:tc>
        <w:tc>
          <w:tcPr>
            <w:tcW w:w="1252" w:type="dxa"/>
            <w:shd w:val="clear" w:color="auto" w:fill="FFFFFF" w:themeFill="background1"/>
            <w:vAlign w:val="center"/>
          </w:tcPr>
          <w:p w14:paraId="4D516A61"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sz w:val="18"/>
                <w:szCs w:val="18"/>
              </w:rPr>
            </w:pPr>
            <w:r w:rsidRPr="00655FC7">
              <w:rPr>
                <w:sz w:val="18"/>
                <w:szCs w:val="18"/>
              </w:rPr>
              <w:t>702</w:t>
            </w:r>
          </w:p>
        </w:tc>
      </w:tr>
      <w:tr w:rsidR="00D155AA" w:rsidRPr="00655FC7" w14:paraId="0D489319" w14:textId="77777777" w:rsidTr="00827748">
        <w:trPr>
          <w:trHeight w:val="283"/>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center"/>
          </w:tcPr>
          <w:p w14:paraId="6DEB1F04" w14:textId="77777777" w:rsidR="00D155AA" w:rsidRPr="00655FC7" w:rsidRDefault="00D155AA" w:rsidP="00827748">
            <w:pPr>
              <w:spacing w:line="276" w:lineRule="auto"/>
              <w:ind w:firstLine="0"/>
              <w:jc w:val="center"/>
              <w:rPr>
                <w:rFonts w:ascii="Calibri" w:eastAsia="Calibri" w:hAnsi="Calibri" w:cs="Calibri"/>
                <w:b w:val="0"/>
                <w:color w:val="auto"/>
                <w:sz w:val="18"/>
                <w:szCs w:val="18"/>
              </w:rPr>
            </w:pPr>
            <w:r w:rsidRPr="00655FC7">
              <w:rPr>
                <w:rFonts w:ascii="Calibri" w:eastAsia="Calibri" w:hAnsi="Calibri" w:cs="Calibri"/>
                <w:b w:val="0"/>
                <w:color w:val="auto"/>
                <w:sz w:val="18"/>
                <w:szCs w:val="18"/>
              </w:rPr>
              <w:t>4.</w:t>
            </w:r>
          </w:p>
        </w:tc>
        <w:tc>
          <w:tcPr>
            <w:tcW w:w="6255" w:type="dxa"/>
            <w:shd w:val="clear" w:color="auto" w:fill="FFFFFF" w:themeFill="background1"/>
            <w:vAlign w:val="center"/>
          </w:tcPr>
          <w:p w14:paraId="7011DC0E"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sz w:val="18"/>
                <w:szCs w:val="18"/>
              </w:rPr>
            </w:pPr>
            <w:r w:rsidRPr="00655FC7">
              <w:rPr>
                <w:rFonts w:ascii="Calibri" w:hAnsi="Calibri" w:cs="Calibri"/>
                <w:bCs/>
                <w:color w:val="000000"/>
                <w:sz w:val="18"/>
                <w:szCs w:val="18"/>
              </w:rPr>
              <w:t>Czynne przyłącza do budynków mieszkalnych</w:t>
            </w:r>
          </w:p>
        </w:tc>
        <w:tc>
          <w:tcPr>
            <w:tcW w:w="1049" w:type="dxa"/>
            <w:shd w:val="clear" w:color="auto" w:fill="FFFFFF" w:themeFill="background1"/>
            <w:vAlign w:val="center"/>
          </w:tcPr>
          <w:p w14:paraId="7833EBCF"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sz w:val="18"/>
                <w:szCs w:val="18"/>
              </w:rPr>
            </w:pPr>
            <w:r w:rsidRPr="00655FC7">
              <w:rPr>
                <w:rFonts w:ascii="Calibri" w:hAnsi="Calibri" w:cs="Calibri"/>
                <w:bCs/>
                <w:color w:val="000000"/>
                <w:sz w:val="18"/>
                <w:szCs w:val="18"/>
              </w:rPr>
              <w:t>szt.</w:t>
            </w:r>
          </w:p>
        </w:tc>
        <w:tc>
          <w:tcPr>
            <w:tcW w:w="1252" w:type="dxa"/>
            <w:shd w:val="clear" w:color="auto" w:fill="FFFFFF" w:themeFill="background1"/>
            <w:vAlign w:val="center"/>
          </w:tcPr>
          <w:p w14:paraId="7AEA6599"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sz w:val="18"/>
                <w:szCs w:val="18"/>
              </w:rPr>
            </w:pPr>
            <w:r w:rsidRPr="00655FC7">
              <w:rPr>
                <w:sz w:val="18"/>
                <w:szCs w:val="18"/>
              </w:rPr>
              <w:t>617</w:t>
            </w:r>
          </w:p>
        </w:tc>
      </w:tr>
      <w:tr w:rsidR="00D155AA" w:rsidRPr="00655FC7" w14:paraId="5C20A30D" w14:textId="77777777" w:rsidTr="00827748">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center"/>
          </w:tcPr>
          <w:p w14:paraId="343FEAF1" w14:textId="77777777" w:rsidR="00D155AA" w:rsidRPr="00655FC7" w:rsidRDefault="00D155AA" w:rsidP="00827748">
            <w:pPr>
              <w:ind w:firstLine="0"/>
              <w:jc w:val="center"/>
              <w:rPr>
                <w:rFonts w:ascii="Calibri" w:eastAsia="Calibri" w:hAnsi="Calibri" w:cs="Calibri"/>
                <w:b w:val="0"/>
                <w:color w:val="auto"/>
                <w:sz w:val="18"/>
                <w:szCs w:val="18"/>
              </w:rPr>
            </w:pPr>
            <w:r w:rsidRPr="00655FC7">
              <w:rPr>
                <w:rFonts w:ascii="Calibri" w:eastAsia="Calibri" w:hAnsi="Calibri" w:cs="Calibri"/>
                <w:b w:val="0"/>
                <w:color w:val="auto"/>
                <w:sz w:val="18"/>
                <w:szCs w:val="18"/>
              </w:rPr>
              <w:t>5.</w:t>
            </w:r>
          </w:p>
        </w:tc>
        <w:tc>
          <w:tcPr>
            <w:tcW w:w="6255" w:type="dxa"/>
            <w:shd w:val="clear" w:color="auto" w:fill="FFFFFF" w:themeFill="background1"/>
            <w:vAlign w:val="center"/>
          </w:tcPr>
          <w:p w14:paraId="1324F69F"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sz w:val="18"/>
                <w:szCs w:val="18"/>
              </w:rPr>
            </w:pPr>
            <w:r w:rsidRPr="00655FC7">
              <w:rPr>
                <w:rFonts w:ascii="Calibri" w:hAnsi="Calibri" w:cs="Calibri"/>
                <w:bCs/>
                <w:color w:val="000000"/>
                <w:sz w:val="18"/>
                <w:szCs w:val="18"/>
              </w:rPr>
              <w:t>Odbiorcy gazu</w:t>
            </w:r>
          </w:p>
        </w:tc>
        <w:tc>
          <w:tcPr>
            <w:tcW w:w="1049" w:type="dxa"/>
            <w:shd w:val="clear" w:color="auto" w:fill="FFFFFF" w:themeFill="background1"/>
            <w:vAlign w:val="center"/>
          </w:tcPr>
          <w:p w14:paraId="0C15E7CA"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sz w:val="18"/>
                <w:szCs w:val="18"/>
              </w:rPr>
            </w:pPr>
            <w:r w:rsidRPr="00655FC7">
              <w:rPr>
                <w:rFonts w:ascii="Calibri" w:hAnsi="Calibri" w:cs="Calibri"/>
                <w:bCs/>
                <w:color w:val="000000"/>
                <w:sz w:val="18"/>
                <w:szCs w:val="18"/>
              </w:rPr>
              <w:t>gosp.</w:t>
            </w:r>
          </w:p>
        </w:tc>
        <w:tc>
          <w:tcPr>
            <w:tcW w:w="1252" w:type="dxa"/>
            <w:shd w:val="clear" w:color="auto" w:fill="FFFFFF" w:themeFill="background1"/>
            <w:vAlign w:val="center"/>
          </w:tcPr>
          <w:p w14:paraId="3F69E26F"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sz w:val="18"/>
                <w:szCs w:val="18"/>
              </w:rPr>
            </w:pPr>
            <w:r w:rsidRPr="00655FC7">
              <w:rPr>
                <w:sz w:val="18"/>
                <w:szCs w:val="18"/>
              </w:rPr>
              <w:t>656</w:t>
            </w:r>
          </w:p>
        </w:tc>
      </w:tr>
      <w:tr w:rsidR="00D155AA" w:rsidRPr="00655FC7" w14:paraId="63552FAF" w14:textId="77777777" w:rsidTr="00827748">
        <w:trPr>
          <w:trHeight w:val="283"/>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center"/>
          </w:tcPr>
          <w:p w14:paraId="6B1C04AF" w14:textId="77777777" w:rsidR="00D155AA" w:rsidRPr="00655FC7" w:rsidRDefault="00D155AA" w:rsidP="00827748">
            <w:pPr>
              <w:ind w:firstLine="0"/>
              <w:jc w:val="center"/>
              <w:rPr>
                <w:rFonts w:ascii="Calibri" w:eastAsia="Calibri" w:hAnsi="Calibri" w:cs="Calibri"/>
                <w:b w:val="0"/>
                <w:color w:val="auto"/>
                <w:sz w:val="18"/>
                <w:szCs w:val="18"/>
              </w:rPr>
            </w:pPr>
            <w:r w:rsidRPr="00655FC7">
              <w:rPr>
                <w:rFonts w:ascii="Calibri" w:eastAsia="Calibri" w:hAnsi="Calibri" w:cs="Calibri"/>
                <w:b w:val="0"/>
                <w:color w:val="auto"/>
                <w:sz w:val="18"/>
                <w:szCs w:val="18"/>
              </w:rPr>
              <w:t>6.</w:t>
            </w:r>
          </w:p>
        </w:tc>
        <w:tc>
          <w:tcPr>
            <w:tcW w:w="6255" w:type="dxa"/>
            <w:shd w:val="clear" w:color="auto" w:fill="FFFFFF" w:themeFill="background1"/>
            <w:vAlign w:val="center"/>
          </w:tcPr>
          <w:p w14:paraId="2CEC9B0C"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sz w:val="18"/>
                <w:szCs w:val="18"/>
              </w:rPr>
            </w:pPr>
            <w:r w:rsidRPr="00655FC7">
              <w:rPr>
                <w:rFonts w:ascii="Calibri" w:hAnsi="Calibri" w:cs="Calibri"/>
                <w:bCs/>
                <w:color w:val="000000"/>
                <w:sz w:val="18"/>
                <w:szCs w:val="18"/>
              </w:rPr>
              <w:t>Odbiorcy gazu ogrzewający mieszkania gazem</w:t>
            </w:r>
          </w:p>
        </w:tc>
        <w:tc>
          <w:tcPr>
            <w:tcW w:w="1049" w:type="dxa"/>
            <w:shd w:val="clear" w:color="auto" w:fill="FFFFFF" w:themeFill="background1"/>
            <w:vAlign w:val="center"/>
          </w:tcPr>
          <w:p w14:paraId="0C04DD60"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sz w:val="18"/>
                <w:szCs w:val="18"/>
              </w:rPr>
            </w:pPr>
            <w:r w:rsidRPr="00655FC7">
              <w:rPr>
                <w:rFonts w:ascii="Calibri" w:hAnsi="Calibri" w:cs="Calibri"/>
                <w:bCs/>
                <w:color w:val="000000"/>
                <w:sz w:val="18"/>
                <w:szCs w:val="18"/>
              </w:rPr>
              <w:t>gosp.</w:t>
            </w:r>
          </w:p>
        </w:tc>
        <w:tc>
          <w:tcPr>
            <w:tcW w:w="1252" w:type="dxa"/>
            <w:shd w:val="clear" w:color="auto" w:fill="FFFFFF" w:themeFill="background1"/>
            <w:vAlign w:val="center"/>
          </w:tcPr>
          <w:p w14:paraId="31AD6053"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sz w:val="18"/>
                <w:szCs w:val="18"/>
              </w:rPr>
            </w:pPr>
            <w:r w:rsidRPr="00655FC7">
              <w:rPr>
                <w:sz w:val="18"/>
                <w:szCs w:val="18"/>
              </w:rPr>
              <w:t>262</w:t>
            </w:r>
          </w:p>
        </w:tc>
      </w:tr>
      <w:tr w:rsidR="00D155AA" w:rsidRPr="00655FC7" w14:paraId="650A3A0A" w14:textId="77777777" w:rsidTr="00827748">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center"/>
          </w:tcPr>
          <w:p w14:paraId="56133D1E" w14:textId="77777777" w:rsidR="00D155AA" w:rsidRPr="00655FC7" w:rsidRDefault="00D155AA" w:rsidP="00827748">
            <w:pPr>
              <w:ind w:firstLine="0"/>
              <w:jc w:val="center"/>
              <w:rPr>
                <w:rFonts w:ascii="Calibri" w:eastAsia="Calibri" w:hAnsi="Calibri" w:cs="Calibri"/>
                <w:b w:val="0"/>
                <w:color w:val="auto"/>
                <w:sz w:val="18"/>
                <w:szCs w:val="18"/>
              </w:rPr>
            </w:pPr>
            <w:r w:rsidRPr="00655FC7">
              <w:rPr>
                <w:rFonts w:ascii="Calibri" w:eastAsia="Calibri" w:hAnsi="Calibri" w:cs="Calibri"/>
                <w:b w:val="0"/>
                <w:color w:val="auto"/>
                <w:sz w:val="18"/>
                <w:szCs w:val="18"/>
              </w:rPr>
              <w:t>7.</w:t>
            </w:r>
          </w:p>
        </w:tc>
        <w:tc>
          <w:tcPr>
            <w:tcW w:w="6255" w:type="dxa"/>
            <w:shd w:val="clear" w:color="auto" w:fill="FFFFFF" w:themeFill="background1"/>
            <w:vAlign w:val="center"/>
          </w:tcPr>
          <w:p w14:paraId="3B1C7AFF"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sz w:val="18"/>
                <w:szCs w:val="18"/>
              </w:rPr>
            </w:pPr>
            <w:r w:rsidRPr="00655FC7">
              <w:rPr>
                <w:rFonts w:ascii="Calibri" w:hAnsi="Calibri" w:cs="Calibri"/>
                <w:bCs/>
                <w:color w:val="000000"/>
                <w:sz w:val="18"/>
                <w:szCs w:val="18"/>
              </w:rPr>
              <w:t>Korzystający z instalacji w % ogółu ludności</w:t>
            </w:r>
          </w:p>
        </w:tc>
        <w:tc>
          <w:tcPr>
            <w:tcW w:w="1049" w:type="dxa"/>
            <w:shd w:val="clear" w:color="auto" w:fill="FFFFFF" w:themeFill="background1"/>
            <w:vAlign w:val="center"/>
          </w:tcPr>
          <w:p w14:paraId="4EA74CF9"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color w:val="000000"/>
                <w:sz w:val="18"/>
                <w:szCs w:val="18"/>
              </w:rPr>
            </w:pPr>
            <w:r w:rsidRPr="00655FC7">
              <w:rPr>
                <w:rFonts w:ascii="Calibri" w:hAnsi="Calibri" w:cs="Calibri"/>
                <w:bCs/>
                <w:color w:val="000000"/>
                <w:sz w:val="18"/>
                <w:szCs w:val="18"/>
              </w:rPr>
              <w:t>%</w:t>
            </w:r>
          </w:p>
        </w:tc>
        <w:tc>
          <w:tcPr>
            <w:tcW w:w="1252" w:type="dxa"/>
            <w:shd w:val="clear" w:color="auto" w:fill="FFFFFF" w:themeFill="background1"/>
            <w:vAlign w:val="center"/>
          </w:tcPr>
          <w:p w14:paraId="0340B91D"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Cs/>
                <w:sz w:val="18"/>
                <w:szCs w:val="18"/>
              </w:rPr>
            </w:pPr>
            <w:r w:rsidRPr="00655FC7">
              <w:rPr>
                <w:sz w:val="18"/>
                <w:szCs w:val="18"/>
              </w:rPr>
              <w:t>78,4</w:t>
            </w:r>
          </w:p>
        </w:tc>
      </w:tr>
      <w:tr w:rsidR="00D155AA" w:rsidRPr="00655FC7" w14:paraId="0A0038BC" w14:textId="77777777" w:rsidTr="00827748">
        <w:trPr>
          <w:trHeight w:val="283"/>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center"/>
          </w:tcPr>
          <w:p w14:paraId="54618DCA" w14:textId="77777777" w:rsidR="00D155AA" w:rsidRPr="00655FC7" w:rsidRDefault="00D155AA" w:rsidP="00827748">
            <w:pPr>
              <w:ind w:firstLine="0"/>
              <w:jc w:val="center"/>
              <w:rPr>
                <w:rFonts w:ascii="Calibri" w:eastAsia="Calibri" w:hAnsi="Calibri" w:cs="Calibri"/>
                <w:b w:val="0"/>
                <w:color w:val="auto"/>
                <w:sz w:val="18"/>
                <w:szCs w:val="18"/>
              </w:rPr>
            </w:pPr>
            <w:r w:rsidRPr="00655FC7">
              <w:rPr>
                <w:rFonts w:ascii="Calibri" w:eastAsia="Calibri" w:hAnsi="Calibri" w:cs="Calibri"/>
                <w:b w:val="0"/>
                <w:color w:val="auto"/>
                <w:sz w:val="18"/>
                <w:szCs w:val="18"/>
              </w:rPr>
              <w:t>8.</w:t>
            </w:r>
          </w:p>
        </w:tc>
        <w:tc>
          <w:tcPr>
            <w:tcW w:w="6255" w:type="dxa"/>
            <w:shd w:val="clear" w:color="auto" w:fill="FFFFFF" w:themeFill="background1"/>
            <w:vAlign w:val="center"/>
          </w:tcPr>
          <w:p w14:paraId="3D896E67"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sz w:val="18"/>
                <w:szCs w:val="18"/>
              </w:rPr>
            </w:pPr>
            <w:r w:rsidRPr="00655FC7">
              <w:rPr>
                <w:rFonts w:ascii="Calibri" w:hAnsi="Calibri" w:cs="Calibri"/>
                <w:bCs/>
                <w:color w:val="000000"/>
                <w:sz w:val="18"/>
                <w:szCs w:val="18"/>
              </w:rPr>
              <w:t>Zużycie gazu na ogrzewanie mieszkań</w:t>
            </w:r>
          </w:p>
        </w:tc>
        <w:tc>
          <w:tcPr>
            <w:tcW w:w="1049" w:type="dxa"/>
            <w:shd w:val="clear" w:color="auto" w:fill="FFFFFF" w:themeFill="background1"/>
            <w:vAlign w:val="center"/>
          </w:tcPr>
          <w:p w14:paraId="5C5D2E19"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sz w:val="18"/>
                <w:szCs w:val="18"/>
              </w:rPr>
            </w:pPr>
            <w:r w:rsidRPr="00655FC7">
              <w:rPr>
                <w:rFonts w:ascii="Calibri" w:hAnsi="Calibri" w:cs="Calibri"/>
                <w:bCs/>
                <w:color w:val="000000"/>
                <w:sz w:val="18"/>
                <w:szCs w:val="18"/>
              </w:rPr>
              <w:t>MWh</w:t>
            </w:r>
          </w:p>
        </w:tc>
        <w:tc>
          <w:tcPr>
            <w:tcW w:w="1252" w:type="dxa"/>
            <w:shd w:val="clear" w:color="auto" w:fill="FFFFFF" w:themeFill="background1"/>
            <w:vAlign w:val="center"/>
          </w:tcPr>
          <w:p w14:paraId="7DBE5643"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bCs/>
                <w:color w:val="000000"/>
                <w:sz w:val="18"/>
                <w:szCs w:val="18"/>
              </w:rPr>
            </w:pPr>
            <w:r w:rsidRPr="00655FC7">
              <w:rPr>
                <w:sz w:val="18"/>
                <w:szCs w:val="18"/>
              </w:rPr>
              <w:t>2 159</w:t>
            </w:r>
          </w:p>
        </w:tc>
      </w:tr>
    </w:tbl>
    <w:p w14:paraId="458D4975" w14:textId="77777777" w:rsidR="00D155AA" w:rsidRPr="00655FC7" w:rsidRDefault="00D155AA" w:rsidP="00D155AA">
      <w:pPr>
        <w:pStyle w:val="Cytat"/>
      </w:pPr>
      <w:r w:rsidRPr="00655FC7">
        <w:t>źródło: GUS BDL</w:t>
      </w:r>
    </w:p>
    <w:p w14:paraId="5847DA14" w14:textId="77777777" w:rsidR="00D155AA" w:rsidRPr="00655FC7" w:rsidRDefault="00D155AA" w:rsidP="00D155AA">
      <w:pPr>
        <w:rPr>
          <w:rFonts w:cstheme="minorHAnsi"/>
        </w:rPr>
      </w:pPr>
    </w:p>
    <w:p w14:paraId="57862388" w14:textId="77777777" w:rsidR="00D155AA" w:rsidRPr="00655FC7" w:rsidRDefault="00D155AA" w:rsidP="00D155AA">
      <w:pPr>
        <w:rPr>
          <w:lang w:eastAsia="pl-PL"/>
        </w:rPr>
      </w:pPr>
      <w:r w:rsidRPr="00655FC7">
        <w:rPr>
          <w:lang w:eastAsia="pl-PL"/>
        </w:rPr>
        <w:t>Na poniższym rysunku zaprezentowano zużycie gazu na terenie Miasta Tarnogród pomiędzy 2014 a 2022 rokiem (rysunek poniżej). Można zauważyć, że po 2014 roku spadło zużycie gazu zarówno na jednego mieszkańca jak i jednego korzystającego. Zużycie gazu na jednego korzystającego (dane dla gazu za jednego mieszkańca dla roku 2020 niedostępne) w latach 2015-2022 utrzymywało się na poziomie ok. 2 280 kWh.</w:t>
      </w:r>
    </w:p>
    <w:p w14:paraId="500DF252" w14:textId="77777777" w:rsidR="00D155AA" w:rsidRPr="00655FC7" w:rsidRDefault="00D155AA" w:rsidP="00D155AA">
      <w:pPr>
        <w:ind w:left="-142"/>
        <w:contextualSpacing/>
        <w:rPr>
          <w:rFonts w:cstheme="minorHAnsi"/>
          <w:color w:val="auto"/>
          <w:lang w:eastAsia="pl-PL"/>
        </w:rPr>
      </w:pPr>
    </w:p>
    <w:p w14:paraId="42160C6E" w14:textId="77777777" w:rsidR="00D155AA" w:rsidRPr="00655FC7" w:rsidRDefault="00D155AA" w:rsidP="00D155AA">
      <w:pPr>
        <w:ind w:firstLine="0"/>
        <w:contextualSpacing/>
        <w:rPr>
          <w:rFonts w:cstheme="minorHAnsi"/>
          <w:color w:val="auto"/>
          <w:lang w:eastAsia="pl-PL"/>
        </w:rPr>
      </w:pPr>
      <w:r w:rsidRPr="00655FC7">
        <w:rPr>
          <w:noProof/>
        </w:rPr>
        <w:lastRenderedPageBreak/>
        <w:drawing>
          <wp:inline distT="0" distB="0" distL="0" distR="0" wp14:anchorId="48065D33" wp14:editId="3732492A">
            <wp:extent cx="5759450" cy="2880000"/>
            <wp:effectExtent l="0" t="0" r="12700" b="15875"/>
            <wp:docPr id="564666755" name="Wykres 1">
              <a:extLst xmlns:a="http://schemas.openxmlformats.org/drawingml/2006/main">
                <a:ext uri="{FF2B5EF4-FFF2-40B4-BE49-F238E27FC236}">
                  <a16:creationId xmlns:a16="http://schemas.microsoft.com/office/drawing/2014/main" id="{7A47CB8B-9C8D-AC82-148D-A2857CDFAB0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62E7AD3A" w14:textId="101E7861" w:rsidR="00D155AA" w:rsidRPr="00655FC7" w:rsidRDefault="00D155AA" w:rsidP="00D155AA">
      <w:pPr>
        <w:pStyle w:val="Stylrysunek"/>
      </w:pPr>
      <w:bookmarkStart w:id="121" w:name="_Toc133572239"/>
      <w:bookmarkStart w:id="122" w:name="_Toc178846364"/>
      <w:r w:rsidRPr="00655FC7">
        <w:t xml:space="preserve">Rysunek </w:t>
      </w:r>
      <w:r w:rsidR="00EA4C85">
        <w:fldChar w:fldCharType="begin"/>
      </w:r>
      <w:r w:rsidR="00EA4C85">
        <w:instrText xml:space="preserve"> SEQ Rysunek \* ARABIC </w:instrText>
      </w:r>
      <w:r w:rsidR="00EA4C85">
        <w:fldChar w:fldCharType="separate"/>
      </w:r>
      <w:r w:rsidR="00A654D8">
        <w:rPr>
          <w:noProof/>
        </w:rPr>
        <w:t>22</w:t>
      </w:r>
      <w:r w:rsidR="00EA4C85">
        <w:rPr>
          <w:noProof/>
        </w:rPr>
        <w:fldChar w:fldCharType="end"/>
      </w:r>
      <w:r w:rsidRPr="00655FC7">
        <w:t>. Zużycie gazu na jednego korzystającego</w:t>
      </w:r>
      <w:bookmarkEnd w:id="121"/>
      <w:r w:rsidRPr="00655FC7">
        <w:t xml:space="preserve"> (brak danych dla 2020 roku).</w:t>
      </w:r>
      <w:bookmarkEnd w:id="122"/>
    </w:p>
    <w:p w14:paraId="6CED7F08" w14:textId="77777777" w:rsidR="00D155AA" w:rsidRPr="00655FC7" w:rsidRDefault="00D155AA" w:rsidP="00D155AA">
      <w:pPr>
        <w:pStyle w:val="Cytat"/>
      </w:pPr>
      <w:r w:rsidRPr="00655FC7">
        <w:t>Źródło: BDL GUS, opracowanie własne</w:t>
      </w:r>
    </w:p>
    <w:p w14:paraId="6E2F447F" w14:textId="77777777" w:rsidR="00D155AA" w:rsidRPr="00655FC7" w:rsidRDefault="00D155AA" w:rsidP="00D155AA">
      <w:pPr>
        <w:rPr>
          <w:lang w:eastAsia="ar-SA"/>
        </w:rPr>
      </w:pPr>
    </w:p>
    <w:p w14:paraId="2663C03D" w14:textId="77777777" w:rsidR="00D155AA" w:rsidRPr="00655FC7" w:rsidRDefault="00D155AA" w:rsidP="00D155AA">
      <w:pPr>
        <w:rPr>
          <w:lang w:eastAsia="ar-SA"/>
        </w:rPr>
      </w:pPr>
      <w:r w:rsidRPr="00655FC7">
        <w:rPr>
          <w:lang w:eastAsia="ar-SA"/>
        </w:rPr>
        <w:t>Na terenie Miasta Tarnogród występuje również złoże gazu ziemnego „Tarnogród – Wola Różaniecka”, które obejmuje także tereny Gminy Tarnogród.</w:t>
      </w:r>
    </w:p>
    <w:p w14:paraId="5BD2A0A0" w14:textId="77777777" w:rsidR="00D155AA" w:rsidRPr="00655FC7" w:rsidRDefault="00D155AA" w:rsidP="00D155AA">
      <w:pPr>
        <w:rPr>
          <w:lang w:eastAsia="ar-SA"/>
        </w:rPr>
      </w:pPr>
      <w:r w:rsidRPr="00655FC7">
        <w:rPr>
          <w:lang w:eastAsia="ar-SA"/>
        </w:rPr>
        <w:t>Powierzchnia wyznaczonego obszaru górniczego „Tarnogród – Wola Różaniecka” wynosi 19 411 111 m</w:t>
      </w:r>
      <w:r w:rsidRPr="00655FC7">
        <w:rPr>
          <w:vertAlign w:val="superscript"/>
          <w:lang w:eastAsia="ar-SA"/>
        </w:rPr>
        <w:t>2</w:t>
      </w:r>
      <w:r w:rsidRPr="00655FC7">
        <w:rPr>
          <w:lang w:eastAsia="ar-SA"/>
        </w:rPr>
        <w:t xml:space="preserve">. Kopalina wydobywana jest przez koncesjobiorcę ORLEN S.A. z siedzibą w Płocku. </w:t>
      </w:r>
    </w:p>
    <w:p w14:paraId="3A690A5E" w14:textId="77777777" w:rsidR="00D155AA" w:rsidRDefault="00D155AA" w:rsidP="00D155AA">
      <w:pPr>
        <w:rPr>
          <w:rFonts w:cstheme="minorHAnsi"/>
          <w:color w:val="auto"/>
          <w:lang w:eastAsia="pl-PL"/>
        </w:rPr>
      </w:pPr>
      <w:r w:rsidRPr="00655FC7">
        <w:rPr>
          <w:rFonts w:cstheme="minorHAnsi"/>
          <w:color w:val="auto"/>
          <w:lang w:eastAsia="pl-PL"/>
        </w:rPr>
        <w:t>Zasoby przemysłowe złoża wynoszą 93,27 mln m</w:t>
      </w:r>
      <w:r w:rsidRPr="00655FC7">
        <w:rPr>
          <w:rFonts w:cstheme="minorHAnsi"/>
          <w:color w:val="auto"/>
          <w:vertAlign w:val="superscript"/>
          <w:lang w:eastAsia="pl-PL"/>
        </w:rPr>
        <w:t>3</w:t>
      </w:r>
      <w:r w:rsidRPr="00655FC7">
        <w:rPr>
          <w:rFonts w:cstheme="minorHAnsi"/>
          <w:color w:val="auto"/>
          <w:lang w:eastAsia="pl-PL"/>
        </w:rPr>
        <w:t xml:space="preserve"> gazu ziemnego. Złoże eksploatowane jest w kopalni zlokalizowanej w Woli Różanieckiej.</w:t>
      </w:r>
    </w:p>
    <w:p w14:paraId="0E750695" w14:textId="77777777" w:rsidR="006073B7" w:rsidRPr="00655FC7" w:rsidRDefault="006073B7" w:rsidP="00D155AA">
      <w:pPr>
        <w:rPr>
          <w:rFonts w:cstheme="minorHAnsi"/>
          <w:color w:val="auto"/>
          <w:lang w:eastAsia="pl-PL"/>
        </w:rPr>
      </w:pPr>
    </w:p>
    <w:p w14:paraId="6ABF95BB" w14:textId="77777777" w:rsidR="00D155AA" w:rsidRPr="00655FC7" w:rsidRDefault="00D155AA" w:rsidP="00D155AA">
      <w:pPr>
        <w:keepNext/>
        <w:ind w:firstLine="0"/>
        <w:jc w:val="center"/>
      </w:pPr>
      <w:r w:rsidRPr="00655FC7">
        <w:rPr>
          <w:rFonts w:cstheme="minorHAnsi"/>
          <w:noProof/>
          <w:color w:val="auto"/>
          <w:lang w:eastAsia="pl-PL"/>
        </w:rPr>
        <w:lastRenderedPageBreak/>
        <w:drawing>
          <wp:inline distT="0" distB="0" distL="0" distR="0" wp14:anchorId="1F2DAFB8" wp14:editId="36BAE90E">
            <wp:extent cx="5760720" cy="4073525"/>
            <wp:effectExtent l="19050" t="19050" r="11430" b="22225"/>
            <wp:docPr id="1381049533" name="Obraz 1"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049533" name="Obraz 1" descr="Obraz zawierający tekst, diagram, mapa&#10;&#10;Opis wygenerowany automatyczni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a:ln>
                      <a:solidFill>
                        <a:schemeClr val="tx1"/>
                      </a:solidFill>
                    </a:ln>
                  </pic:spPr>
                </pic:pic>
              </a:graphicData>
            </a:graphic>
          </wp:inline>
        </w:drawing>
      </w:r>
    </w:p>
    <w:p w14:paraId="52E0221D" w14:textId="129B8F05" w:rsidR="00D155AA" w:rsidRPr="00655FC7" w:rsidRDefault="00D155AA" w:rsidP="00D155AA">
      <w:pPr>
        <w:pStyle w:val="Stylrysunek"/>
      </w:pPr>
      <w:bookmarkStart w:id="123" w:name="_Toc178846365"/>
      <w:r w:rsidRPr="00655FC7">
        <w:t xml:space="preserve">Rysunek </w:t>
      </w:r>
      <w:r w:rsidR="00EA4C85">
        <w:fldChar w:fldCharType="begin"/>
      </w:r>
      <w:r w:rsidR="00EA4C85">
        <w:instrText xml:space="preserve"> SEQ Rysunek \* ARABIC </w:instrText>
      </w:r>
      <w:r w:rsidR="00EA4C85">
        <w:fldChar w:fldCharType="separate"/>
      </w:r>
      <w:r w:rsidR="00A654D8">
        <w:rPr>
          <w:noProof/>
        </w:rPr>
        <w:t>23</w:t>
      </w:r>
      <w:r w:rsidR="00EA4C85">
        <w:rPr>
          <w:noProof/>
        </w:rPr>
        <w:fldChar w:fldCharType="end"/>
      </w:r>
      <w:r w:rsidRPr="00655FC7">
        <w:t>. Lokalizacja złoża gazu ziemnego na omawianym terenie.</w:t>
      </w:r>
      <w:bookmarkEnd w:id="123"/>
    </w:p>
    <w:p w14:paraId="7B89A40C" w14:textId="77777777" w:rsidR="00D155AA" w:rsidRPr="00655FC7" w:rsidRDefault="00D155AA" w:rsidP="00D155AA">
      <w:pPr>
        <w:pStyle w:val="Cytat"/>
      </w:pPr>
      <w:r w:rsidRPr="00655FC7">
        <w:t>źródło: PIG – PIB, opracowanie własne</w:t>
      </w:r>
    </w:p>
    <w:p w14:paraId="6A6767AD" w14:textId="77777777" w:rsidR="00D155AA" w:rsidRPr="00655FC7" w:rsidRDefault="00D155AA" w:rsidP="00D155AA">
      <w:pPr>
        <w:rPr>
          <w:rFonts w:cstheme="minorHAnsi"/>
          <w:color w:val="auto"/>
          <w:lang w:eastAsia="pl-PL"/>
        </w:rPr>
      </w:pPr>
    </w:p>
    <w:p w14:paraId="1C0159DA" w14:textId="77777777" w:rsidR="00D155AA" w:rsidRPr="00655FC7" w:rsidRDefault="00D155AA">
      <w:pPr>
        <w:pStyle w:val="Nagwek3"/>
        <w:numPr>
          <w:ilvl w:val="2"/>
          <w:numId w:val="54"/>
        </w:numPr>
        <w:ind w:left="1361" w:hanging="1077"/>
        <w:rPr>
          <w:color w:val="auto"/>
        </w:rPr>
      </w:pPr>
      <w:bookmarkStart w:id="124" w:name="_Toc177732050"/>
      <w:r w:rsidRPr="00655FC7">
        <w:rPr>
          <w:color w:val="auto"/>
        </w:rPr>
        <w:t>Ciepło</w:t>
      </w:r>
      <w:bookmarkEnd w:id="124"/>
      <w:r w:rsidRPr="00655FC7">
        <w:rPr>
          <w:color w:val="auto"/>
        </w:rPr>
        <w:t xml:space="preserve"> </w:t>
      </w:r>
    </w:p>
    <w:p w14:paraId="7AE0B94A" w14:textId="0647E575" w:rsidR="00D155AA" w:rsidRPr="00655FC7" w:rsidRDefault="00D155AA" w:rsidP="007922D6">
      <w:pPr>
        <w:rPr>
          <w:lang w:eastAsia="pl-PL"/>
        </w:rPr>
      </w:pPr>
      <w:r w:rsidRPr="00655FC7">
        <w:rPr>
          <w:lang w:eastAsia="pl-PL"/>
        </w:rPr>
        <w:t xml:space="preserve">Na terenie Miasta Tarnogród nie istnieje sieć ciepłownicza. Budynki zaopatrywane są w ciepło przy użyciu indywidualnych źródeł grzewczych. Głównymi paliwami wykorzystywanymi do tego celu są paliwa stałe – </w:t>
      </w:r>
      <w:r w:rsidR="007922D6" w:rsidRPr="00655FC7">
        <w:rPr>
          <w:lang w:eastAsia="pl-PL"/>
        </w:rPr>
        <w:t>pellet, drewno kawałkowe</w:t>
      </w:r>
      <w:r w:rsidRPr="00655FC7">
        <w:rPr>
          <w:lang w:eastAsia="pl-PL"/>
        </w:rPr>
        <w:t xml:space="preserve"> i gaz. Przyczynia się to do występowania niskiej emisji na omawianym obszarze, co prowadzi do zjawiska smogu.</w:t>
      </w:r>
    </w:p>
    <w:p w14:paraId="1A313576" w14:textId="23B8972F" w:rsidR="00D155AA" w:rsidRPr="00655FC7" w:rsidRDefault="00D155AA" w:rsidP="007922D6">
      <w:pPr>
        <w:rPr>
          <w:lang w:eastAsia="pl-PL"/>
        </w:rPr>
      </w:pPr>
      <w:r w:rsidRPr="00655FC7">
        <w:rPr>
          <w:lang w:eastAsia="pl-PL"/>
        </w:rPr>
        <w:t xml:space="preserve">Ponadto, problemem w mieście jest przewaga budynków wybudowanych </w:t>
      </w:r>
      <w:r w:rsidR="007922D6" w:rsidRPr="00655FC7">
        <w:rPr>
          <w:lang w:eastAsia="pl-PL"/>
        </w:rPr>
        <w:t>przed 2003 rokiem</w:t>
      </w:r>
      <w:r w:rsidRPr="00655FC7">
        <w:rPr>
          <w:lang w:eastAsia="pl-PL"/>
        </w:rPr>
        <w:t>. Strukturę wiekową mieszkań na terenie Miasta Tarnogród przedstawiono poniżej.</w:t>
      </w:r>
    </w:p>
    <w:p w14:paraId="6CDCA0CB" w14:textId="77777777" w:rsidR="00D155AA" w:rsidRPr="00655FC7" w:rsidRDefault="00D155AA" w:rsidP="00D155AA">
      <w:pPr>
        <w:widowControl w:val="0"/>
        <w:spacing w:line="240" w:lineRule="auto"/>
        <w:rPr>
          <w:rFonts w:ascii="Calibri" w:eastAsia="Calibri" w:hAnsi="Calibri" w:cs="Calibri"/>
          <w:color w:val="auto"/>
        </w:rPr>
      </w:pPr>
    </w:p>
    <w:p w14:paraId="67117D09" w14:textId="77777777" w:rsidR="00D155AA" w:rsidRPr="00655FC7" w:rsidRDefault="00D155AA" w:rsidP="00D155AA">
      <w:pPr>
        <w:keepNext/>
        <w:ind w:firstLine="0"/>
        <w:rPr>
          <w:color w:val="auto"/>
        </w:rPr>
      </w:pPr>
      <w:r w:rsidRPr="00655FC7">
        <w:rPr>
          <w:noProof/>
          <w:color w:val="auto"/>
        </w:rPr>
        <w:lastRenderedPageBreak/>
        <w:drawing>
          <wp:inline distT="0" distB="0" distL="0" distR="0" wp14:anchorId="3B8B954E" wp14:editId="22776D27">
            <wp:extent cx="5760000" cy="3240000"/>
            <wp:effectExtent l="0" t="0" r="12700" b="17780"/>
            <wp:docPr id="739428678" name="Wykres 1">
              <a:extLst xmlns:a="http://schemas.openxmlformats.org/drawingml/2006/main">
                <a:ext uri="{FF2B5EF4-FFF2-40B4-BE49-F238E27FC236}">
                  <a16:creationId xmlns:a16="http://schemas.microsoft.com/office/drawing/2014/main" id="{E6A9DFC4-487C-D89F-77D8-0E6B40F879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24F6B4B0" w14:textId="10135543" w:rsidR="00D155AA" w:rsidRPr="00655FC7" w:rsidRDefault="00D155AA" w:rsidP="00D155AA">
      <w:pPr>
        <w:pStyle w:val="Stylrysunek"/>
      </w:pPr>
      <w:bookmarkStart w:id="125" w:name="_Toc178846366"/>
      <w:r w:rsidRPr="00655FC7">
        <w:t xml:space="preserve">Rysunek </w:t>
      </w:r>
      <w:r w:rsidR="00EA4C85">
        <w:fldChar w:fldCharType="begin"/>
      </w:r>
      <w:r w:rsidR="00EA4C85">
        <w:instrText xml:space="preserve"> SEQ Rysunek \* ARABIC </w:instrText>
      </w:r>
      <w:r w:rsidR="00EA4C85">
        <w:fldChar w:fldCharType="separate"/>
      </w:r>
      <w:r w:rsidR="00A654D8">
        <w:rPr>
          <w:noProof/>
        </w:rPr>
        <w:t>24</w:t>
      </w:r>
      <w:r w:rsidR="00EA4C85">
        <w:rPr>
          <w:noProof/>
        </w:rPr>
        <w:fldChar w:fldCharType="end"/>
      </w:r>
      <w:r w:rsidRPr="00655FC7">
        <w:t>. Struktura wiekowa mieszkań zamieszkanych oddanych do użytkowania.</w:t>
      </w:r>
      <w:bookmarkEnd w:id="125"/>
    </w:p>
    <w:p w14:paraId="277E856D" w14:textId="77777777" w:rsidR="00D155AA" w:rsidRPr="00655FC7" w:rsidRDefault="00D155AA" w:rsidP="00D155AA">
      <w:pPr>
        <w:spacing w:after="120"/>
        <w:jc w:val="center"/>
        <w:rPr>
          <w:color w:val="auto"/>
          <w:sz w:val="20"/>
          <w:szCs w:val="20"/>
        </w:rPr>
      </w:pPr>
      <w:r w:rsidRPr="00655FC7">
        <w:rPr>
          <w:color w:val="auto"/>
          <w:sz w:val="20"/>
          <w:szCs w:val="20"/>
        </w:rPr>
        <w:t>źródło: GUS BDL, opracowanie własne</w:t>
      </w:r>
    </w:p>
    <w:p w14:paraId="3BD176FF" w14:textId="77777777" w:rsidR="00D155AA" w:rsidRPr="00655FC7" w:rsidRDefault="00D155AA" w:rsidP="007922D6">
      <w:r w:rsidRPr="00655FC7">
        <w:t>Analizując powyższe dane zauważalne jest, iż w strukturze mieszkań najwięcej jest takich, które wybudowane były w latach 1989-2002 oraz w latach 70. Przestarzałe budownictwo oznacza budynki o niższym standardzie energetycznym, odznaczające się wyższym zapotrzebowaniem na ciepło. Z tego względu potrzeba spalić więcej paliwa, by ogrzać taki budynek, co intensyfikuje pogarszanie się jakości powietrza.</w:t>
      </w:r>
    </w:p>
    <w:p w14:paraId="6DCEEAA7" w14:textId="77777777" w:rsidR="00D155AA" w:rsidRPr="00655FC7" w:rsidRDefault="00D155AA" w:rsidP="00D155AA">
      <w:pPr>
        <w:widowControl w:val="0"/>
        <w:spacing w:line="240" w:lineRule="auto"/>
        <w:rPr>
          <w:rFonts w:ascii="Calibri" w:eastAsia="Calibri" w:hAnsi="Calibri" w:cs="Calibri"/>
          <w:color w:val="auto"/>
        </w:rPr>
      </w:pPr>
    </w:p>
    <w:p w14:paraId="360CF697" w14:textId="77777777" w:rsidR="00D155AA" w:rsidRPr="00655FC7" w:rsidRDefault="00D155AA" w:rsidP="007922D6">
      <w:r w:rsidRPr="00655FC7">
        <w:t>Na terenie miasta nie funkcjonuje również żaden gminny program dotacji na wymianę źródła ciepła w budynkach jednorodzinnych, co nie zachęca mieszkańców do podejmowania takich działań.</w:t>
      </w:r>
    </w:p>
    <w:p w14:paraId="2A5CC451" w14:textId="77777777" w:rsidR="00D155AA" w:rsidRPr="00655FC7" w:rsidRDefault="00D155AA" w:rsidP="00D155AA">
      <w:pPr>
        <w:widowControl w:val="0"/>
        <w:spacing w:line="240" w:lineRule="auto"/>
        <w:rPr>
          <w:rFonts w:ascii="Calibri" w:eastAsia="Calibri" w:hAnsi="Calibri" w:cs="Calibri"/>
          <w:color w:val="auto"/>
        </w:rPr>
      </w:pPr>
    </w:p>
    <w:p w14:paraId="43E41983" w14:textId="77777777" w:rsidR="00D155AA" w:rsidRPr="00655FC7" w:rsidRDefault="00D155AA" w:rsidP="007922D6">
      <w:pPr>
        <w:rPr>
          <w:lang w:eastAsia="pl-PL"/>
        </w:rPr>
      </w:pPr>
      <w:r w:rsidRPr="00655FC7">
        <w:rPr>
          <w:lang w:eastAsia="pl-PL"/>
        </w:rPr>
        <w:t>Niewystarczająca efektywność energetyczna budynków użyteczności publicznej również została wskazana jako jeden z problemów na obszarze Partnerstwa Gmin Powiatu Biłgorajskiego. Pomimo, iż w ostatnich latach samorządy realizowały zadania z zakresu termomodernizacji, na obszarze tym nadal występuje problem z wysoką energochłonnością budynków. Zadania te uzależnione są od zasobu majątkowego gminy, jednak zmniejszenie kosztochłonności oraz efekt ekologiczny to istotne pozytywne skutki głębokiej termomodernizacji. Wskazano, iż sektor publiczny powinien być liderem w obszarze ekologicznych źródeł energii i termomodernizacji, co stanowić będzie przykład dobrych praktyk dla mieszkańców obszaru, w tym obszaru Miasta Tarnogród.</w:t>
      </w:r>
    </w:p>
    <w:p w14:paraId="20B39860" w14:textId="77777777" w:rsidR="00D155AA" w:rsidRPr="00655FC7" w:rsidRDefault="00D155AA" w:rsidP="007922D6">
      <w:pPr>
        <w:rPr>
          <w:lang w:eastAsia="pl-PL"/>
        </w:rPr>
      </w:pPr>
      <w:r w:rsidRPr="00655FC7">
        <w:rPr>
          <w:lang w:eastAsia="pl-PL"/>
        </w:rPr>
        <w:t>Poniżej przedstawiono budynki użyteczności publicznej na terenie Miasta Tarnogród wskazane jako wymagające inwestycji z zakresu poprawy efektywności energetycznej.</w:t>
      </w:r>
    </w:p>
    <w:p w14:paraId="24E94FED" w14:textId="5AA3459C" w:rsidR="007922D6" w:rsidRPr="00655FC7" w:rsidRDefault="007922D6">
      <w:pPr>
        <w:spacing w:after="200"/>
        <w:ind w:firstLine="0"/>
        <w:jc w:val="left"/>
        <w:rPr>
          <w:lang w:eastAsia="pl-PL"/>
        </w:rPr>
      </w:pPr>
      <w:r w:rsidRPr="00655FC7">
        <w:rPr>
          <w:lang w:eastAsia="pl-PL"/>
        </w:rPr>
        <w:br w:type="page"/>
      </w:r>
    </w:p>
    <w:p w14:paraId="25AC01A7" w14:textId="7F4DD463" w:rsidR="00D155AA" w:rsidRPr="00655FC7" w:rsidRDefault="00D155AA" w:rsidP="00D155AA">
      <w:pPr>
        <w:pStyle w:val="Styltabela"/>
      </w:pPr>
      <w:bookmarkStart w:id="126" w:name="_Toc178846317"/>
      <w:r w:rsidRPr="00655FC7">
        <w:lastRenderedPageBreak/>
        <w:t xml:space="preserve">Tabela </w:t>
      </w:r>
      <w:r w:rsidR="00E833A9">
        <w:fldChar w:fldCharType="begin"/>
      </w:r>
      <w:r w:rsidR="00E833A9">
        <w:instrText xml:space="preserve"> SEQ Tabela \* ARABIC </w:instrText>
      </w:r>
      <w:r w:rsidR="00E833A9">
        <w:fldChar w:fldCharType="separate"/>
      </w:r>
      <w:r w:rsidR="00A654D8">
        <w:rPr>
          <w:noProof/>
        </w:rPr>
        <w:t>11</w:t>
      </w:r>
      <w:r w:rsidR="00E833A9">
        <w:rPr>
          <w:noProof/>
        </w:rPr>
        <w:fldChar w:fldCharType="end"/>
      </w:r>
      <w:r w:rsidRPr="00655FC7">
        <w:t>. Obiekty na terenie miasta wymagające inwestycji z zakresu efektywności energetycznej.</w:t>
      </w:r>
      <w:bookmarkEnd w:id="126"/>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531"/>
        <w:gridCol w:w="4541"/>
      </w:tblGrid>
      <w:tr w:rsidR="00D155AA" w:rsidRPr="00655FC7" w14:paraId="14C526ED" w14:textId="77777777" w:rsidTr="005B0EE0">
        <w:trPr>
          <w:trHeight w:val="397"/>
          <w:jc w:val="center"/>
        </w:trPr>
        <w:tc>
          <w:tcPr>
            <w:tcW w:w="2497" w:type="pct"/>
            <w:shd w:val="clear" w:color="auto" w:fill="C3E098" w:themeFill="accent1" w:themeFillTint="66"/>
            <w:vAlign w:val="center"/>
          </w:tcPr>
          <w:p w14:paraId="52C8333E" w14:textId="77777777" w:rsidR="00D155AA" w:rsidRPr="00655FC7" w:rsidRDefault="00D155AA" w:rsidP="00827748">
            <w:pPr>
              <w:suppressLineNumbers/>
              <w:suppressAutoHyphens/>
              <w:spacing w:line="240" w:lineRule="auto"/>
              <w:ind w:firstLine="0"/>
              <w:jc w:val="center"/>
              <w:rPr>
                <w:rFonts w:eastAsia="Times New Roman" w:cstheme="minorHAnsi"/>
                <w:b/>
                <w:bCs/>
                <w:sz w:val="18"/>
                <w:szCs w:val="18"/>
                <w:lang w:eastAsia="pl-PL" w:bidi="pl-PL"/>
              </w:rPr>
            </w:pPr>
            <w:r w:rsidRPr="00655FC7">
              <w:rPr>
                <w:rFonts w:eastAsia="Times New Roman" w:cstheme="minorHAnsi"/>
                <w:b/>
                <w:bCs/>
                <w:sz w:val="18"/>
                <w:szCs w:val="18"/>
                <w:lang w:eastAsia="pl-PL" w:bidi="pl-PL"/>
              </w:rPr>
              <w:t>Obiekt</w:t>
            </w:r>
          </w:p>
        </w:tc>
        <w:tc>
          <w:tcPr>
            <w:tcW w:w="2503" w:type="pct"/>
            <w:shd w:val="clear" w:color="auto" w:fill="C3E098" w:themeFill="accent1" w:themeFillTint="66"/>
            <w:vAlign w:val="center"/>
          </w:tcPr>
          <w:p w14:paraId="6562A79D" w14:textId="77777777" w:rsidR="00D155AA" w:rsidRPr="00655FC7" w:rsidRDefault="00D155AA" w:rsidP="00827748">
            <w:pPr>
              <w:suppressLineNumbers/>
              <w:suppressAutoHyphens/>
              <w:spacing w:line="240" w:lineRule="auto"/>
              <w:ind w:firstLine="0"/>
              <w:jc w:val="center"/>
              <w:rPr>
                <w:rFonts w:eastAsia="Times New Roman" w:cstheme="minorHAnsi"/>
                <w:b/>
                <w:bCs/>
                <w:sz w:val="18"/>
                <w:szCs w:val="18"/>
                <w:lang w:eastAsia="pl-PL" w:bidi="pl-PL"/>
              </w:rPr>
            </w:pPr>
            <w:r w:rsidRPr="00655FC7">
              <w:rPr>
                <w:rFonts w:eastAsia="Times New Roman" w:cstheme="minorHAnsi"/>
                <w:b/>
                <w:bCs/>
                <w:sz w:val="18"/>
                <w:szCs w:val="18"/>
                <w:lang w:eastAsia="pl-PL" w:bidi="pl-PL"/>
              </w:rPr>
              <w:t>Jaka inwestycja</w:t>
            </w:r>
          </w:p>
        </w:tc>
      </w:tr>
      <w:tr w:rsidR="00D155AA" w:rsidRPr="00655FC7" w14:paraId="1F8A902D" w14:textId="77777777" w:rsidTr="005B0EE0">
        <w:trPr>
          <w:trHeight w:val="680"/>
          <w:jc w:val="center"/>
        </w:trPr>
        <w:tc>
          <w:tcPr>
            <w:tcW w:w="2497" w:type="pct"/>
            <w:vAlign w:val="center"/>
          </w:tcPr>
          <w:p w14:paraId="6A73135C" w14:textId="77777777" w:rsidR="00D155AA" w:rsidRPr="00655FC7" w:rsidRDefault="00D155AA" w:rsidP="00827748">
            <w:pPr>
              <w:suppressLineNumbers/>
              <w:suppressAutoHyphens/>
              <w:spacing w:line="240" w:lineRule="auto"/>
              <w:ind w:firstLine="0"/>
              <w:jc w:val="left"/>
              <w:rPr>
                <w:rFonts w:eastAsia="Times New Roman" w:cstheme="minorHAnsi"/>
                <w:sz w:val="18"/>
                <w:szCs w:val="18"/>
                <w:lang w:eastAsia="pl-PL" w:bidi="pl-PL"/>
              </w:rPr>
            </w:pPr>
            <w:r w:rsidRPr="00655FC7">
              <w:rPr>
                <w:rFonts w:eastAsia="Times New Roman" w:cstheme="minorHAnsi"/>
                <w:sz w:val="18"/>
                <w:szCs w:val="18"/>
                <w:lang w:eastAsia="pl-PL" w:bidi="pl-PL"/>
              </w:rPr>
              <w:t>Budynek po byłym gimnazjum w Tarnogrodzie</w:t>
            </w:r>
          </w:p>
        </w:tc>
        <w:tc>
          <w:tcPr>
            <w:tcW w:w="2503" w:type="pct"/>
            <w:vAlign w:val="center"/>
          </w:tcPr>
          <w:p w14:paraId="5BBA9247" w14:textId="77777777" w:rsidR="00D155AA" w:rsidRPr="00655FC7" w:rsidRDefault="00D155AA" w:rsidP="00827748">
            <w:pPr>
              <w:suppressLineNumbers/>
              <w:suppressAutoHyphens/>
              <w:spacing w:line="240" w:lineRule="auto"/>
              <w:ind w:firstLine="0"/>
              <w:jc w:val="left"/>
              <w:rPr>
                <w:rFonts w:eastAsia="Times New Roman" w:cstheme="minorHAnsi"/>
                <w:sz w:val="18"/>
                <w:szCs w:val="18"/>
                <w:lang w:eastAsia="pl-PL" w:bidi="pl-PL"/>
              </w:rPr>
            </w:pPr>
            <w:r w:rsidRPr="00655FC7">
              <w:rPr>
                <w:rFonts w:eastAsia="Times New Roman" w:cstheme="minorHAnsi"/>
                <w:sz w:val="18"/>
                <w:szCs w:val="18"/>
                <w:lang w:eastAsia="pl-PL" w:bidi="pl-PL"/>
              </w:rPr>
              <w:t>Poprawa efektywności energetycznej, ograniczenie zużycia energii końcowej, wymiana źródła ciepła, zainstalowanie instalacji OZE</w:t>
            </w:r>
          </w:p>
        </w:tc>
      </w:tr>
      <w:tr w:rsidR="00D155AA" w:rsidRPr="00655FC7" w14:paraId="085A28E2" w14:textId="77777777" w:rsidTr="005B0EE0">
        <w:trPr>
          <w:trHeight w:val="680"/>
          <w:jc w:val="center"/>
        </w:trPr>
        <w:tc>
          <w:tcPr>
            <w:tcW w:w="2497" w:type="pct"/>
            <w:vAlign w:val="center"/>
          </w:tcPr>
          <w:p w14:paraId="21C9D4C8" w14:textId="77777777" w:rsidR="00D155AA" w:rsidRPr="00655FC7" w:rsidRDefault="00D155AA" w:rsidP="00827748">
            <w:pPr>
              <w:suppressLineNumbers/>
              <w:suppressAutoHyphens/>
              <w:spacing w:line="240" w:lineRule="auto"/>
              <w:ind w:firstLine="0"/>
              <w:jc w:val="left"/>
              <w:rPr>
                <w:rFonts w:eastAsia="Times New Roman" w:cstheme="minorHAnsi"/>
                <w:sz w:val="18"/>
                <w:szCs w:val="18"/>
                <w:lang w:eastAsia="pl-PL" w:bidi="pl-PL"/>
              </w:rPr>
            </w:pPr>
            <w:r w:rsidRPr="00655FC7">
              <w:rPr>
                <w:rFonts w:eastAsia="Times New Roman" w:cstheme="minorHAnsi"/>
                <w:sz w:val="18"/>
                <w:szCs w:val="18"/>
                <w:lang w:eastAsia="pl-PL" w:bidi="pl-PL"/>
              </w:rPr>
              <w:t>Tarnogrodzki Ośrodek Kultury w Tarnogrodzie</w:t>
            </w:r>
          </w:p>
        </w:tc>
        <w:tc>
          <w:tcPr>
            <w:tcW w:w="2503" w:type="pct"/>
            <w:vAlign w:val="center"/>
          </w:tcPr>
          <w:p w14:paraId="56F4CC9B" w14:textId="77777777" w:rsidR="00D155AA" w:rsidRPr="00655FC7" w:rsidRDefault="00D155AA" w:rsidP="00827748">
            <w:pPr>
              <w:suppressLineNumbers/>
              <w:suppressAutoHyphens/>
              <w:spacing w:line="240" w:lineRule="auto"/>
              <w:ind w:firstLine="0"/>
              <w:jc w:val="left"/>
              <w:rPr>
                <w:rFonts w:eastAsia="Times New Roman" w:cstheme="minorHAnsi"/>
                <w:sz w:val="18"/>
                <w:szCs w:val="18"/>
                <w:lang w:eastAsia="pl-PL" w:bidi="pl-PL"/>
              </w:rPr>
            </w:pPr>
            <w:r w:rsidRPr="00655FC7">
              <w:rPr>
                <w:rFonts w:eastAsia="Times New Roman" w:cstheme="minorHAnsi"/>
                <w:sz w:val="18"/>
                <w:szCs w:val="18"/>
                <w:lang w:eastAsia="pl-PL" w:bidi="pl-PL"/>
              </w:rPr>
              <w:t>Poprawa efektywności energetycznej, ograniczenie zużycia energii końcowej, wymiana źródła ciepła, zainstalowanie instalacji OZE</w:t>
            </w:r>
          </w:p>
        </w:tc>
      </w:tr>
      <w:tr w:rsidR="00D155AA" w:rsidRPr="00655FC7" w14:paraId="2CF578AD" w14:textId="77777777" w:rsidTr="005B0EE0">
        <w:trPr>
          <w:trHeight w:val="680"/>
          <w:jc w:val="center"/>
        </w:trPr>
        <w:tc>
          <w:tcPr>
            <w:tcW w:w="2497" w:type="pct"/>
            <w:vAlign w:val="center"/>
          </w:tcPr>
          <w:p w14:paraId="05DF2006" w14:textId="77777777" w:rsidR="00D155AA" w:rsidRPr="00655FC7" w:rsidRDefault="00D155AA" w:rsidP="00827748">
            <w:pPr>
              <w:suppressLineNumbers/>
              <w:suppressAutoHyphens/>
              <w:spacing w:line="240" w:lineRule="auto"/>
              <w:ind w:firstLine="0"/>
              <w:jc w:val="left"/>
              <w:rPr>
                <w:rFonts w:eastAsia="Times New Roman" w:cstheme="minorHAnsi"/>
                <w:sz w:val="18"/>
                <w:szCs w:val="18"/>
                <w:lang w:eastAsia="pl-PL" w:bidi="pl-PL"/>
              </w:rPr>
            </w:pPr>
            <w:r w:rsidRPr="00655FC7">
              <w:rPr>
                <w:rFonts w:eastAsia="Times New Roman" w:cstheme="minorHAnsi"/>
                <w:sz w:val="18"/>
                <w:szCs w:val="18"/>
                <w:lang w:eastAsia="pl-PL" w:bidi="pl-PL"/>
              </w:rPr>
              <w:t>Urząd Miejski w Tarnogrodzie</w:t>
            </w:r>
          </w:p>
        </w:tc>
        <w:tc>
          <w:tcPr>
            <w:tcW w:w="2503" w:type="pct"/>
            <w:vAlign w:val="center"/>
          </w:tcPr>
          <w:p w14:paraId="5BDC4950" w14:textId="77777777" w:rsidR="00D155AA" w:rsidRPr="00655FC7" w:rsidRDefault="00D155AA" w:rsidP="00827748">
            <w:pPr>
              <w:suppressLineNumbers/>
              <w:suppressAutoHyphens/>
              <w:spacing w:line="240" w:lineRule="auto"/>
              <w:ind w:firstLine="0"/>
              <w:jc w:val="left"/>
              <w:rPr>
                <w:rFonts w:eastAsia="Times New Roman" w:cstheme="minorHAnsi"/>
                <w:sz w:val="18"/>
                <w:szCs w:val="18"/>
                <w:lang w:eastAsia="pl-PL" w:bidi="pl-PL"/>
              </w:rPr>
            </w:pPr>
            <w:r w:rsidRPr="00655FC7">
              <w:rPr>
                <w:rFonts w:eastAsia="Times New Roman" w:cstheme="minorHAnsi"/>
                <w:sz w:val="18"/>
                <w:szCs w:val="18"/>
                <w:lang w:eastAsia="pl-PL" w:bidi="pl-PL"/>
              </w:rPr>
              <w:t>Poprawa efektywności energetycznej, ograniczenie zużycia energii końcowej, wymiana źródła ciepła, zainstalowanie instalacji OZE</w:t>
            </w:r>
          </w:p>
        </w:tc>
      </w:tr>
    </w:tbl>
    <w:p w14:paraId="60234CED" w14:textId="77777777" w:rsidR="00D155AA" w:rsidRPr="00655FC7" w:rsidRDefault="00D155AA" w:rsidP="00D155AA">
      <w:pPr>
        <w:spacing w:after="120"/>
        <w:ind w:firstLine="0"/>
        <w:jc w:val="center"/>
        <w:rPr>
          <w:rFonts w:eastAsiaTheme="majorEastAsia" w:cstheme="minorHAnsi"/>
          <w:sz w:val="20"/>
          <w:szCs w:val="18"/>
          <w:lang w:eastAsia="pl-PL"/>
        </w:rPr>
      </w:pPr>
      <w:r w:rsidRPr="00655FC7">
        <w:rPr>
          <w:rFonts w:eastAsiaTheme="majorEastAsia" w:cstheme="minorHAnsi"/>
          <w:sz w:val="20"/>
          <w:szCs w:val="18"/>
          <w:lang w:eastAsia="pl-PL"/>
        </w:rPr>
        <w:t>źródło: Informacje udostępnione przez Urząd Miejski w Tarnogrodzie</w:t>
      </w:r>
    </w:p>
    <w:p w14:paraId="454B1642" w14:textId="77777777" w:rsidR="00D155AA" w:rsidRPr="00655FC7" w:rsidRDefault="00D155AA" w:rsidP="00D155AA">
      <w:pPr>
        <w:widowControl w:val="0"/>
        <w:spacing w:line="240" w:lineRule="auto"/>
        <w:rPr>
          <w:rFonts w:ascii="Calibri" w:eastAsia="Calibri" w:hAnsi="Calibri" w:cs="Calibri"/>
          <w:color w:val="auto"/>
        </w:rPr>
      </w:pPr>
    </w:p>
    <w:p w14:paraId="6CA1CCF9" w14:textId="77777777" w:rsidR="00D155AA" w:rsidRPr="00655FC7" w:rsidRDefault="00D155AA" w:rsidP="00D155AA">
      <w:pPr>
        <w:pStyle w:val="Nagwek3"/>
      </w:pPr>
      <w:bookmarkStart w:id="127" w:name="_Toc177732051"/>
      <w:r w:rsidRPr="00655FC7">
        <w:t>Energia elektryczna</w:t>
      </w:r>
      <w:bookmarkEnd w:id="127"/>
    </w:p>
    <w:p w14:paraId="164154FC" w14:textId="77777777" w:rsidR="00D155AA" w:rsidRPr="00655FC7" w:rsidRDefault="00D155AA" w:rsidP="00D155AA">
      <w:pPr>
        <w:rPr>
          <w:rFonts w:cstheme="minorHAnsi"/>
          <w:color w:val="auto"/>
          <w:lang w:eastAsia="pl-PL"/>
        </w:rPr>
      </w:pPr>
      <w:r w:rsidRPr="00655FC7">
        <w:rPr>
          <w:rFonts w:cstheme="minorHAnsi"/>
          <w:color w:val="auto"/>
          <w:lang w:eastAsia="pl-PL"/>
        </w:rPr>
        <w:t>Przez tereny Miasta Tarnogród przebiegają trasy napowietrznych linii elektroenergetycznych, w tym linii wysokiego napięcia. Przebieg tras zaprezentowano poniżej. Operatorem sieci energetycznej na omawianym obszarze jest PGE Dystrybucja S.A.</w:t>
      </w:r>
    </w:p>
    <w:p w14:paraId="63660A02" w14:textId="77777777" w:rsidR="00D155AA" w:rsidRPr="00655FC7" w:rsidRDefault="00D155AA" w:rsidP="00D155AA">
      <w:pPr>
        <w:jc w:val="center"/>
        <w:rPr>
          <w:rFonts w:cstheme="minorHAnsi"/>
        </w:rPr>
      </w:pPr>
    </w:p>
    <w:p w14:paraId="5C9ACCFC" w14:textId="77777777" w:rsidR="00D155AA" w:rsidRPr="00655FC7" w:rsidRDefault="00D155AA" w:rsidP="00D155AA">
      <w:pPr>
        <w:ind w:firstLine="0"/>
        <w:jc w:val="center"/>
        <w:rPr>
          <w:rFonts w:cstheme="minorHAnsi"/>
        </w:rPr>
      </w:pPr>
      <w:r w:rsidRPr="00655FC7">
        <w:rPr>
          <w:rFonts w:cstheme="minorHAnsi"/>
          <w:noProof/>
          <w:lang w:eastAsia="en-GB"/>
        </w:rPr>
        <w:drawing>
          <wp:inline distT="0" distB="0" distL="0" distR="0" wp14:anchorId="0CCB54C9" wp14:editId="6F806448">
            <wp:extent cx="5759449" cy="4072836"/>
            <wp:effectExtent l="19050" t="19050" r="13335" b="23495"/>
            <wp:docPr id="300" name="Obraz 300" descr="Obraz zawierający diagram, tekst, linia,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Obraz 300" descr="Obraz zawierający diagram, tekst, linia, mapa&#10;&#10;Opis wygenerowany automatyczni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59449" cy="4072836"/>
                    </a:xfrm>
                    <a:prstGeom prst="rect">
                      <a:avLst/>
                    </a:prstGeom>
                    <a:ln w="12700">
                      <a:solidFill>
                        <a:schemeClr val="tx1"/>
                      </a:solidFill>
                    </a:ln>
                  </pic:spPr>
                </pic:pic>
              </a:graphicData>
            </a:graphic>
          </wp:inline>
        </w:drawing>
      </w:r>
    </w:p>
    <w:p w14:paraId="39B6CCB8" w14:textId="71B74932" w:rsidR="00D155AA" w:rsidRPr="00655FC7" w:rsidRDefault="00D155AA" w:rsidP="00D155AA">
      <w:pPr>
        <w:pStyle w:val="Stylrysunek"/>
      </w:pPr>
      <w:bookmarkStart w:id="128" w:name="_Toc178846367"/>
      <w:r w:rsidRPr="00655FC7">
        <w:t xml:space="preserve">Rysunek </w:t>
      </w:r>
      <w:r w:rsidR="00EA4C85">
        <w:fldChar w:fldCharType="begin"/>
      </w:r>
      <w:r w:rsidR="00EA4C85">
        <w:instrText xml:space="preserve"> SEQ Rysunek \* ARABIC </w:instrText>
      </w:r>
      <w:r w:rsidR="00EA4C85">
        <w:fldChar w:fldCharType="separate"/>
      </w:r>
      <w:r w:rsidR="00A654D8">
        <w:rPr>
          <w:noProof/>
        </w:rPr>
        <w:t>25</w:t>
      </w:r>
      <w:r w:rsidR="00EA4C85">
        <w:rPr>
          <w:noProof/>
        </w:rPr>
        <w:fldChar w:fldCharType="end"/>
      </w:r>
      <w:r w:rsidRPr="00655FC7">
        <w:t>. Przebieg trasy napowietrznych linii elektroenergetycznych.</w:t>
      </w:r>
      <w:bookmarkEnd w:id="128"/>
    </w:p>
    <w:p w14:paraId="34D87B46" w14:textId="77777777" w:rsidR="00D155AA" w:rsidRPr="00655FC7" w:rsidRDefault="00D155AA" w:rsidP="00D155AA">
      <w:pPr>
        <w:pStyle w:val="Cytat"/>
      </w:pPr>
      <w:r w:rsidRPr="00655FC7">
        <w:t>źródło: Geoportal, opracowanie własne</w:t>
      </w:r>
    </w:p>
    <w:p w14:paraId="6FFDEA65" w14:textId="77777777" w:rsidR="00D155AA" w:rsidRPr="00655FC7" w:rsidRDefault="00D155AA" w:rsidP="00D155AA">
      <w:pPr>
        <w:rPr>
          <w:rFonts w:cstheme="minorHAnsi"/>
          <w:color w:val="auto"/>
          <w:lang w:eastAsia="pl-PL"/>
        </w:rPr>
      </w:pPr>
    </w:p>
    <w:p w14:paraId="7B1606D8" w14:textId="77777777" w:rsidR="00D155AA" w:rsidRPr="00655FC7" w:rsidRDefault="00D155AA" w:rsidP="00D155AA">
      <w:pPr>
        <w:rPr>
          <w:rFonts w:cstheme="minorHAnsi"/>
          <w:color w:val="auto"/>
          <w:lang w:eastAsia="pl-PL"/>
        </w:rPr>
      </w:pPr>
      <w:r w:rsidRPr="00655FC7">
        <w:rPr>
          <w:rFonts w:cstheme="minorHAnsi"/>
          <w:color w:val="auto"/>
          <w:lang w:eastAsia="pl-PL"/>
        </w:rPr>
        <w:t>Na terenie Miasta Tarnogród jest 1 145 odbiorców energii elektrycznej – zużycie wyniosło w 2022</w:t>
      </w:r>
      <w:r w:rsidRPr="00655FC7">
        <w:rPr>
          <w:rFonts w:cstheme="minorHAnsi"/>
        </w:rPr>
        <w:t> </w:t>
      </w:r>
      <w:r w:rsidRPr="00655FC7">
        <w:rPr>
          <w:rFonts w:cstheme="minorHAnsi"/>
          <w:color w:val="auto"/>
          <w:lang w:eastAsia="pl-PL"/>
        </w:rPr>
        <w:t>r. 1 735,14 MWh (tabela poniżej).</w:t>
      </w:r>
    </w:p>
    <w:p w14:paraId="17118AE0" w14:textId="77777777" w:rsidR="00D155AA" w:rsidRPr="00655FC7" w:rsidRDefault="00D155AA" w:rsidP="00D155AA">
      <w:pPr>
        <w:rPr>
          <w:rFonts w:cstheme="minorHAnsi"/>
          <w:color w:val="auto"/>
          <w:lang w:eastAsia="pl-PL"/>
        </w:rPr>
      </w:pPr>
    </w:p>
    <w:p w14:paraId="17097756" w14:textId="2287F552" w:rsidR="00D155AA" w:rsidRPr="00655FC7" w:rsidRDefault="00D155AA" w:rsidP="00D155AA">
      <w:pPr>
        <w:pStyle w:val="Styltabela"/>
        <w:rPr>
          <w:rFonts w:eastAsia="Calibri"/>
        </w:rPr>
      </w:pPr>
      <w:bookmarkStart w:id="129" w:name="_Toc100601255"/>
      <w:bookmarkStart w:id="130" w:name="_Toc178846318"/>
      <w:r w:rsidRPr="00655FC7">
        <w:rPr>
          <w:rFonts w:eastAsiaTheme="minorEastAsia"/>
        </w:rPr>
        <w:lastRenderedPageBreak/>
        <w:t xml:space="preserve">Tabela </w:t>
      </w:r>
      <w:r w:rsidR="00E833A9">
        <w:rPr>
          <w:rFonts w:eastAsiaTheme="minorEastAsia"/>
        </w:rPr>
        <w:fldChar w:fldCharType="begin"/>
      </w:r>
      <w:r w:rsidR="00E833A9">
        <w:rPr>
          <w:rFonts w:eastAsiaTheme="minorEastAsia"/>
        </w:rPr>
        <w:instrText xml:space="preserve"> SEQ Tabela \* ARABIC </w:instrText>
      </w:r>
      <w:r w:rsidR="00E833A9">
        <w:rPr>
          <w:rFonts w:eastAsiaTheme="minorEastAsia"/>
        </w:rPr>
        <w:fldChar w:fldCharType="separate"/>
      </w:r>
      <w:r w:rsidR="00A654D8">
        <w:rPr>
          <w:rFonts w:eastAsiaTheme="minorEastAsia"/>
          <w:noProof/>
        </w:rPr>
        <w:t>12</w:t>
      </w:r>
      <w:r w:rsidR="00E833A9">
        <w:rPr>
          <w:rFonts w:eastAsiaTheme="minorEastAsia"/>
        </w:rPr>
        <w:fldChar w:fldCharType="end"/>
      </w:r>
      <w:r w:rsidRPr="00655FC7">
        <w:rPr>
          <w:rFonts w:eastAsiaTheme="minorEastAsia"/>
        </w:rPr>
        <w:t>.Energia elektryczna w gospodarstwach domowych (stan na 31.12.2022 r.).</w:t>
      </w:r>
      <w:bookmarkEnd w:id="129"/>
      <w:bookmarkEnd w:id="130"/>
    </w:p>
    <w:tbl>
      <w:tblPr>
        <w:tblStyle w:val="Tabela-MPAaga613"/>
        <w:tblW w:w="9072" w:type="dxa"/>
        <w:jc w:val="center"/>
        <w:tblLook w:val="04A0" w:firstRow="1" w:lastRow="0" w:firstColumn="1" w:lastColumn="0" w:noHBand="0" w:noVBand="1"/>
      </w:tblPr>
      <w:tblGrid>
        <w:gridCol w:w="522"/>
        <w:gridCol w:w="5540"/>
        <w:gridCol w:w="1417"/>
        <w:gridCol w:w="1593"/>
      </w:tblGrid>
      <w:tr w:rsidR="00D155AA" w:rsidRPr="00655FC7" w14:paraId="12A5C452" w14:textId="77777777" w:rsidTr="005F5DEE">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C3D69B" w:themeFill="accent6"/>
            <w:vAlign w:val="center"/>
          </w:tcPr>
          <w:p w14:paraId="6133EE6A" w14:textId="77777777" w:rsidR="00D155AA" w:rsidRPr="00655FC7" w:rsidRDefault="00D155AA" w:rsidP="00827748">
            <w:pPr>
              <w:spacing w:line="276" w:lineRule="auto"/>
              <w:ind w:firstLine="0"/>
              <w:jc w:val="center"/>
              <w:rPr>
                <w:rFonts w:asciiTheme="minorHAnsi" w:eastAsia="Calibri" w:hAnsiTheme="minorHAnsi" w:cstheme="minorHAnsi"/>
                <w:bCs w:val="0"/>
                <w:color w:val="auto"/>
                <w:sz w:val="18"/>
                <w:szCs w:val="18"/>
              </w:rPr>
            </w:pPr>
            <w:r w:rsidRPr="00655FC7">
              <w:rPr>
                <w:rFonts w:asciiTheme="minorHAnsi" w:eastAsia="Calibri" w:hAnsiTheme="minorHAnsi" w:cstheme="minorHAnsi"/>
                <w:bCs w:val="0"/>
                <w:color w:val="auto"/>
                <w:sz w:val="18"/>
                <w:szCs w:val="18"/>
              </w:rPr>
              <w:t>Lp.</w:t>
            </w:r>
          </w:p>
        </w:tc>
        <w:tc>
          <w:tcPr>
            <w:tcW w:w="5540" w:type="dxa"/>
            <w:shd w:val="clear" w:color="auto" w:fill="C3D69B" w:themeFill="accent6"/>
            <w:vAlign w:val="center"/>
          </w:tcPr>
          <w:p w14:paraId="204E3FFC" w14:textId="77777777" w:rsidR="00D155AA" w:rsidRPr="00655FC7" w:rsidRDefault="00D155AA" w:rsidP="0082774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Cs w:val="0"/>
                <w:color w:val="auto"/>
                <w:sz w:val="18"/>
                <w:szCs w:val="18"/>
              </w:rPr>
            </w:pPr>
            <w:r w:rsidRPr="00655FC7">
              <w:rPr>
                <w:rFonts w:asciiTheme="minorHAnsi" w:eastAsia="Calibri" w:hAnsiTheme="minorHAnsi" w:cstheme="minorHAnsi"/>
                <w:bCs w:val="0"/>
                <w:color w:val="auto"/>
                <w:sz w:val="18"/>
                <w:szCs w:val="18"/>
              </w:rPr>
              <w:t>Wskaźnik</w:t>
            </w:r>
          </w:p>
        </w:tc>
        <w:tc>
          <w:tcPr>
            <w:tcW w:w="1417" w:type="dxa"/>
            <w:shd w:val="clear" w:color="auto" w:fill="C3D69B" w:themeFill="accent6"/>
            <w:vAlign w:val="center"/>
          </w:tcPr>
          <w:p w14:paraId="74F97A77" w14:textId="77777777" w:rsidR="00D155AA" w:rsidRPr="00655FC7" w:rsidRDefault="00D155AA" w:rsidP="0082774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Cs w:val="0"/>
                <w:color w:val="auto"/>
                <w:sz w:val="18"/>
                <w:szCs w:val="18"/>
              </w:rPr>
            </w:pPr>
            <w:r w:rsidRPr="00655FC7">
              <w:rPr>
                <w:rFonts w:asciiTheme="minorHAnsi" w:eastAsia="Calibri" w:hAnsiTheme="minorHAnsi" w:cstheme="minorHAnsi"/>
                <w:bCs w:val="0"/>
                <w:color w:val="auto"/>
                <w:sz w:val="18"/>
                <w:szCs w:val="18"/>
              </w:rPr>
              <w:t>Jednostka</w:t>
            </w:r>
          </w:p>
        </w:tc>
        <w:tc>
          <w:tcPr>
            <w:tcW w:w="1593" w:type="dxa"/>
            <w:shd w:val="clear" w:color="auto" w:fill="C3D69B" w:themeFill="accent6"/>
            <w:vAlign w:val="center"/>
          </w:tcPr>
          <w:p w14:paraId="21DC11DB" w14:textId="77777777" w:rsidR="00D155AA" w:rsidRPr="00655FC7" w:rsidRDefault="00D155AA" w:rsidP="00827748">
            <w:pPr>
              <w:spacing w:line="276" w:lineRule="auto"/>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Cs w:val="0"/>
                <w:color w:val="auto"/>
                <w:sz w:val="18"/>
                <w:szCs w:val="18"/>
              </w:rPr>
            </w:pPr>
            <w:r w:rsidRPr="00655FC7">
              <w:rPr>
                <w:rFonts w:asciiTheme="minorHAnsi" w:eastAsia="Calibri" w:hAnsiTheme="minorHAnsi" w:cstheme="minorHAnsi"/>
                <w:bCs w:val="0"/>
                <w:color w:val="auto"/>
                <w:sz w:val="18"/>
                <w:szCs w:val="18"/>
              </w:rPr>
              <w:t>Wartość</w:t>
            </w:r>
          </w:p>
        </w:tc>
      </w:tr>
      <w:tr w:rsidR="00D155AA" w:rsidRPr="00655FC7" w14:paraId="0A5F7259" w14:textId="77777777" w:rsidTr="0082774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center"/>
          </w:tcPr>
          <w:p w14:paraId="7C693562" w14:textId="77777777" w:rsidR="00D155AA" w:rsidRPr="00655FC7" w:rsidRDefault="00D155AA" w:rsidP="00827748">
            <w:pPr>
              <w:spacing w:line="276" w:lineRule="auto"/>
              <w:ind w:firstLine="0"/>
              <w:jc w:val="center"/>
              <w:rPr>
                <w:rFonts w:asciiTheme="minorHAnsi" w:eastAsia="Calibri" w:hAnsiTheme="minorHAnsi" w:cstheme="minorHAnsi"/>
                <w:bCs w:val="0"/>
                <w:color w:val="auto"/>
                <w:sz w:val="18"/>
                <w:szCs w:val="18"/>
              </w:rPr>
            </w:pPr>
            <w:r w:rsidRPr="00655FC7">
              <w:rPr>
                <w:rFonts w:asciiTheme="minorHAnsi" w:eastAsia="Calibri" w:hAnsiTheme="minorHAnsi" w:cstheme="minorHAnsi"/>
                <w:bCs w:val="0"/>
                <w:color w:val="auto"/>
                <w:sz w:val="18"/>
                <w:szCs w:val="18"/>
              </w:rPr>
              <w:t>1.</w:t>
            </w:r>
          </w:p>
        </w:tc>
        <w:tc>
          <w:tcPr>
            <w:tcW w:w="5540" w:type="dxa"/>
            <w:shd w:val="clear" w:color="auto" w:fill="FFFFFF" w:themeFill="background1"/>
            <w:vAlign w:val="center"/>
          </w:tcPr>
          <w:p w14:paraId="6B31E842" w14:textId="77777777" w:rsidR="00D155AA" w:rsidRPr="00655FC7" w:rsidRDefault="00D155AA" w:rsidP="0082774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bCs/>
                <w:color w:val="auto"/>
                <w:sz w:val="18"/>
                <w:szCs w:val="18"/>
              </w:rPr>
            </w:pPr>
            <w:r w:rsidRPr="00655FC7">
              <w:rPr>
                <w:rFonts w:eastAsia="Calibri" w:cstheme="minorHAnsi"/>
                <w:bCs/>
                <w:color w:val="auto"/>
                <w:sz w:val="18"/>
                <w:szCs w:val="18"/>
              </w:rPr>
              <w:t>odbiorcy energii elektrycznej</w:t>
            </w:r>
          </w:p>
        </w:tc>
        <w:tc>
          <w:tcPr>
            <w:tcW w:w="1417" w:type="dxa"/>
            <w:shd w:val="clear" w:color="auto" w:fill="FFFFFF" w:themeFill="background1"/>
            <w:vAlign w:val="center"/>
          </w:tcPr>
          <w:p w14:paraId="74A82F53" w14:textId="77777777" w:rsidR="00D155AA" w:rsidRPr="00655FC7" w:rsidRDefault="00D155AA" w:rsidP="0082774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bCs/>
                <w:color w:val="auto"/>
                <w:sz w:val="18"/>
                <w:szCs w:val="18"/>
              </w:rPr>
            </w:pPr>
            <w:r w:rsidRPr="00655FC7">
              <w:rPr>
                <w:rFonts w:eastAsia="Calibri" w:cstheme="minorHAnsi"/>
                <w:bCs/>
                <w:color w:val="auto"/>
                <w:sz w:val="18"/>
                <w:szCs w:val="18"/>
              </w:rPr>
              <w:t>szt.</w:t>
            </w:r>
          </w:p>
        </w:tc>
        <w:tc>
          <w:tcPr>
            <w:tcW w:w="1593" w:type="dxa"/>
            <w:shd w:val="clear" w:color="auto" w:fill="FFFFFF" w:themeFill="background1"/>
            <w:vAlign w:val="center"/>
          </w:tcPr>
          <w:p w14:paraId="732C6D06"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 w:val="18"/>
                <w:szCs w:val="18"/>
              </w:rPr>
            </w:pPr>
            <w:r w:rsidRPr="00655FC7">
              <w:rPr>
                <w:sz w:val="18"/>
                <w:szCs w:val="18"/>
              </w:rPr>
              <w:t>1 145</w:t>
            </w:r>
          </w:p>
        </w:tc>
      </w:tr>
      <w:tr w:rsidR="00D155AA" w:rsidRPr="00655FC7" w14:paraId="610F1853" w14:textId="77777777" w:rsidTr="00827748">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center"/>
          </w:tcPr>
          <w:p w14:paraId="0AB27ADB" w14:textId="77777777" w:rsidR="00D155AA" w:rsidRPr="00655FC7" w:rsidRDefault="00D155AA" w:rsidP="00827748">
            <w:pPr>
              <w:spacing w:line="276" w:lineRule="auto"/>
              <w:ind w:firstLine="0"/>
              <w:jc w:val="center"/>
              <w:rPr>
                <w:rFonts w:asciiTheme="minorHAnsi" w:eastAsia="Calibri" w:hAnsiTheme="minorHAnsi" w:cstheme="minorHAnsi"/>
                <w:bCs w:val="0"/>
                <w:color w:val="auto"/>
                <w:sz w:val="18"/>
                <w:szCs w:val="18"/>
              </w:rPr>
            </w:pPr>
            <w:r w:rsidRPr="00655FC7">
              <w:rPr>
                <w:rFonts w:asciiTheme="minorHAnsi" w:eastAsia="Calibri" w:hAnsiTheme="minorHAnsi" w:cstheme="minorHAnsi"/>
                <w:bCs w:val="0"/>
                <w:color w:val="auto"/>
                <w:sz w:val="18"/>
                <w:szCs w:val="18"/>
              </w:rPr>
              <w:t>2.</w:t>
            </w:r>
          </w:p>
        </w:tc>
        <w:tc>
          <w:tcPr>
            <w:tcW w:w="5540" w:type="dxa"/>
            <w:shd w:val="clear" w:color="auto" w:fill="FFFFFF" w:themeFill="background1"/>
            <w:vAlign w:val="center"/>
          </w:tcPr>
          <w:p w14:paraId="7C1FD1B6" w14:textId="77777777" w:rsidR="00D155AA" w:rsidRPr="00655FC7" w:rsidRDefault="00D155AA" w:rsidP="0082774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bCs/>
                <w:color w:val="auto"/>
                <w:sz w:val="18"/>
                <w:szCs w:val="18"/>
              </w:rPr>
            </w:pPr>
            <w:r w:rsidRPr="00655FC7">
              <w:rPr>
                <w:rFonts w:eastAsia="Calibri" w:cstheme="minorHAnsi"/>
                <w:bCs/>
                <w:color w:val="auto"/>
                <w:sz w:val="18"/>
                <w:szCs w:val="18"/>
              </w:rPr>
              <w:t>zużycie energii elektrycznej</w:t>
            </w:r>
          </w:p>
        </w:tc>
        <w:tc>
          <w:tcPr>
            <w:tcW w:w="1417" w:type="dxa"/>
            <w:shd w:val="clear" w:color="auto" w:fill="FFFFFF" w:themeFill="background1"/>
            <w:vAlign w:val="center"/>
          </w:tcPr>
          <w:p w14:paraId="6BBD2F1F" w14:textId="77777777" w:rsidR="00D155AA" w:rsidRPr="00655FC7" w:rsidRDefault="00D155AA" w:rsidP="0082774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bCs/>
                <w:color w:val="auto"/>
                <w:sz w:val="18"/>
                <w:szCs w:val="18"/>
              </w:rPr>
            </w:pPr>
            <w:r w:rsidRPr="00655FC7">
              <w:rPr>
                <w:rFonts w:eastAsia="Calibri" w:cstheme="minorHAnsi"/>
                <w:bCs/>
                <w:color w:val="auto"/>
                <w:sz w:val="18"/>
                <w:szCs w:val="18"/>
              </w:rPr>
              <w:t>MWh</w:t>
            </w:r>
          </w:p>
        </w:tc>
        <w:tc>
          <w:tcPr>
            <w:tcW w:w="1593" w:type="dxa"/>
            <w:shd w:val="clear" w:color="auto" w:fill="FFFFFF" w:themeFill="background1"/>
            <w:vAlign w:val="center"/>
          </w:tcPr>
          <w:p w14:paraId="53C5A9C7" w14:textId="77777777" w:rsidR="00D155AA" w:rsidRPr="00655FC7" w:rsidRDefault="00D155AA" w:rsidP="00827748">
            <w:pPr>
              <w:spacing w:line="276" w:lineRule="auto"/>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 w:val="18"/>
                <w:szCs w:val="18"/>
              </w:rPr>
            </w:pPr>
            <w:r w:rsidRPr="00655FC7">
              <w:rPr>
                <w:sz w:val="18"/>
                <w:szCs w:val="18"/>
              </w:rPr>
              <w:t>1 735,14</w:t>
            </w:r>
          </w:p>
        </w:tc>
      </w:tr>
      <w:tr w:rsidR="00D155AA" w:rsidRPr="00655FC7" w14:paraId="3658E093" w14:textId="77777777" w:rsidTr="0082774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center"/>
          </w:tcPr>
          <w:p w14:paraId="1B250A9C" w14:textId="77777777" w:rsidR="00D155AA" w:rsidRPr="00655FC7" w:rsidRDefault="00D155AA" w:rsidP="00827748">
            <w:pPr>
              <w:spacing w:line="276" w:lineRule="auto"/>
              <w:ind w:firstLine="0"/>
              <w:jc w:val="center"/>
              <w:rPr>
                <w:rFonts w:asciiTheme="minorHAnsi" w:eastAsia="Calibri" w:hAnsiTheme="minorHAnsi" w:cstheme="minorHAnsi"/>
                <w:bCs w:val="0"/>
                <w:color w:val="auto"/>
                <w:sz w:val="18"/>
                <w:szCs w:val="18"/>
              </w:rPr>
            </w:pPr>
            <w:r w:rsidRPr="00655FC7">
              <w:rPr>
                <w:rFonts w:asciiTheme="minorHAnsi" w:eastAsia="Calibri" w:hAnsiTheme="minorHAnsi" w:cstheme="minorHAnsi"/>
                <w:bCs w:val="0"/>
                <w:color w:val="auto"/>
                <w:sz w:val="18"/>
                <w:szCs w:val="18"/>
              </w:rPr>
              <w:t>3.</w:t>
            </w:r>
          </w:p>
        </w:tc>
        <w:tc>
          <w:tcPr>
            <w:tcW w:w="5540" w:type="dxa"/>
            <w:shd w:val="clear" w:color="auto" w:fill="FFFFFF" w:themeFill="background1"/>
            <w:vAlign w:val="center"/>
          </w:tcPr>
          <w:p w14:paraId="7714D012" w14:textId="77777777" w:rsidR="00D155AA" w:rsidRPr="00655FC7" w:rsidRDefault="00D155AA" w:rsidP="0082774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 w:val="18"/>
                <w:szCs w:val="18"/>
              </w:rPr>
            </w:pPr>
            <w:r w:rsidRPr="00655FC7">
              <w:rPr>
                <w:rFonts w:cstheme="minorHAnsi"/>
                <w:bCs/>
                <w:color w:val="auto"/>
                <w:sz w:val="18"/>
                <w:szCs w:val="18"/>
              </w:rPr>
              <w:t>zużycie energii elektrycznej na 1 odbiorcę</w:t>
            </w:r>
          </w:p>
        </w:tc>
        <w:tc>
          <w:tcPr>
            <w:tcW w:w="1417" w:type="dxa"/>
            <w:shd w:val="clear" w:color="auto" w:fill="FFFFFF" w:themeFill="background1"/>
            <w:vAlign w:val="center"/>
          </w:tcPr>
          <w:p w14:paraId="747F34BA" w14:textId="77777777" w:rsidR="00D155AA" w:rsidRPr="00655FC7" w:rsidRDefault="00D155AA" w:rsidP="0082774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bCs/>
                <w:color w:val="auto"/>
                <w:sz w:val="18"/>
                <w:szCs w:val="18"/>
              </w:rPr>
            </w:pPr>
            <w:r w:rsidRPr="00655FC7">
              <w:rPr>
                <w:rFonts w:eastAsia="Calibri" w:cstheme="minorHAnsi"/>
                <w:bCs/>
                <w:color w:val="auto"/>
                <w:sz w:val="18"/>
                <w:szCs w:val="18"/>
              </w:rPr>
              <w:t>kWh</w:t>
            </w:r>
          </w:p>
        </w:tc>
        <w:tc>
          <w:tcPr>
            <w:tcW w:w="1593" w:type="dxa"/>
            <w:shd w:val="clear" w:color="auto" w:fill="FFFFFF" w:themeFill="background1"/>
            <w:vAlign w:val="center"/>
          </w:tcPr>
          <w:p w14:paraId="4F16BCE1" w14:textId="77777777" w:rsidR="00D155AA" w:rsidRPr="00655FC7" w:rsidRDefault="00D155AA" w:rsidP="00827748">
            <w:pPr>
              <w:spacing w:line="276" w:lineRule="auto"/>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bCs/>
                <w:color w:val="auto"/>
                <w:sz w:val="18"/>
                <w:szCs w:val="18"/>
              </w:rPr>
            </w:pPr>
            <w:r w:rsidRPr="00655FC7">
              <w:rPr>
                <w:sz w:val="18"/>
                <w:szCs w:val="18"/>
              </w:rPr>
              <w:t>547,02</w:t>
            </w:r>
          </w:p>
        </w:tc>
      </w:tr>
      <w:tr w:rsidR="00D155AA" w:rsidRPr="00655FC7" w14:paraId="6EEC3B46" w14:textId="77777777" w:rsidTr="00827748">
        <w:trPr>
          <w:trHeight w:val="340"/>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1"/>
            <w:vAlign w:val="center"/>
          </w:tcPr>
          <w:p w14:paraId="0AAC4345" w14:textId="77777777" w:rsidR="00D155AA" w:rsidRPr="00655FC7" w:rsidRDefault="00D155AA" w:rsidP="00827748">
            <w:pPr>
              <w:ind w:firstLine="0"/>
              <w:jc w:val="center"/>
              <w:rPr>
                <w:rFonts w:asciiTheme="minorHAnsi" w:eastAsia="Calibri" w:hAnsiTheme="minorHAnsi" w:cstheme="minorHAnsi"/>
                <w:bCs w:val="0"/>
                <w:color w:val="auto"/>
                <w:sz w:val="18"/>
                <w:szCs w:val="18"/>
              </w:rPr>
            </w:pPr>
            <w:r w:rsidRPr="00655FC7">
              <w:rPr>
                <w:rFonts w:asciiTheme="minorHAnsi" w:eastAsia="Calibri" w:hAnsiTheme="minorHAnsi" w:cstheme="minorHAnsi"/>
                <w:bCs w:val="0"/>
                <w:color w:val="auto"/>
                <w:sz w:val="18"/>
                <w:szCs w:val="18"/>
              </w:rPr>
              <w:t>4.</w:t>
            </w:r>
          </w:p>
        </w:tc>
        <w:tc>
          <w:tcPr>
            <w:tcW w:w="5540" w:type="dxa"/>
            <w:shd w:val="clear" w:color="auto" w:fill="FFFFFF" w:themeFill="background1"/>
            <w:vAlign w:val="center"/>
          </w:tcPr>
          <w:p w14:paraId="0D9D55B5"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 w:val="18"/>
                <w:szCs w:val="18"/>
              </w:rPr>
            </w:pPr>
            <w:r w:rsidRPr="00655FC7">
              <w:rPr>
                <w:rFonts w:cstheme="minorHAnsi"/>
                <w:bCs/>
                <w:color w:val="auto"/>
                <w:sz w:val="18"/>
                <w:szCs w:val="18"/>
              </w:rPr>
              <w:t>zużycie energii elektrycznej na 1 mieszkańca</w:t>
            </w:r>
          </w:p>
        </w:tc>
        <w:tc>
          <w:tcPr>
            <w:tcW w:w="1417" w:type="dxa"/>
            <w:shd w:val="clear" w:color="auto" w:fill="FFFFFF" w:themeFill="background1"/>
            <w:vAlign w:val="center"/>
          </w:tcPr>
          <w:p w14:paraId="67EDB799"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bCs/>
                <w:color w:val="auto"/>
                <w:sz w:val="18"/>
                <w:szCs w:val="18"/>
              </w:rPr>
            </w:pPr>
            <w:r w:rsidRPr="00655FC7">
              <w:rPr>
                <w:rFonts w:eastAsia="Calibri" w:cstheme="minorHAnsi"/>
                <w:bCs/>
                <w:color w:val="auto"/>
                <w:sz w:val="18"/>
                <w:szCs w:val="18"/>
              </w:rPr>
              <w:t>kWh</w:t>
            </w:r>
          </w:p>
        </w:tc>
        <w:tc>
          <w:tcPr>
            <w:tcW w:w="1593" w:type="dxa"/>
            <w:shd w:val="clear" w:color="auto" w:fill="FFFFFF" w:themeFill="background1"/>
            <w:vAlign w:val="center"/>
          </w:tcPr>
          <w:p w14:paraId="25A9674A"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bCs/>
                <w:color w:val="auto"/>
                <w:sz w:val="18"/>
                <w:szCs w:val="18"/>
              </w:rPr>
            </w:pPr>
            <w:r w:rsidRPr="00655FC7">
              <w:rPr>
                <w:sz w:val="18"/>
                <w:szCs w:val="18"/>
              </w:rPr>
              <w:t>1 515,41</w:t>
            </w:r>
          </w:p>
        </w:tc>
      </w:tr>
    </w:tbl>
    <w:p w14:paraId="77AAF1E0" w14:textId="77777777" w:rsidR="00D155AA" w:rsidRPr="00655FC7" w:rsidRDefault="00D155AA" w:rsidP="00D155AA">
      <w:pPr>
        <w:pStyle w:val="Cytat"/>
      </w:pPr>
      <w:r w:rsidRPr="00655FC7">
        <w:t>źródło: GUS</w:t>
      </w:r>
    </w:p>
    <w:p w14:paraId="740E0B8B" w14:textId="77777777" w:rsidR="00D155AA" w:rsidRPr="00655FC7" w:rsidRDefault="00D155AA" w:rsidP="00D155AA">
      <w:pPr>
        <w:rPr>
          <w:rFonts w:cstheme="minorHAnsi"/>
          <w:lang w:eastAsia="pl-PL"/>
        </w:rPr>
      </w:pPr>
    </w:p>
    <w:p w14:paraId="59DDC65C" w14:textId="77777777" w:rsidR="00D155AA" w:rsidRPr="00655FC7" w:rsidRDefault="00D155AA" w:rsidP="00D155AA">
      <w:pPr>
        <w:rPr>
          <w:rFonts w:cstheme="minorHAnsi"/>
          <w:lang w:eastAsia="pl-PL"/>
        </w:rPr>
      </w:pPr>
      <w:r w:rsidRPr="00655FC7">
        <w:rPr>
          <w:rFonts w:cstheme="minorHAnsi"/>
          <w:lang w:eastAsia="pl-PL"/>
        </w:rPr>
        <w:t>Analizując zużycie energii elektrycznej na 1 mieszkańca w latach 2013-2022 (rysunek poniżej) można zauważyć, że trend w ostatnich dziesięciu latach był stały. Jednak w 2022 roku nastąpił znaczy spadek zużycia energii, o 16,3% względem roku poprzedniego. Badana zmienna odnosi się do zużycia energii na jednego mieszkańca.</w:t>
      </w:r>
    </w:p>
    <w:p w14:paraId="2C0FA2CC" w14:textId="77777777" w:rsidR="00D155AA" w:rsidRPr="00655FC7" w:rsidRDefault="00D155AA" w:rsidP="00D155AA">
      <w:pPr>
        <w:rPr>
          <w:rFonts w:cstheme="minorHAnsi"/>
          <w:lang w:eastAsia="pl-PL"/>
        </w:rPr>
      </w:pPr>
    </w:p>
    <w:p w14:paraId="6EE52ABF" w14:textId="77777777" w:rsidR="00D155AA" w:rsidRPr="00655FC7" w:rsidRDefault="00D155AA" w:rsidP="00D155AA">
      <w:pPr>
        <w:ind w:firstLine="0"/>
        <w:rPr>
          <w:rFonts w:cstheme="minorHAnsi"/>
          <w:lang w:eastAsia="pl-PL"/>
        </w:rPr>
      </w:pPr>
      <w:r w:rsidRPr="00655FC7">
        <w:rPr>
          <w:noProof/>
        </w:rPr>
        <w:drawing>
          <wp:inline distT="0" distB="0" distL="0" distR="0" wp14:anchorId="2B940004" wp14:editId="67D1559E">
            <wp:extent cx="5760000" cy="3600000"/>
            <wp:effectExtent l="0" t="0" r="12700" b="635"/>
            <wp:docPr id="1147569808" name="Wykres 1">
              <a:extLst xmlns:a="http://schemas.openxmlformats.org/drawingml/2006/main">
                <a:ext uri="{FF2B5EF4-FFF2-40B4-BE49-F238E27FC236}">
                  <a16:creationId xmlns:a16="http://schemas.microsoft.com/office/drawing/2014/main" id="{870266AE-D468-425C-820E-B3EFE26162C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68A5DBE4" w14:textId="7ED6B84B" w:rsidR="00D155AA" w:rsidRPr="00655FC7" w:rsidRDefault="00D155AA" w:rsidP="00D155AA">
      <w:pPr>
        <w:pStyle w:val="Stylrysunek"/>
      </w:pPr>
      <w:bookmarkStart w:id="131" w:name="_Toc178846368"/>
      <w:r w:rsidRPr="00655FC7">
        <w:t xml:space="preserve">Rysunek </w:t>
      </w:r>
      <w:r w:rsidR="00EA4C85">
        <w:fldChar w:fldCharType="begin"/>
      </w:r>
      <w:r w:rsidR="00EA4C85">
        <w:instrText xml:space="preserve"> SEQ Rysunek \* ARABIC </w:instrText>
      </w:r>
      <w:r w:rsidR="00EA4C85">
        <w:fldChar w:fldCharType="separate"/>
      </w:r>
      <w:r w:rsidR="00A654D8">
        <w:rPr>
          <w:noProof/>
        </w:rPr>
        <w:t>26</w:t>
      </w:r>
      <w:r w:rsidR="00EA4C85">
        <w:rPr>
          <w:noProof/>
        </w:rPr>
        <w:fldChar w:fldCharType="end"/>
      </w:r>
      <w:r w:rsidRPr="00655FC7">
        <w:t>. Zużycie energii elektrycznej na 1 mieszkańca w latach 2013-2022.</w:t>
      </w:r>
      <w:bookmarkEnd w:id="131"/>
    </w:p>
    <w:p w14:paraId="3DF1B96E" w14:textId="77777777" w:rsidR="00D155AA" w:rsidRPr="00655FC7" w:rsidRDefault="00D155AA" w:rsidP="00D155AA">
      <w:pPr>
        <w:pStyle w:val="Cytat"/>
      </w:pPr>
      <w:r w:rsidRPr="00655FC7">
        <w:t>źródło: Geoportal, opracowanie własne</w:t>
      </w:r>
    </w:p>
    <w:p w14:paraId="7D63979C" w14:textId="77777777" w:rsidR="00D155AA" w:rsidRPr="00655FC7" w:rsidRDefault="00D155AA" w:rsidP="00D155AA">
      <w:pPr>
        <w:rPr>
          <w:lang w:eastAsia="pl-PL"/>
        </w:rPr>
      </w:pPr>
    </w:p>
    <w:p w14:paraId="710D88CC" w14:textId="77777777" w:rsidR="005F5DEE" w:rsidRPr="00655FC7" w:rsidRDefault="00D155AA" w:rsidP="00D155AA">
      <w:pPr>
        <w:widowControl w:val="0"/>
        <w:spacing w:line="240" w:lineRule="auto"/>
        <w:rPr>
          <w:rFonts w:ascii="Calibri" w:eastAsia="Calibri" w:hAnsi="Calibri" w:cs="Calibri"/>
          <w:color w:val="auto"/>
        </w:rPr>
      </w:pPr>
      <w:r w:rsidRPr="00655FC7">
        <w:rPr>
          <w:rFonts w:ascii="Calibri" w:eastAsia="Calibri" w:hAnsi="Calibri" w:cs="Calibri"/>
          <w:color w:val="auto"/>
        </w:rPr>
        <w:t>Na terenie Miasta Tarnogród istnieje 245 szt. instalacji OZE (w tym 242 szt. mikroinstalacji), z czego 10 instalacji OZE zlokalizowanych na budynkach użyteczności publicznej</w:t>
      </w:r>
      <w:r w:rsidR="005F5DEE" w:rsidRPr="00655FC7">
        <w:rPr>
          <w:rFonts w:ascii="Calibri" w:eastAsia="Calibri" w:hAnsi="Calibri" w:cs="Calibri"/>
          <w:color w:val="auto"/>
        </w:rPr>
        <w:t xml:space="preserve"> – są to między innymi: </w:t>
      </w:r>
    </w:p>
    <w:p w14:paraId="36C9539C" w14:textId="34B0CD8B" w:rsidR="005F5DEE" w:rsidRPr="00655FC7" w:rsidRDefault="005F5DEE">
      <w:pPr>
        <w:pStyle w:val="Akapitzlist"/>
        <w:numPr>
          <w:ilvl w:val="0"/>
          <w:numId w:val="55"/>
        </w:numPr>
      </w:pPr>
      <w:r w:rsidRPr="00655FC7">
        <w:t>Szkoła Podstawowa im. Marii Curie Skłodowskiej w Tarnogrodzie, ul. 1 Maja 7,</w:t>
      </w:r>
    </w:p>
    <w:p w14:paraId="47F09AF8" w14:textId="44C41D42" w:rsidR="005F5DEE" w:rsidRPr="00655FC7" w:rsidRDefault="005F5DEE">
      <w:pPr>
        <w:pStyle w:val="Akapitzlist"/>
        <w:numPr>
          <w:ilvl w:val="0"/>
          <w:numId w:val="55"/>
        </w:numPr>
      </w:pPr>
      <w:r w:rsidRPr="00655FC7">
        <w:t>Środowiskowy Dom Samopomocy, ul. Szkolna 2,</w:t>
      </w:r>
    </w:p>
    <w:p w14:paraId="70BC3607" w14:textId="2B889361" w:rsidR="00D155AA" w:rsidRPr="00655FC7" w:rsidRDefault="005F5DEE">
      <w:pPr>
        <w:pStyle w:val="Akapitzlist"/>
        <w:numPr>
          <w:ilvl w:val="0"/>
          <w:numId w:val="55"/>
        </w:numPr>
      </w:pPr>
      <w:r w:rsidRPr="00655FC7">
        <w:t>budynek po byłym gimnazjum, ul. Kościelna 12.</w:t>
      </w:r>
    </w:p>
    <w:p w14:paraId="3589D51B" w14:textId="644CB607" w:rsidR="005F5DEE" w:rsidRPr="00655FC7" w:rsidRDefault="005F5DEE">
      <w:pPr>
        <w:spacing w:after="200"/>
        <w:ind w:firstLine="0"/>
        <w:jc w:val="left"/>
        <w:rPr>
          <w:rFonts w:ascii="Calibri" w:eastAsia="Calibri" w:hAnsi="Calibri" w:cs="Calibri"/>
          <w:color w:val="auto"/>
        </w:rPr>
      </w:pPr>
      <w:r w:rsidRPr="00655FC7">
        <w:rPr>
          <w:rFonts w:ascii="Calibri" w:eastAsia="Calibri" w:hAnsi="Calibri" w:cs="Calibri"/>
          <w:color w:val="auto"/>
        </w:rPr>
        <w:br w:type="page"/>
      </w:r>
    </w:p>
    <w:p w14:paraId="7F719C35" w14:textId="77777777" w:rsidR="00D155AA" w:rsidRPr="00655FC7" w:rsidRDefault="00D155AA" w:rsidP="00D155AA">
      <w:pPr>
        <w:widowControl w:val="0"/>
        <w:spacing w:line="240" w:lineRule="auto"/>
        <w:rPr>
          <w:rFonts w:ascii="Calibri" w:eastAsia="Calibri" w:hAnsi="Calibri" w:cs="Calibri"/>
          <w:color w:val="auto"/>
        </w:rPr>
      </w:pPr>
      <w:r w:rsidRPr="00655FC7">
        <w:rPr>
          <w:rFonts w:ascii="Calibri" w:eastAsia="Calibri" w:hAnsi="Calibri" w:cs="Calibri"/>
          <w:color w:val="auto"/>
        </w:rPr>
        <w:lastRenderedPageBreak/>
        <w:t>Poniżej zestawiono ilość instalacji OZE na terenie miasta w ostatnich 3 latach oraz ich łączną moc.</w:t>
      </w:r>
    </w:p>
    <w:p w14:paraId="680C540E" w14:textId="77777777" w:rsidR="005F5DEE" w:rsidRPr="00655FC7" w:rsidRDefault="005F5DEE" w:rsidP="005F5DEE"/>
    <w:p w14:paraId="5F4A40FE" w14:textId="7FB48D07" w:rsidR="00D155AA" w:rsidRPr="00655FC7" w:rsidRDefault="00D155AA" w:rsidP="00D155AA">
      <w:pPr>
        <w:pStyle w:val="Styltabela"/>
      </w:pPr>
      <w:bookmarkStart w:id="132" w:name="_Toc178846319"/>
      <w:r w:rsidRPr="00655FC7">
        <w:t xml:space="preserve">Tabela </w:t>
      </w:r>
      <w:r w:rsidR="00E833A9">
        <w:fldChar w:fldCharType="begin"/>
      </w:r>
      <w:r w:rsidR="00E833A9">
        <w:instrText xml:space="preserve"> SEQ Tabela \* ARABIC </w:instrText>
      </w:r>
      <w:r w:rsidR="00E833A9">
        <w:fldChar w:fldCharType="separate"/>
      </w:r>
      <w:r w:rsidR="00A654D8">
        <w:rPr>
          <w:noProof/>
        </w:rPr>
        <w:t>13</w:t>
      </w:r>
      <w:r w:rsidR="00E833A9">
        <w:rPr>
          <w:noProof/>
        </w:rPr>
        <w:fldChar w:fldCharType="end"/>
      </w:r>
      <w:r w:rsidRPr="00655FC7">
        <w:t>. Ilość instalacji OZE na terenie miasta.</w:t>
      </w:r>
      <w:bookmarkEnd w:id="132"/>
    </w:p>
    <w:tbl>
      <w:tblPr>
        <w:tblStyle w:val="Tabelasiatki5ciemnaakcent1"/>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268"/>
        <w:gridCol w:w="2268"/>
        <w:gridCol w:w="2268"/>
      </w:tblGrid>
      <w:tr w:rsidR="00D155AA" w:rsidRPr="00655FC7" w14:paraId="3A13D7CB" w14:textId="77777777" w:rsidTr="005B0EE0">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03" w:type="dxa"/>
            <w:tcBorders>
              <w:top w:val="single" w:sz="4" w:space="0" w:color="auto"/>
              <w:left w:val="single" w:sz="4" w:space="0" w:color="auto"/>
              <w:right w:val="single" w:sz="4" w:space="0" w:color="auto"/>
            </w:tcBorders>
            <w:shd w:val="clear" w:color="auto" w:fill="9BBB59" w:themeFill="accent6" w:themeFillShade="BF"/>
            <w:vAlign w:val="center"/>
          </w:tcPr>
          <w:p w14:paraId="3EAC4BC1" w14:textId="77777777" w:rsidR="00D155AA" w:rsidRPr="00655FC7" w:rsidRDefault="00D155AA" w:rsidP="00827748">
            <w:pPr>
              <w:ind w:firstLine="0"/>
              <w:jc w:val="center"/>
              <w:rPr>
                <w:sz w:val="18"/>
                <w:szCs w:val="18"/>
                <w:lang w:eastAsia="pl-PL"/>
              </w:rPr>
            </w:pPr>
            <w:r w:rsidRPr="00655FC7">
              <w:rPr>
                <w:sz w:val="18"/>
                <w:szCs w:val="18"/>
                <w:lang w:eastAsia="pl-PL"/>
              </w:rPr>
              <w:t>Rok</w:t>
            </w:r>
          </w:p>
        </w:tc>
        <w:tc>
          <w:tcPr>
            <w:tcW w:w="2303" w:type="dxa"/>
            <w:tcBorders>
              <w:top w:val="single" w:sz="4" w:space="0" w:color="auto"/>
              <w:left w:val="single" w:sz="4" w:space="0" w:color="auto"/>
              <w:right w:val="single" w:sz="4" w:space="0" w:color="auto"/>
            </w:tcBorders>
            <w:shd w:val="clear" w:color="auto" w:fill="9BBB59" w:themeFill="accent6" w:themeFillShade="BF"/>
            <w:vAlign w:val="center"/>
          </w:tcPr>
          <w:p w14:paraId="72E31223"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sz w:val="18"/>
                <w:szCs w:val="18"/>
                <w:lang w:eastAsia="pl-PL"/>
              </w:rPr>
            </w:pPr>
            <w:r w:rsidRPr="00655FC7">
              <w:rPr>
                <w:sz w:val="18"/>
                <w:szCs w:val="18"/>
                <w:lang w:eastAsia="pl-PL"/>
              </w:rPr>
              <w:t>2021</w:t>
            </w:r>
          </w:p>
        </w:tc>
        <w:tc>
          <w:tcPr>
            <w:tcW w:w="2303" w:type="dxa"/>
            <w:tcBorders>
              <w:top w:val="single" w:sz="4" w:space="0" w:color="auto"/>
              <w:left w:val="single" w:sz="4" w:space="0" w:color="auto"/>
              <w:right w:val="single" w:sz="4" w:space="0" w:color="auto"/>
            </w:tcBorders>
            <w:shd w:val="clear" w:color="auto" w:fill="9BBB59" w:themeFill="accent6" w:themeFillShade="BF"/>
            <w:vAlign w:val="center"/>
          </w:tcPr>
          <w:p w14:paraId="0C3BBF8E"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sz w:val="18"/>
                <w:szCs w:val="18"/>
                <w:lang w:eastAsia="pl-PL"/>
              </w:rPr>
            </w:pPr>
            <w:r w:rsidRPr="00655FC7">
              <w:rPr>
                <w:sz w:val="18"/>
                <w:szCs w:val="18"/>
                <w:lang w:eastAsia="pl-PL"/>
              </w:rPr>
              <w:t>2022</w:t>
            </w:r>
          </w:p>
        </w:tc>
        <w:tc>
          <w:tcPr>
            <w:tcW w:w="2303" w:type="dxa"/>
            <w:tcBorders>
              <w:top w:val="single" w:sz="4" w:space="0" w:color="auto"/>
              <w:left w:val="single" w:sz="4" w:space="0" w:color="auto"/>
              <w:right w:val="single" w:sz="4" w:space="0" w:color="auto"/>
            </w:tcBorders>
            <w:shd w:val="clear" w:color="auto" w:fill="9BBB59" w:themeFill="accent6" w:themeFillShade="BF"/>
            <w:vAlign w:val="center"/>
          </w:tcPr>
          <w:p w14:paraId="6B30615B"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sz w:val="18"/>
                <w:szCs w:val="18"/>
                <w:lang w:eastAsia="pl-PL"/>
              </w:rPr>
            </w:pPr>
            <w:r w:rsidRPr="00655FC7">
              <w:rPr>
                <w:sz w:val="18"/>
                <w:szCs w:val="18"/>
                <w:lang w:eastAsia="pl-PL"/>
              </w:rPr>
              <w:t>2023</w:t>
            </w:r>
          </w:p>
        </w:tc>
      </w:tr>
      <w:tr w:rsidR="00D155AA" w:rsidRPr="00655FC7" w14:paraId="0FEF1A94" w14:textId="77777777" w:rsidTr="005B0EE0">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9212" w:type="dxa"/>
            <w:gridSpan w:val="4"/>
            <w:tcBorders>
              <w:left w:val="none" w:sz="0" w:space="0" w:color="auto"/>
            </w:tcBorders>
            <w:shd w:val="clear" w:color="auto" w:fill="9BBB59" w:themeFill="accent6" w:themeFillShade="BF"/>
            <w:vAlign w:val="center"/>
          </w:tcPr>
          <w:p w14:paraId="264A6AC7" w14:textId="77777777" w:rsidR="00D155AA" w:rsidRPr="00655FC7" w:rsidRDefault="00D155AA" w:rsidP="00827748">
            <w:pPr>
              <w:ind w:firstLine="0"/>
              <w:jc w:val="center"/>
              <w:rPr>
                <w:sz w:val="18"/>
                <w:szCs w:val="18"/>
                <w:lang w:eastAsia="pl-PL"/>
              </w:rPr>
            </w:pPr>
            <w:r w:rsidRPr="00655FC7">
              <w:rPr>
                <w:sz w:val="18"/>
                <w:szCs w:val="18"/>
                <w:lang w:eastAsia="pl-PL"/>
              </w:rPr>
              <w:t>Instalacje OZE z wyłączeniem mikroinstalacji</w:t>
            </w:r>
          </w:p>
        </w:tc>
      </w:tr>
      <w:tr w:rsidR="00D155AA" w:rsidRPr="00655FC7" w14:paraId="70846BE6" w14:textId="77777777" w:rsidTr="005B0EE0">
        <w:trPr>
          <w:trHeight w:val="340"/>
          <w:jc w:val="center"/>
        </w:trPr>
        <w:tc>
          <w:tcPr>
            <w:cnfStyle w:val="001000000000" w:firstRow="0" w:lastRow="0" w:firstColumn="1" w:lastColumn="0" w:oddVBand="0" w:evenVBand="0" w:oddHBand="0" w:evenHBand="0" w:firstRowFirstColumn="0" w:firstRowLastColumn="0" w:lastRowFirstColumn="0" w:lastRowLastColumn="0"/>
            <w:tcW w:w="2303" w:type="dxa"/>
            <w:tcBorders>
              <w:left w:val="none" w:sz="0" w:space="0" w:color="auto"/>
            </w:tcBorders>
            <w:shd w:val="clear" w:color="auto" w:fill="9BBB59" w:themeFill="accent6" w:themeFillShade="BF"/>
            <w:vAlign w:val="center"/>
          </w:tcPr>
          <w:p w14:paraId="62DB61C7" w14:textId="77777777" w:rsidR="00D155AA" w:rsidRPr="00655FC7" w:rsidRDefault="00D155AA" w:rsidP="00827748">
            <w:pPr>
              <w:ind w:firstLine="0"/>
              <w:jc w:val="center"/>
              <w:rPr>
                <w:sz w:val="18"/>
                <w:szCs w:val="18"/>
                <w:lang w:eastAsia="pl-PL"/>
              </w:rPr>
            </w:pPr>
            <w:r w:rsidRPr="00655FC7">
              <w:rPr>
                <w:sz w:val="18"/>
                <w:szCs w:val="18"/>
                <w:lang w:eastAsia="pl-PL"/>
              </w:rPr>
              <w:t>Ilość [szt.]</w:t>
            </w:r>
          </w:p>
        </w:tc>
        <w:tc>
          <w:tcPr>
            <w:tcW w:w="2303" w:type="dxa"/>
            <w:vAlign w:val="center"/>
          </w:tcPr>
          <w:p w14:paraId="1542EA1C"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sz w:val="18"/>
                <w:szCs w:val="18"/>
                <w:lang w:eastAsia="pl-PL"/>
              </w:rPr>
            </w:pPr>
            <w:r w:rsidRPr="00655FC7">
              <w:rPr>
                <w:sz w:val="18"/>
                <w:szCs w:val="18"/>
                <w:lang w:eastAsia="pl-PL"/>
              </w:rPr>
              <w:t>0</w:t>
            </w:r>
          </w:p>
        </w:tc>
        <w:tc>
          <w:tcPr>
            <w:tcW w:w="2303" w:type="dxa"/>
            <w:vAlign w:val="center"/>
          </w:tcPr>
          <w:p w14:paraId="431BED58"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sz w:val="18"/>
                <w:szCs w:val="18"/>
                <w:lang w:eastAsia="pl-PL"/>
              </w:rPr>
            </w:pPr>
            <w:r w:rsidRPr="00655FC7">
              <w:rPr>
                <w:sz w:val="18"/>
                <w:szCs w:val="18"/>
                <w:lang w:eastAsia="pl-PL"/>
              </w:rPr>
              <w:t>3</w:t>
            </w:r>
          </w:p>
        </w:tc>
        <w:tc>
          <w:tcPr>
            <w:tcW w:w="2303" w:type="dxa"/>
            <w:vAlign w:val="center"/>
          </w:tcPr>
          <w:p w14:paraId="216D1326"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sz w:val="18"/>
                <w:szCs w:val="18"/>
                <w:lang w:eastAsia="pl-PL"/>
              </w:rPr>
            </w:pPr>
            <w:r w:rsidRPr="00655FC7">
              <w:rPr>
                <w:sz w:val="18"/>
                <w:szCs w:val="18"/>
                <w:lang w:eastAsia="pl-PL"/>
              </w:rPr>
              <w:t>3</w:t>
            </w:r>
          </w:p>
        </w:tc>
      </w:tr>
      <w:tr w:rsidR="00D155AA" w:rsidRPr="00655FC7" w14:paraId="29637DEC" w14:textId="77777777" w:rsidTr="005B0EE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303" w:type="dxa"/>
            <w:tcBorders>
              <w:left w:val="none" w:sz="0" w:space="0" w:color="auto"/>
            </w:tcBorders>
            <w:shd w:val="clear" w:color="auto" w:fill="9BBB59" w:themeFill="accent6" w:themeFillShade="BF"/>
            <w:vAlign w:val="center"/>
          </w:tcPr>
          <w:p w14:paraId="232C4141" w14:textId="77777777" w:rsidR="00D155AA" w:rsidRPr="00655FC7" w:rsidRDefault="00D155AA" w:rsidP="00827748">
            <w:pPr>
              <w:ind w:firstLine="0"/>
              <w:jc w:val="center"/>
              <w:rPr>
                <w:sz w:val="18"/>
                <w:szCs w:val="18"/>
                <w:lang w:eastAsia="pl-PL"/>
              </w:rPr>
            </w:pPr>
            <w:r w:rsidRPr="00655FC7">
              <w:rPr>
                <w:sz w:val="18"/>
                <w:szCs w:val="18"/>
                <w:lang w:eastAsia="pl-PL"/>
              </w:rPr>
              <w:t>Łączna moc [MW]</w:t>
            </w:r>
          </w:p>
        </w:tc>
        <w:tc>
          <w:tcPr>
            <w:tcW w:w="2303" w:type="dxa"/>
            <w:shd w:val="clear" w:color="auto" w:fill="FFFFFF" w:themeFill="background1"/>
            <w:vAlign w:val="center"/>
          </w:tcPr>
          <w:p w14:paraId="73D02743"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sz w:val="18"/>
                <w:szCs w:val="18"/>
                <w:lang w:eastAsia="pl-PL"/>
              </w:rPr>
            </w:pPr>
            <w:r w:rsidRPr="00655FC7">
              <w:rPr>
                <w:sz w:val="18"/>
                <w:szCs w:val="18"/>
                <w:lang w:eastAsia="pl-PL"/>
              </w:rPr>
              <w:t>0</w:t>
            </w:r>
          </w:p>
        </w:tc>
        <w:tc>
          <w:tcPr>
            <w:tcW w:w="2303" w:type="dxa"/>
            <w:shd w:val="clear" w:color="auto" w:fill="FFFFFF" w:themeFill="background1"/>
            <w:vAlign w:val="center"/>
          </w:tcPr>
          <w:p w14:paraId="137F2E94"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sz w:val="18"/>
                <w:szCs w:val="18"/>
                <w:lang w:eastAsia="pl-PL"/>
              </w:rPr>
            </w:pPr>
            <w:r w:rsidRPr="00655FC7">
              <w:rPr>
                <w:sz w:val="18"/>
                <w:szCs w:val="18"/>
                <w:lang w:eastAsia="pl-PL"/>
              </w:rPr>
              <w:t>2,996</w:t>
            </w:r>
          </w:p>
        </w:tc>
        <w:tc>
          <w:tcPr>
            <w:tcW w:w="2303" w:type="dxa"/>
            <w:shd w:val="clear" w:color="auto" w:fill="FFFFFF" w:themeFill="background1"/>
            <w:vAlign w:val="center"/>
          </w:tcPr>
          <w:p w14:paraId="112A9359"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sz w:val="18"/>
                <w:szCs w:val="18"/>
                <w:lang w:eastAsia="pl-PL"/>
              </w:rPr>
            </w:pPr>
            <w:r w:rsidRPr="00655FC7">
              <w:rPr>
                <w:sz w:val="18"/>
                <w:szCs w:val="18"/>
                <w:lang w:eastAsia="pl-PL"/>
              </w:rPr>
              <w:t>2,996</w:t>
            </w:r>
          </w:p>
        </w:tc>
      </w:tr>
      <w:tr w:rsidR="00D155AA" w:rsidRPr="00655FC7" w14:paraId="56C45544" w14:textId="77777777" w:rsidTr="005B0EE0">
        <w:trPr>
          <w:trHeight w:val="397"/>
          <w:jc w:val="center"/>
        </w:trPr>
        <w:tc>
          <w:tcPr>
            <w:cnfStyle w:val="001000000000" w:firstRow="0" w:lastRow="0" w:firstColumn="1" w:lastColumn="0" w:oddVBand="0" w:evenVBand="0" w:oddHBand="0" w:evenHBand="0" w:firstRowFirstColumn="0" w:firstRowLastColumn="0" w:lastRowFirstColumn="0" w:lastRowLastColumn="0"/>
            <w:tcW w:w="9212" w:type="dxa"/>
            <w:gridSpan w:val="4"/>
            <w:tcBorders>
              <w:left w:val="none" w:sz="0" w:space="0" w:color="auto"/>
            </w:tcBorders>
            <w:shd w:val="clear" w:color="auto" w:fill="9BBB59" w:themeFill="accent6" w:themeFillShade="BF"/>
            <w:vAlign w:val="center"/>
          </w:tcPr>
          <w:p w14:paraId="68E2903D" w14:textId="77777777" w:rsidR="00D155AA" w:rsidRPr="00655FC7" w:rsidRDefault="00D155AA" w:rsidP="00827748">
            <w:pPr>
              <w:ind w:firstLine="0"/>
              <w:jc w:val="center"/>
              <w:rPr>
                <w:sz w:val="18"/>
                <w:szCs w:val="18"/>
                <w:lang w:eastAsia="pl-PL"/>
              </w:rPr>
            </w:pPr>
            <w:r w:rsidRPr="00655FC7">
              <w:rPr>
                <w:sz w:val="18"/>
                <w:szCs w:val="18"/>
                <w:lang w:eastAsia="pl-PL"/>
              </w:rPr>
              <w:t>Instalacje OZE – mikroinstalacje</w:t>
            </w:r>
          </w:p>
        </w:tc>
      </w:tr>
      <w:tr w:rsidR="00D155AA" w:rsidRPr="00655FC7" w14:paraId="4D1F84EE" w14:textId="77777777" w:rsidTr="005B0EE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303" w:type="dxa"/>
            <w:tcBorders>
              <w:left w:val="none" w:sz="0" w:space="0" w:color="auto"/>
            </w:tcBorders>
            <w:shd w:val="clear" w:color="auto" w:fill="9BBB59" w:themeFill="accent6" w:themeFillShade="BF"/>
            <w:vAlign w:val="center"/>
          </w:tcPr>
          <w:p w14:paraId="4507FB21" w14:textId="77777777" w:rsidR="00D155AA" w:rsidRPr="00655FC7" w:rsidRDefault="00D155AA" w:rsidP="00827748">
            <w:pPr>
              <w:ind w:firstLine="0"/>
              <w:jc w:val="center"/>
              <w:rPr>
                <w:sz w:val="18"/>
                <w:szCs w:val="18"/>
                <w:lang w:eastAsia="pl-PL"/>
              </w:rPr>
            </w:pPr>
            <w:r w:rsidRPr="00655FC7">
              <w:rPr>
                <w:sz w:val="18"/>
                <w:szCs w:val="18"/>
                <w:lang w:eastAsia="pl-PL"/>
              </w:rPr>
              <w:t>Ilość [szt.]</w:t>
            </w:r>
          </w:p>
        </w:tc>
        <w:tc>
          <w:tcPr>
            <w:tcW w:w="2303" w:type="dxa"/>
            <w:shd w:val="clear" w:color="auto" w:fill="E1EFCB" w:themeFill="accent1" w:themeFillTint="33"/>
            <w:vAlign w:val="center"/>
          </w:tcPr>
          <w:p w14:paraId="5E39EA44"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sz w:val="18"/>
                <w:szCs w:val="18"/>
                <w:lang w:eastAsia="pl-PL"/>
              </w:rPr>
            </w:pPr>
            <w:r w:rsidRPr="00655FC7">
              <w:rPr>
                <w:sz w:val="18"/>
                <w:szCs w:val="18"/>
                <w:lang w:eastAsia="pl-PL"/>
              </w:rPr>
              <w:t>148</w:t>
            </w:r>
          </w:p>
        </w:tc>
        <w:tc>
          <w:tcPr>
            <w:tcW w:w="2303" w:type="dxa"/>
            <w:shd w:val="clear" w:color="auto" w:fill="E1EFCB" w:themeFill="accent1" w:themeFillTint="33"/>
            <w:vAlign w:val="center"/>
          </w:tcPr>
          <w:p w14:paraId="6EDD2544"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sz w:val="18"/>
                <w:szCs w:val="18"/>
                <w:lang w:eastAsia="pl-PL"/>
              </w:rPr>
            </w:pPr>
            <w:r w:rsidRPr="00655FC7">
              <w:rPr>
                <w:sz w:val="18"/>
                <w:szCs w:val="18"/>
                <w:lang w:eastAsia="pl-PL"/>
              </w:rPr>
              <w:t>226</w:t>
            </w:r>
          </w:p>
        </w:tc>
        <w:tc>
          <w:tcPr>
            <w:tcW w:w="2303" w:type="dxa"/>
            <w:shd w:val="clear" w:color="auto" w:fill="E1EFCB" w:themeFill="accent1" w:themeFillTint="33"/>
            <w:vAlign w:val="center"/>
          </w:tcPr>
          <w:p w14:paraId="34EB977E"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sz w:val="18"/>
                <w:szCs w:val="18"/>
                <w:lang w:eastAsia="pl-PL"/>
              </w:rPr>
            </w:pPr>
            <w:r w:rsidRPr="00655FC7">
              <w:rPr>
                <w:sz w:val="18"/>
                <w:szCs w:val="18"/>
                <w:lang w:eastAsia="pl-PL"/>
              </w:rPr>
              <w:t>242</w:t>
            </w:r>
          </w:p>
        </w:tc>
      </w:tr>
      <w:tr w:rsidR="00D155AA" w:rsidRPr="00655FC7" w14:paraId="73A60281" w14:textId="77777777" w:rsidTr="005B0EE0">
        <w:trPr>
          <w:trHeight w:val="340"/>
          <w:jc w:val="center"/>
        </w:trPr>
        <w:tc>
          <w:tcPr>
            <w:cnfStyle w:val="001000000000" w:firstRow="0" w:lastRow="0" w:firstColumn="1" w:lastColumn="0" w:oddVBand="0" w:evenVBand="0" w:oddHBand="0" w:evenHBand="0" w:firstRowFirstColumn="0" w:firstRowLastColumn="0" w:lastRowFirstColumn="0" w:lastRowLastColumn="0"/>
            <w:tcW w:w="2303" w:type="dxa"/>
            <w:tcBorders>
              <w:left w:val="none" w:sz="0" w:space="0" w:color="auto"/>
              <w:bottom w:val="none" w:sz="0" w:space="0" w:color="auto"/>
            </w:tcBorders>
            <w:shd w:val="clear" w:color="auto" w:fill="9BBB59" w:themeFill="accent6" w:themeFillShade="BF"/>
            <w:vAlign w:val="center"/>
          </w:tcPr>
          <w:p w14:paraId="4D3B753A" w14:textId="77777777" w:rsidR="00D155AA" w:rsidRPr="00655FC7" w:rsidRDefault="00D155AA" w:rsidP="00827748">
            <w:pPr>
              <w:ind w:firstLine="0"/>
              <w:jc w:val="center"/>
              <w:rPr>
                <w:sz w:val="18"/>
                <w:szCs w:val="18"/>
                <w:lang w:eastAsia="pl-PL"/>
              </w:rPr>
            </w:pPr>
            <w:r w:rsidRPr="00655FC7">
              <w:rPr>
                <w:sz w:val="18"/>
                <w:szCs w:val="18"/>
                <w:lang w:eastAsia="pl-PL"/>
              </w:rPr>
              <w:t>Łączna moc [MW]</w:t>
            </w:r>
          </w:p>
        </w:tc>
        <w:tc>
          <w:tcPr>
            <w:tcW w:w="2303" w:type="dxa"/>
            <w:shd w:val="clear" w:color="auto" w:fill="FFFFFF" w:themeFill="background1"/>
            <w:vAlign w:val="center"/>
          </w:tcPr>
          <w:p w14:paraId="7D0D18F2"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sz w:val="18"/>
                <w:szCs w:val="18"/>
                <w:lang w:eastAsia="pl-PL"/>
              </w:rPr>
            </w:pPr>
            <w:r w:rsidRPr="00655FC7">
              <w:rPr>
                <w:sz w:val="18"/>
                <w:szCs w:val="18"/>
                <w:lang w:eastAsia="pl-PL"/>
              </w:rPr>
              <w:t>1,171</w:t>
            </w:r>
          </w:p>
        </w:tc>
        <w:tc>
          <w:tcPr>
            <w:tcW w:w="2303" w:type="dxa"/>
            <w:shd w:val="clear" w:color="auto" w:fill="FFFFFF" w:themeFill="background1"/>
            <w:vAlign w:val="center"/>
          </w:tcPr>
          <w:p w14:paraId="7A82E4CF"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sz w:val="18"/>
                <w:szCs w:val="18"/>
                <w:lang w:eastAsia="pl-PL"/>
              </w:rPr>
            </w:pPr>
            <w:r w:rsidRPr="00655FC7">
              <w:rPr>
                <w:sz w:val="18"/>
                <w:szCs w:val="18"/>
                <w:lang w:eastAsia="pl-PL"/>
              </w:rPr>
              <w:t>1,670</w:t>
            </w:r>
          </w:p>
        </w:tc>
        <w:tc>
          <w:tcPr>
            <w:tcW w:w="2303" w:type="dxa"/>
            <w:shd w:val="clear" w:color="auto" w:fill="FFFFFF" w:themeFill="background1"/>
            <w:vAlign w:val="center"/>
          </w:tcPr>
          <w:p w14:paraId="0A90E4CB"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sz w:val="18"/>
                <w:szCs w:val="18"/>
                <w:lang w:eastAsia="pl-PL"/>
              </w:rPr>
            </w:pPr>
            <w:r w:rsidRPr="00655FC7">
              <w:rPr>
                <w:sz w:val="18"/>
                <w:szCs w:val="18"/>
                <w:lang w:eastAsia="pl-PL"/>
              </w:rPr>
              <w:t>1,766</w:t>
            </w:r>
          </w:p>
        </w:tc>
      </w:tr>
    </w:tbl>
    <w:p w14:paraId="42BB08FF" w14:textId="77777777" w:rsidR="00D155AA" w:rsidRPr="00655FC7" w:rsidRDefault="00D155AA" w:rsidP="00D155AA">
      <w:pPr>
        <w:pStyle w:val="Cytat"/>
      </w:pPr>
      <w:r w:rsidRPr="00655FC7">
        <w:t>źródło: PGE Dystrybucja S.A.</w:t>
      </w:r>
    </w:p>
    <w:p w14:paraId="1C54FB7A" w14:textId="77777777" w:rsidR="00D155AA" w:rsidRPr="00655FC7" w:rsidRDefault="00D155AA" w:rsidP="00D155AA">
      <w:pPr>
        <w:ind w:firstLine="0"/>
        <w:rPr>
          <w:lang w:eastAsia="pl-PL"/>
        </w:rPr>
      </w:pPr>
    </w:p>
    <w:p w14:paraId="03402CD3" w14:textId="32A3417F" w:rsidR="00D155AA" w:rsidRPr="00655FC7" w:rsidRDefault="00D155AA" w:rsidP="00D155AA">
      <w:pPr>
        <w:rPr>
          <w:lang w:eastAsia="pl-PL"/>
        </w:rPr>
      </w:pPr>
      <w:r w:rsidRPr="00655FC7">
        <w:rPr>
          <w:lang w:eastAsia="pl-PL"/>
        </w:rPr>
        <w:t>Gmina Tarnogród nie jest obecnie częścią żadnej formy energetyki rozproszonej i obywatelskiej (klaster energii lub spółdzielnia energetyczna). Na analizowanym obszarze jako jeden z problemów rozwojowych wskazano niedostateczne korzystanie odnawialnych źródeł energii. Tarnogród, jako część Partnerstwa Gmin Powiatu Biłgorajskiego</w:t>
      </w:r>
      <w:r w:rsidR="005F5DEE" w:rsidRPr="00655FC7">
        <w:rPr>
          <w:lang w:eastAsia="pl-PL"/>
        </w:rPr>
        <w:t>,</w:t>
      </w:r>
      <w:r w:rsidRPr="00655FC7">
        <w:rPr>
          <w:lang w:eastAsia="pl-PL"/>
        </w:rPr>
        <w:t xml:space="preserve"> ma możliwość utworzenia klastra lub spółdzielni energetycznej w celu zapewnienia tańszej, zielonej energii mieszkańcom Partnerstwa, co przedstawiono w Strategii IIT Partnerstwa. </w:t>
      </w:r>
    </w:p>
    <w:p w14:paraId="5004424A" w14:textId="7DE71712" w:rsidR="00D155AA" w:rsidRPr="00655FC7" w:rsidRDefault="00D155AA" w:rsidP="00D155AA">
      <w:pPr>
        <w:rPr>
          <w:lang w:eastAsia="pl-PL"/>
        </w:rPr>
      </w:pPr>
      <w:r w:rsidRPr="00655FC7">
        <w:rPr>
          <w:lang w:eastAsia="pl-PL"/>
        </w:rPr>
        <w:t>Aktualnie samorządy w odpowiedzi na potrzebę transformacji energetycznej i rosnące ceny energii, inwestowały w OZE, co widać również w Mieście Tarnogród. Brakuje jednak odpowiedniej koordynacji w zakresie współpracy, co w części spowodowane jest wciąż niską świadomością ekologiczną mieszkańców, brakiem efektywnych rozwiązań prawnych promujących OZE oraz wysokimi kosztami inwestycji. Szczególne znaczenie ma możliwość wykorzystania lokalnego potencjału nasłonecznienia oraz wytwarzania biogazu na obszarze Partnerstwa. Poniżej zaprezentowano cel</w:t>
      </w:r>
      <w:r w:rsidR="005F5DEE" w:rsidRPr="00655FC7">
        <w:rPr>
          <w:lang w:eastAsia="pl-PL"/>
        </w:rPr>
        <w:t xml:space="preserve"> 2.</w:t>
      </w:r>
      <w:r w:rsidRPr="00655FC7">
        <w:rPr>
          <w:lang w:eastAsia="pl-PL"/>
        </w:rPr>
        <w:t xml:space="preserve"> Strategii IIT</w:t>
      </w:r>
      <w:r w:rsidR="005F5DEE" w:rsidRPr="00655FC7">
        <w:rPr>
          <w:lang w:eastAsia="pl-PL"/>
        </w:rPr>
        <w:t xml:space="preserve"> – dostępna zielona i tania energia jako katalizator rozwoju gospodarczego.</w:t>
      </w:r>
    </w:p>
    <w:p w14:paraId="4E6FEE18" w14:textId="24F6F9D0" w:rsidR="005F5DEE" w:rsidRPr="00655FC7" w:rsidRDefault="005F5DEE">
      <w:pPr>
        <w:spacing w:after="200"/>
        <w:ind w:firstLine="0"/>
        <w:jc w:val="left"/>
        <w:rPr>
          <w:lang w:eastAsia="pl-PL"/>
        </w:rPr>
      </w:pPr>
      <w:r w:rsidRPr="00655FC7">
        <w:rPr>
          <w:lang w:eastAsia="pl-PL"/>
        </w:rPr>
        <w:br w:type="page"/>
      </w:r>
    </w:p>
    <w:tbl>
      <w:tblPr>
        <w:tblStyle w:val="Tabelalisty5ciemnaakcent6"/>
        <w:tblW w:w="9072" w:type="dxa"/>
        <w:jc w:val="center"/>
        <w:tblLayout w:type="fixed"/>
        <w:tblLook w:val="04A0" w:firstRow="1" w:lastRow="0" w:firstColumn="1" w:lastColumn="0" w:noHBand="0" w:noVBand="1"/>
      </w:tblPr>
      <w:tblGrid>
        <w:gridCol w:w="2833"/>
        <w:gridCol w:w="6239"/>
      </w:tblGrid>
      <w:tr w:rsidR="00D155AA" w:rsidRPr="00655FC7" w14:paraId="2ED88282" w14:textId="77777777" w:rsidTr="005F5DEE">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100" w:firstRow="0" w:lastRow="0" w:firstColumn="1" w:lastColumn="0" w:oddVBand="0" w:evenVBand="0" w:oddHBand="0" w:evenHBand="0" w:firstRowFirstColumn="1" w:firstRowLastColumn="0" w:lastRowFirstColumn="0" w:lastRowLastColumn="0"/>
            <w:tcW w:w="9072" w:type="dxa"/>
            <w:gridSpan w:val="2"/>
            <w:shd w:val="clear" w:color="auto" w:fill="9BBB59" w:themeFill="accent6" w:themeFillShade="BF"/>
            <w:vAlign w:val="center"/>
          </w:tcPr>
          <w:p w14:paraId="370DFE10" w14:textId="77777777" w:rsidR="00D155AA" w:rsidRPr="00655FC7" w:rsidRDefault="00D155AA">
            <w:pPr>
              <w:pStyle w:val="Akapitzlist"/>
              <w:numPr>
                <w:ilvl w:val="0"/>
                <w:numId w:val="50"/>
              </w:numPr>
              <w:ind w:left="357" w:hanging="357"/>
              <w:jc w:val="center"/>
              <w:rPr>
                <w:rFonts w:ascii="Calibri" w:hAnsi="Calibri" w:cs="Calibri"/>
              </w:rPr>
            </w:pPr>
            <w:r w:rsidRPr="00655FC7">
              <w:rPr>
                <w:rFonts w:ascii="Calibri" w:hAnsi="Calibri" w:cs="Calibri"/>
              </w:rPr>
              <w:lastRenderedPageBreak/>
              <w:t>Dostępna zielona i tania energia jako katalizator rozwoju gospodarczego</w:t>
            </w:r>
          </w:p>
        </w:tc>
      </w:tr>
      <w:tr w:rsidR="00D155AA" w:rsidRPr="00655FC7" w14:paraId="44DF4E56" w14:textId="77777777" w:rsidTr="005F5D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3" w:type="dxa"/>
            <w:vAlign w:val="center"/>
          </w:tcPr>
          <w:p w14:paraId="43136EC6" w14:textId="77777777" w:rsidR="00D155AA" w:rsidRPr="00655FC7" w:rsidRDefault="00D155AA">
            <w:pPr>
              <w:pStyle w:val="Akapitzlist"/>
              <w:numPr>
                <w:ilvl w:val="1"/>
                <w:numId w:val="50"/>
              </w:numPr>
              <w:ind w:left="357" w:hanging="357"/>
              <w:jc w:val="left"/>
              <w:rPr>
                <w:rFonts w:ascii="Calibri" w:hAnsi="Calibri" w:cs="Calibri"/>
                <w:b w:val="0"/>
                <w:bCs w:val="0"/>
                <w:sz w:val="18"/>
                <w:szCs w:val="18"/>
              </w:rPr>
            </w:pPr>
            <w:r w:rsidRPr="00655FC7">
              <w:rPr>
                <w:rFonts w:ascii="Calibri" w:hAnsi="Calibri" w:cs="Calibri"/>
                <w:b w:val="0"/>
                <w:bCs w:val="0"/>
                <w:sz w:val="18"/>
                <w:szCs w:val="18"/>
              </w:rPr>
              <w:t>Kooperacja energetyczna</w:t>
            </w:r>
          </w:p>
        </w:tc>
        <w:tc>
          <w:tcPr>
            <w:tcW w:w="6239" w:type="dxa"/>
          </w:tcPr>
          <w:p w14:paraId="5B8D6896" w14:textId="77777777" w:rsidR="00D155AA" w:rsidRPr="00655FC7" w:rsidRDefault="00D155AA">
            <w:pPr>
              <w:pStyle w:val="Akapitzlist"/>
              <w:numPr>
                <w:ilvl w:val="0"/>
                <w:numId w:val="49"/>
              </w:numPr>
              <w:spacing w:line="276" w:lineRule="auto"/>
              <w:ind w:left="284"/>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lang w:eastAsia="pl-PL"/>
              </w:rPr>
            </w:pPr>
            <w:r w:rsidRPr="00655FC7">
              <w:rPr>
                <w:rFonts w:ascii="Calibri" w:hAnsi="Calibri" w:cs="Calibri"/>
                <w:color w:val="auto"/>
                <w:sz w:val="18"/>
                <w:szCs w:val="18"/>
                <w:lang w:eastAsia="pl-PL"/>
              </w:rPr>
              <w:t xml:space="preserve">Inwentaryzacja zasobów i potencjałów energetycznych na terenie Partnerstwa; </w:t>
            </w:r>
          </w:p>
          <w:p w14:paraId="5AF22758" w14:textId="77777777" w:rsidR="00D155AA" w:rsidRPr="00655FC7" w:rsidRDefault="00D155AA">
            <w:pPr>
              <w:pStyle w:val="Akapitzlist"/>
              <w:numPr>
                <w:ilvl w:val="0"/>
                <w:numId w:val="49"/>
              </w:numPr>
              <w:spacing w:line="276" w:lineRule="auto"/>
              <w:ind w:left="284"/>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lang w:eastAsia="pl-PL"/>
              </w:rPr>
            </w:pPr>
            <w:r w:rsidRPr="00655FC7">
              <w:rPr>
                <w:rFonts w:ascii="Calibri" w:hAnsi="Calibri" w:cs="Calibri"/>
                <w:color w:val="auto"/>
                <w:sz w:val="18"/>
                <w:szCs w:val="18"/>
                <w:lang w:eastAsia="pl-PL"/>
              </w:rPr>
              <w:t xml:space="preserve">Promocja kooperacji energetycznej wśród interesariuszy Partnerstwa; </w:t>
            </w:r>
          </w:p>
          <w:p w14:paraId="16DC478B" w14:textId="77777777" w:rsidR="00D155AA" w:rsidRPr="00655FC7" w:rsidRDefault="00D155AA">
            <w:pPr>
              <w:pStyle w:val="Akapitzlist"/>
              <w:numPr>
                <w:ilvl w:val="0"/>
                <w:numId w:val="49"/>
              </w:numPr>
              <w:spacing w:line="276" w:lineRule="auto"/>
              <w:ind w:left="284"/>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lang w:eastAsia="pl-PL"/>
              </w:rPr>
            </w:pPr>
            <w:r w:rsidRPr="00655FC7">
              <w:rPr>
                <w:rFonts w:ascii="Calibri" w:hAnsi="Calibri" w:cs="Calibri"/>
                <w:color w:val="auto"/>
                <w:sz w:val="18"/>
                <w:szCs w:val="18"/>
                <w:lang w:eastAsia="pl-PL"/>
              </w:rPr>
              <w:t xml:space="preserve">Utworzenie klastra/spółdzielni energetycznej; </w:t>
            </w:r>
          </w:p>
          <w:p w14:paraId="1BB15A8B" w14:textId="77777777" w:rsidR="00D155AA" w:rsidRPr="00655FC7" w:rsidRDefault="00D155AA">
            <w:pPr>
              <w:pStyle w:val="Akapitzlist"/>
              <w:numPr>
                <w:ilvl w:val="0"/>
                <w:numId w:val="49"/>
              </w:numPr>
              <w:spacing w:line="276" w:lineRule="auto"/>
              <w:ind w:left="284"/>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lang w:eastAsia="pl-PL"/>
              </w:rPr>
            </w:pPr>
            <w:r w:rsidRPr="00655FC7">
              <w:rPr>
                <w:rFonts w:ascii="Calibri" w:hAnsi="Calibri" w:cs="Calibri"/>
                <w:color w:val="auto"/>
                <w:sz w:val="18"/>
                <w:szCs w:val="18"/>
                <w:lang w:eastAsia="pl-PL"/>
              </w:rPr>
              <w:t xml:space="preserve">Budowanie demokracji energetycznej – samowystarczalność i niezależność energetyczna – rozwój kooperacji; </w:t>
            </w:r>
          </w:p>
          <w:p w14:paraId="7DEB3F10" w14:textId="77777777" w:rsidR="00D155AA" w:rsidRPr="00655FC7" w:rsidRDefault="00D155AA">
            <w:pPr>
              <w:pStyle w:val="Akapitzlist"/>
              <w:numPr>
                <w:ilvl w:val="0"/>
                <w:numId w:val="49"/>
              </w:numPr>
              <w:spacing w:line="276" w:lineRule="auto"/>
              <w:ind w:left="284"/>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655FC7">
              <w:rPr>
                <w:rFonts w:ascii="Calibri" w:hAnsi="Calibri" w:cs="Calibri"/>
                <w:color w:val="auto"/>
                <w:sz w:val="18"/>
                <w:szCs w:val="18"/>
                <w:lang w:eastAsia="pl-PL"/>
              </w:rPr>
              <w:t xml:space="preserve">Rozwój współpracy energetycznej wieś – miasto, wykorzystanie formuły PPP. </w:t>
            </w:r>
          </w:p>
        </w:tc>
      </w:tr>
      <w:tr w:rsidR="00D155AA" w:rsidRPr="00655FC7" w14:paraId="554BDC95" w14:textId="77777777" w:rsidTr="005F5DEE">
        <w:trPr>
          <w:jc w:val="center"/>
        </w:trPr>
        <w:tc>
          <w:tcPr>
            <w:cnfStyle w:val="001000000000" w:firstRow="0" w:lastRow="0" w:firstColumn="1" w:lastColumn="0" w:oddVBand="0" w:evenVBand="0" w:oddHBand="0" w:evenHBand="0" w:firstRowFirstColumn="0" w:firstRowLastColumn="0" w:lastRowFirstColumn="0" w:lastRowLastColumn="0"/>
            <w:tcW w:w="2833" w:type="dxa"/>
            <w:vAlign w:val="center"/>
          </w:tcPr>
          <w:p w14:paraId="45CD0718" w14:textId="77777777" w:rsidR="00D155AA" w:rsidRPr="00655FC7" w:rsidRDefault="00D155AA">
            <w:pPr>
              <w:pStyle w:val="Akapitzlist"/>
              <w:numPr>
                <w:ilvl w:val="1"/>
                <w:numId w:val="50"/>
              </w:numPr>
              <w:ind w:left="357" w:hanging="357"/>
              <w:jc w:val="left"/>
              <w:rPr>
                <w:rFonts w:ascii="Calibri" w:hAnsi="Calibri" w:cs="Calibri"/>
                <w:b w:val="0"/>
                <w:bCs w:val="0"/>
                <w:sz w:val="18"/>
                <w:szCs w:val="18"/>
              </w:rPr>
            </w:pPr>
            <w:r w:rsidRPr="00655FC7">
              <w:rPr>
                <w:rFonts w:ascii="Calibri" w:hAnsi="Calibri" w:cs="Calibri"/>
                <w:b w:val="0"/>
                <w:bCs w:val="0"/>
                <w:sz w:val="18"/>
                <w:szCs w:val="18"/>
              </w:rPr>
              <w:t>Efektywne zarządzanie energią</w:t>
            </w:r>
          </w:p>
        </w:tc>
        <w:tc>
          <w:tcPr>
            <w:tcW w:w="6239" w:type="dxa"/>
          </w:tcPr>
          <w:p w14:paraId="6595F2FE" w14:textId="77777777" w:rsidR="00D155AA" w:rsidRPr="00655FC7" w:rsidRDefault="00D155AA">
            <w:pPr>
              <w:pStyle w:val="Akapitzlist"/>
              <w:numPr>
                <w:ilvl w:val="0"/>
                <w:numId w:val="49"/>
              </w:numPr>
              <w:ind w:left="284"/>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8"/>
                <w:szCs w:val="18"/>
                <w:lang w:eastAsia="pl-PL"/>
              </w:rPr>
            </w:pPr>
            <w:r w:rsidRPr="00655FC7">
              <w:rPr>
                <w:rFonts w:ascii="Calibri" w:hAnsi="Calibri" w:cs="Calibri"/>
                <w:color w:val="auto"/>
                <w:sz w:val="18"/>
                <w:szCs w:val="18"/>
                <w:lang w:eastAsia="pl-PL"/>
              </w:rPr>
              <w:t xml:space="preserve">Inteligentne oświetlenie przestrzeni publicznej; </w:t>
            </w:r>
          </w:p>
          <w:p w14:paraId="4497DADB" w14:textId="77777777" w:rsidR="00D155AA" w:rsidRPr="00655FC7" w:rsidRDefault="00D155AA">
            <w:pPr>
              <w:pStyle w:val="Akapitzlist"/>
              <w:numPr>
                <w:ilvl w:val="0"/>
                <w:numId w:val="49"/>
              </w:numPr>
              <w:ind w:left="284"/>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8"/>
                <w:szCs w:val="18"/>
                <w:lang w:eastAsia="pl-PL"/>
              </w:rPr>
            </w:pPr>
            <w:r w:rsidRPr="00655FC7">
              <w:rPr>
                <w:rFonts w:ascii="Calibri" w:hAnsi="Calibri" w:cs="Calibri"/>
                <w:color w:val="auto"/>
                <w:sz w:val="18"/>
                <w:szCs w:val="18"/>
                <w:lang w:eastAsia="pl-PL"/>
              </w:rPr>
              <w:t xml:space="preserve">Modernizacja energetyczna budynków użyteczności publicznej (głęboka termomodernizacja, OZE, zarządzanie energią); </w:t>
            </w:r>
          </w:p>
          <w:p w14:paraId="10B3E292" w14:textId="77777777" w:rsidR="00D155AA" w:rsidRPr="00655FC7" w:rsidRDefault="00D155AA">
            <w:pPr>
              <w:pStyle w:val="Akapitzlist"/>
              <w:numPr>
                <w:ilvl w:val="0"/>
                <w:numId w:val="49"/>
              </w:numPr>
              <w:ind w:left="284"/>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8"/>
                <w:szCs w:val="18"/>
                <w:lang w:eastAsia="pl-PL"/>
              </w:rPr>
            </w:pPr>
            <w:r w:rsidRPr="00655FC7">
              <w:rPr>
                <w:rFonts w:ascii="Calibri" w:hAnsi="Calibri" w:cs="Calibri"/>
                <w:color w:val="auto"/>
                <w:sz w:val="18"/>
                <w:szCs w:val="18"/>
                <w:lang w:eastAsia="pl-PL"/>
              </w:rPr>
              <w:t xml:space="preserve">Modernizacja energetyczna budynków wielorodzinnych (głęboka termomodernizacja, OZE, zarządzanie energią); </w:t>
            </w:r>
          </w:p>
          <w:p w14:paraId="6007BACD" w14:textId="77777777" w:rsidR="00D155AA" w:rsidRPr="00655FC7" w:rsidRDefault="00D155AA">
            <w:pPr>
              <w:pStyle w:val="Akapitzlist"/>
              <w:numPr>
                <w:ilvl w:val="0"/>
                <w:numId w:val="49"/>
              </w:numPr>
              <w:autoSpaceDE w:val="0"/>
              <w:autoSpaceDN w:val="0"/>
              <w:adjustRightInd w:val="0"/>
              <w:spacing w:line="276" w:lineRule="auto"/>
              <w:ind w:left="284"/>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8"/>
                <w:szCs w:val="18"/>
              </w:rPr>
            </w:pPr>
            <w:r w:rsidRPr="00655FC7">
              <w:rPr>
                <w:rFonts w:ascii="Calibri" w:hAnsi="Calibri" w:cs="Calibri"/>
                <w:color w:val="auto"/>
                <w:sz w:val="18"/>
                <w:szCs w:val="18"/>
              </w:rPr>
              <w:t xml:space="preserve">Budowa magazynów energii; </w:t>
            </w:r>
          </w:p>
          <w:p w14:paraId="23963A6B" w14:textId="77777777" w:rsidR="00D155AA" w:rsidRPr="00655FC7" w:rsidRDefault="00D155AA">
            <w:pPr>
              <w:pStyle w:val="Akapitzlist"/>
              <w:numPr>
                <w:ilvl w:val="0"/>
                <w:numId w:val="49"/>
              </w:numPr>
              <w:autoSpaceDE w:val="0"/>
              <w:autoSpaceDN w:val="0"/>
              <w:adjustRightInd w:val="0"/>
              <w:ind w:left="284"/>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8"/>
                <w:szCs w:val="18"/>
              </w:rPr>
            </w:pPr>
            <w:r w:rsidRPr="00655FC7">
              <w:rPr>
                <w:rFonts w:ascii="Calibri" w:hAnsi="Calibri" w:cs="Calibri"/>
                <w:color w:val="auto"/>
                <w:sz w:val="18"/>
                <w:szCs w:val="18"/>
              </w:rPr>
              <w:t>Infrastruktura do elektryfikacji transportu publicznego i prywatnego.</w:t>
            </w:r>
          </w:p>
        </w:tc>
      </w:tr>
      <w:tr w:rsidR="00D155AA" w:rsidRPr="00655FC7" w14:paraId="4F4132DB" w14:textId="77777777" w:rsidTr="005F5D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3" w:type="dxa"/>
            <w:vAlign w:val="center"/>
          </w:tcPr>
          <w:p w14:paraId="5A5A256E" w14:textId="77777777" w:rsidR="00D155AA" w:rsidRPr="00655FC7" w:rsidRDefault="00D155AA">
            <w:pPr>
              <w:pStyle w:val="Akapitzlist"/>
              <w:numPr>
                <w:ilvl w:val="1"/>
                <w:numId w:val="50"/>
              </w:numPr>
              <w:ind w:left="357" w:hanging="357"/>
              <w:jc w:val="left"/>
              <w:rPr>
                <w:rFonts w:ascii="Calibri" w:hAnsi="Calibri" w:cs="Calibri"/>
                <w:b w:val="0"/>
                <w:bCs w:val="0"/>
                <w:sz w:val="18"/>
                <w:szCs w:val="18"/>
              </w:rPr>
            </w:pPr>
            <w:r w:rsidRPr="00655FC7">
              <w:rPr>
                <w:rFonts w:ascii="Calibri" w:hAnsi="Calibri" w:cs="Calibri"/>
                <w:b w:val="0"/>
                <w:bCs w:val="0"/>
                <w:sz w:val="18"/>
                <w:szCs w:val="18"/>
              </w:rPr>
              <w:t>Rozwój odnawialnych źródeł energii i jej magazynów</w:t>
            </w:r>
          </w:p>
        </w:tc>
        <w:tc>
          <w:tcPr>
            <w:tcW w:w="6239" w:type="dxa"/>
          </w:tcPr>
          <w:p w14:paraId="4F5ADCFA" w14:textId="77777777" w:rsidR="00D155AA" w:rsidRPr="00655FC7" w:rsidRDefault="00D155AA">
            <w:pPr>
              <w:numPr>
                <w:ilvl w:val="0"/>
                <w:numId w:val="49"/>
              </w:numPr>
              <w:autoSpaceDE w:val="0"/>
              <w:autoSpaceDN w:val="0"/>
              <w:adjustRightInd w:val="0"/>
              <w:spacing w:line="276" w:lineRule="auto"/>
              <w:ind w:left="284"/>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655FC7">
              <w:rPr>
                <w:rFonts w:ascii="Calibri" w:hAnsi="Calibri" w:cs="Calibri"/>
                <w:color w:val="auto"/>
                <w:sz w:val="18"/>
                <w:szCs w:val="18"/>
              </w:rPr>
              <w:t xml:space="preserve">Budowa farm fotowoltaicznych (z magazynami energii) na obszarze Partnerstwa; </w:t>
            </w:r>
          </w:p>
          <w:p w14:paraId="6BDC51DD" w14:textId="77777777" w:rsidR="00D155AA" w:rsidRPr="00655FC7" w:rsidRDefault="00D155AA">
            <w:pPr>
              <w:numPr>
                <w:ilvl w:val="0"/>
                <w:numId w:val="49"/>
              </w:numPr>
              <w:autoSpaceDE w:val="0"/>
              <w:autoSpaceDN w:val="0"/>
              <w:adjustRightInd w:val="0"/>
              <w:spacing w:line="276" w:lineRule="auto"/>
              <w:ind w:left="284"/>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655FC7">
              <w:rPr>
                <w:rFonts w:ascii="Calibri" w:hAnsi="Calibri" w:cs="Calibri"/>
                <w:color w:val="auto"/>
                <w:sz w:val="18"/>
                <w:szCs w:val="18"/>
              </w:rPr>
              <w:t xml:space="preserve">Budowa biogazowni (z magazynami energii) na obszarze Partnerstwa; </w:t>
            </w:r>
          </w:p>
          <w:p w14:paraId="7E3D6C77" w14:textId="77777777" w:rsidR="00D155AA" w:rsidRPr="00655FC7" w:rsidRDefault="00D155AA">
            <w:pPr>
              <w:numPr>
                <w:ilvl w:val="0"/>
                <w:numId w:val="49"/>
              </w:numPr>
              <w:autoSpaceDE w:val="0"/>
              <w:autoSpaceDN w:val="0"/>
              <w:adjustRightInd w:val="0"/>
              <w:spacing w:line="276" w:lineRule="auto"/>
              <w:ind w:left="284"/>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655FC7">
              <w:rPr>
                <w:rFonts w:ascii="Calibri" w:hAnsi="Calibri" w:cs="Calibri"/>
                <w:color w:val="auto"/>
                <w:sz w:val="18"/>
                <w:szCs w:val="18"/>
              </w:rPr>
              <w:t xml:space="preserve">Budowa instalacji pozyskiwania energii z innych źródeł odnawialnych; </w:t>
            </w:r>
          </w:p>
          <w:p w14:paraId="157701B3" w14:textId="77777777" w:rsidR="00D155AA" w:rsidRPr="00655FC7" w:rsidRDefault="00D155AA">
            <w:pPr>
              <w:numPr>
                <w:ilvl w:val="0"/>
                <w:numId w:val="49"/>
              </w:numPr>
              <w:autoSpaceDE w:val="0"/>
              <w:autoSpaceDN w:val="0"/>
              <w:adjustRightInd w:val="0"/>
              <w:spacing w:line="276" w:lineRule="auto"/>
              <w:ind w:left="284"/>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655FC7">
              <w:rPr>
                <w:rFonts w:ascii="Calibri" w:hAnsi="Calibri" w:cs="Calibri"/>
                <w:color w:val="auto"/>
                <w:sz w:val="18"/>
                <w:szCs w:val="18"/>
              </w:rPr>
              <w:t xml:space="preserve">Instalacje OZE (rozproszone) na obiektach publicznych; </w:t>
            </w:r>
          </w:p>
          <w:p w14:paraId="1188FC3C" w14:textId="77777777" w:rsidR="00D155AA" w:rsidRPr="00655FC7" w:rsidRDefault="00D155AA">
            <w:pPr>
              <w:numPr>
                <w:ilvl w:val="0"/>
                <w:numId w:val="49"/>
              </w:numPr>
              <w:autoSpaceDE w:val="0"/>
              <w:autoSpaceDN w:val="0"/>
              <w:adjustRightInd w:val="0"/>
              <w:spacing w:line="276" w:lineRule="auto"/>
              <w:ind w:left="284"/>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655FC7">
              <w:rPr>
                <w:rFonts w:ascii="Calibri" w:hAnsi="Calibri" w:cs="Calibri"/>
                <w:color w:val="auto"/>
                <w:sz w:val="18"/>
                <w:szCs w:val="18"/>
              </w:rPr>
              <w:t xml:space="preserve">Instalacje OZE (rozproszone) na obiektach prywatnych (firmy, rolnicy, mieszkańcy, inne). </w:t>
            </w:r>
          </w:p>
        </w:tc>
      </w:tr>
      <w:tr w:rsidR="00D155AA" w:rsidRPr="00655FC7" w14:paraId="41D1A2AF" w14:textId="77777777" w:rsidTr="005F5DEE">
        <w:trPr>
          <w:jc w:val="center"/>
        </w:trPr>
        <w:tc>
          <w:tcPr>
            <w:cnfStyle w:val="001000000000" w:firstRow="0" w:lastRow="0" w:firstColumn="1" w:lastColumn="0" w:oddVBand="0" w:evenVBand="0" w:oddHBand="0" w:evenHBand="0" w:firstRowFirstColumn="0" w:firstRowLastColumn="0" w:lastRowFirstColumn="0" w:lastRowLastColumn="0"/>
            <w:tcW w:w="2833" w:type="dxa"/>
            <w:vAlign w:val="center"/>
          </w:tcPr>
          <w:p w14:paraId="1348EA15" w14:textId="77777777" w:rsidR="00D155AA" w:rsidRPr="00655FC7" w:rsidRDefault="00D155AA">
            <w:pPr>
              <w:pStyle w:val="Akapitzlist"/>
              <w:numPr>
                <w:ilvl w:val="1"/>
                <w:numId w:val="50"/>
              </w:numPr>
              <w:ind w:left="357" w:hanging="357"/>
              <w:jc w:val="left"/>
              <w:rPr>
                <w:rFonts w:ascii="Calibri" w:hAnsi="Calibri" w:cs="Calibri"/>
                <w:b w:val="0"/>
                <w:bCs w:val="0"/>
                <w:sz w:val="18"/>
                <w:szCs w:val="18"/>
              </w:rPr>
            </w:pPr>
            <w:r w:rsidRPr="00655FC7">
              <w:rPr>
                <w:rFonts w:ascii="Calibri" w:hAnsi="Calibri" w:cs="Calibri"/>
                <w:b w:val="0"/>
                <w:bCs w:val="0"/>
                <w:sz w:val="18"/>
                <w:szCs w:val="18"/>
              </w:rPr>
              <w:t>Efektywne ciepło systemowe</w:t>
            </w:r>
          </w:p>
        </w:tc>
        <w:tc>
          <w:tcPr>
            <w:tcW w:w="6239" w:type="dxa"/>
          </w:tcPr>
          <w:p w14:paraId="6F48D808" w14:textId="77777777" w:rsidR="00D155AA" w:rsidRPr="00655FC7" w:rsidRDefault="00D155AA">
            <w:pPr>
              <w:numPr>
                <w:ilvl w:val="0"/>
                <w:numId w:val="49"/>
              </w:numPr>
              <w:autoSpaceDE w:val="0"/>
              <w:autoSpaceDN w:val="0"/>
              <w:adjustRightInd w:val="0"/>
              <w:spacing w:line="276" w:lineRule="auto"/>
              <w:ind w:left="284"/>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8"/>
                <w:szCs w:val="18"/>
              </w:rPr>
            </w:pPr>
            <w:r w:rsidRPr="00655FC7">
              <w:rPr>
                <w:rFonts w:ascii="Calibri" w:hAnsi="Calibri" w:cs="Calibri"/>
                <w:color w:val="auto"/>
                <w:sz w:val="18"/>
                <w:szCs w:val="18"/>
              </w:rPr>
              <w:t xml:space="preserve">Budowa i/lub modernizacja systemów ciepłowniczych; </w:t>
            </w:r>
          </w:p>
          <w:p w14:paraId="589491C8" w14:textId="77777777" w:rsidR="00D155AA" w:rsidRPr="00655FC7" w:rsidRDefault="00D155AA">
            <w:pPr>
              <w:numPr>
                <w:ilvl w:val="0"/>
                <w:numId w:val="49"/>
              </w:numPr>
              <w:autoSpaceDE w:val="0"/>
              <w:autoSpaceDN w:val="0"/>
              <w:adjustRightInd w:val="0"/>
              <w:spacing w:line="276" w:lineRule="auto"/>
              <w:ind w:left="284"/>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8"/>
                <w:szCs w:val="18"/>
              </w:rPr>
            </w:pPr>
            <w:r w:rsidRPr="00655FC7">
              <w:rPr>
                <w:rFonts w:ascii="Calibri" w:hAnsi="Calibri" w:cs="Calibri"/>
                <w:color w:val="auto"/>
                <w:sz w:val="18"/>
                <w:szCs w:val="18"/>
              </w:rPr>
              <w:t xml:space="preserve">Dekarbonizacja źródeł ciepła; </w:t>
            </w:r>
          </w:p>
          <w:p w14:paraId="56A98EA1" w14:textId="77777777" w:rsidR="00D155AA" w:rsidRPr="00655FC7" w:rsidRDefault="00D155AA">
            <w:pPr>
              <w:numPr>
                <w:ilvl w:val="0"/>
                <w:numId w:val="49"/>
              </w:numPr>
              <w:autoSpaceDE w:val="0"/>
              <w:autoSpaceDN w:val="0"/>
              <w:adjustRightInd w:val="0"/>
              <w:spacing w:line="276" w:lineRule="auto"/>
              <w:ind w:left="284"/>
              <w:jc w:val="left"/>
              <w:cnfStyle w:val="000000000000" w:firstRow="0" w:lastRow="0" w:firstColumn="0" w:lastColumn="0" w:oddVBand="0" w:evenVBand="0" w:oddHBand="0" w:evenHBand="0" w:firstRowFirstColumn="0" w:firstRowLastColumn="0" w:lastRowFirstColumn="0" w:lastRowLastColumn="0"/>
              <w:rPr>
                <w:rFonts w:ascii="Calibri" w:hAnsi="Calibri" w:cs="Calibri"/>
                <w:color w:val="auto"/>
                <w:sz w:val="18"/>
                <w:szCs w:val="18"/>
              </w:rPr>
            </w:pPr>
            <w:r w:rsidRPr="00655FC7">
              <w:rPr>
                <w:rFonts w:ascii="Calibri" w:hAnsi="Calibri" w:cs="Calibri"/>
                <w:color w:val="auto"/>
                <w:sz w:val="18"/>
                <w:szCs w:val="18"/>
              </w:rPr>
              <w:t xml:space="preserve">Przyłączanie do sieci ciepłowniczej nowych użytkowników. </w:t>
            </w:r>
          </w:p>
        </w:tc>
      </w:tr>
      <w:tr w:rsidR="00D155AA" w:rsidRPr="00655FC7" w14:paraId="150E464B" w14:textId="77777777" w:rsidTr="005F5DE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833" w:type="dxa"/>
            <w:vAlign w:val="center"/>
          </w:tcPr>
          <w:p w14:paraId="225AF881" w14:textId="77777777" w:rsidR="00D155AA" w:rsidRPr="00655FC7" w:rsidRDefault="00D155AA">
            <w:pPr>
              <w:pStyle w:val="Akapitzlist"/>
              <w:numPr>
                <w:ilvl w:val="1"/>
                <w:numId w:val="50"/>
              </w:numPr>
              <w:ind w:left="357" w:hanging="357"/>
              <w:jc w:val="left"/>
              <w:rPr>
                <w:rFonts w:ascii="Calibri" w:hAnsi="Calibri" w:cs="Calibri"/>
                <w:b w:val="0"/>
                <w:bCs w:val="0"/>
                <w:sz w:val="18"/>
                <w:szCs w:val="18"/>
              </w:rPr>
            </w:pPr>
            <w:r w:rsidRPr="00655FC7">
              <w:rPr>
                <w:rFonts w:ascii="Calibri" w:hAnsi="Calibri" w:cs="Calibri"/>
                <w:b w:val="0"/>
                <w:bCs w:val="0"/>
                <w:sz w:val="18"/>
                <w:szCs w:val="18"/>
              </w:rPr>
              <w:t>Budowanie świadomości klimatycznej mieszkańców</w:t>
            </w:r>
          </w:p>
        </w:tc>
        <w:tc>
          <w:tcPr>
            <w:tcW w:w="6239" w:type="dxa"/>
          </w:tcPr>
          <w:p w14:paraId="16FC3A0B" w14:textId="77777777" w:rsidR="00D155AA" w:rsidRPr="00655FC7" w:rsidRDefault="00D155AA">
            <w:pPr>
              <w:numPr>
                <w:ilvl w:val="0"/>
                <w:numId w:val="49"/>
              </w:numPr>
              <w:autoSpaceDE w:val="0"/>
              <w:autoSpaceDN w:val="0"/>
              <w:adjustRightInd w:val="0"/>
              <w:spacing w:line="276" w:lineRule="auto"/>
              <w:ind w:left="284"/>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655FC7">
              <w:rPr>
                <w:rFonts w:ascii="Calibri" w:hAnsi="Calibri" w:cs="Calibri"/>
                <w:color w:val="auto"/>
                <w:sz w:val="18"/>
                <w:szCs w:val="18"/>
              </w:rPr>
              <w:t xml:space="preserve">Kształtowanie i promocja postaw proekologicznych w zakresie energii, upowszechnianie dobrych praktyk, zajęcia w szkołach, kampanie w mediach, konkursy; </w:t>
            </w:r>
          </w:p>
          <w:p w14:paraId="654B6EEB" w14:textId="77777777" w:rsidR="00D155AA" w:rsidRPr="00655FC7" w:rsidRDefault="00D155AA">
            <w:pPr>
              <w:numPr>
                <w:ilvl w:val="0"/>
                <w:numId w:val="49"/>
              </w:numPr>
              <w:autoSpaceDE w:val="0"/>
              <w:autoSpaceDN w:val="0"/>
              <w:adjustRightInd w:val="0"/>
              <w:spacing w:line="276" w:lineRule="auto"/>
              <w:ind w:left="284"/>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655FC7">
              <w:rPr>
                <w:rFonts w:ascii="Calibri" w:hAnsi="Calibri" w:cs="Calibri"/>
                <w:color w:val="auto"/>
                <w:sz w:val="18"/>
                <w:szCs w:val="18"/>
              </w:rPr>
              <w:t xml:space="preserve">Zielono-niebieska infrastruktura publiczna; </w:t>
            </w:r>
          </w:p>
          <w:p w14:paraId="19EB0CAF" w14:textId="77777777" w:rsidR="00D155AA" w:rsidRPr="00655FC7" w:rsidRDefault="00D155AA">
            <w:pPr>
              <w:numPr>
                <w:ilvl w:val="0"/>
                <w:numId w:val="49"/>
              </w:numPr>
              <w:autoSpaceDE w:val="0"/>
              <w:autoSpaceDN w:val="0"/>
              <w:adjustRightInd w:val="0"/>
              <w:spacing w:line="276" w:lineRule="auto"/>
              <w:ind w:left="284"/>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655FC7">
              <w:rPr>
                <w:rFonts w:ascii="Calibri" w:hAnsi="Calibri" w:cs="Calibri"/>
                <w:color w:val="auto"/>
                <w:sz w:val="18"/>
                <w:szCs w:val="18"/>
              </w:rPr>
              <w:t xml:space="preserve">Promocja transformacji energetycznej wśród dzieci i młodzieży, właścicieli nieruchomości, przedsiębiorców, rolników, sektora publicznego; </w:t>
            </w:r>
          </w:p>
          <w:p w14:paraId="69524AD9" w14:textId="77777777" w:rsidR="00D155AA" w:rsidRPr="00655FC7" w:rsidRDefault="00D155AA">
            <w:pPr>
              <w:numPr>
                <w:ilvl w:val="0"/>
                <w:numId w:val="49"/>
              </w:numPr>
              <w:autoSpaceDE w:val="0"/>
              <w:autoSpaceDN w:val="0"/>
              <w:adjustRightInd w:val="0"/>
              <w:spacing w:line="276" w:lineRule="auto"/>
              <w:ind w:left="284"/>
              <w:jc w:val="left"/>
              <w:cnfStyle w:val="000000100000" w:firstRow="0" w:lastRow="0" w:firstColumn="0" w:lastColumn="0" w:oddVBand="0" w:evenVBand="0" w:oddHBand="1" w:evenHBand="0" w:firstRowFirstColumn="0" w:firstRowLastColumn="0" w:lastRowFirstColumn="0" w:lastRowLastColumn="0"/>
              <w:rPr>
                <w:rFonts w:ascii="Calibri" w:hAnsi="Calibri" w:cs="Calibri"/>
                <w:color w:val="auto"/>
                <w:sz w:val="18"/>
                <w:szCs w:val="18"/>
              </w:rPr>
            </w:pPr>
            <w:r w:rsidRPr="00655FC7">
              <w:rPr>
                <w:rFonts w:ascii="Calibri" w:hAnsi="Calibri" w:cs="Calibri"/>
                <w:color w:val="auto"/>
                <w:sz w:val="18"/>
                <w:szCs w:val="18"/>
              </w:rPr>
              <w:t xml:space="preserve">Ograniczenie niskiej emisji (wymiana indywidualnych źródeł ciepła, termomodernizacja). </w:t>
            </w:r>
          </w:p>
        </w:tc>
      </w:tr>
    </w:tbl>
    <w:p w14:paraId="5FAB6E75" w14:textId="256D1B3B" w:rsidR="00D155AA" w:rsidRPr="00655FC7" w:rsidRDefault="00D155AA" w:rsidP="00D155AA">
      <w:pPr>
        <w:spacing w:after="200"/>
        <w:ind w:firstLine="0"/>
        <w:jc w:val="center"/>
        <w:rPr>
          <w:rFonts w:eastAsiaTheme="majorEastAsia" w:cstheme="minorHAnsi"/>
          <w:sz w:val="20"/>
          <w:szCs w:val="18"/>
          <w:lang w:eastAsia="pl-PL"/>
        </w:rPr>
      </w:pPr>
      <w:r w:rsidRPr="00655FC7">
        <w:rPr>
          <w:rFonts w:eastAsiaTheme="majorEastAsia" w:cstheme="minorHAnsi"/>
          <w:sz w:val="20"/>
          <w:szCs w:val="18"/>
          <w:lang w:eastAsia="pl-PL"/>
        </w:rPr>
        <w:t>Źródło: Strategia terytorialna Partnerstwa Gminy Powiatu Biłgorajskiego dla rozwoju gospodarczego</w:t>
      </w:r>
    </w:p>
    <w:p w14:paraId="4EB955B8" w14:textId="77777777" w:rsidR="00D155AA" w:rsidRPr="00655FC7" w:rsidRDefault="00D155AA" w:rsidP="00D155AA">
      <w:pPr>
        <w:pStyle w:val="Nagwek3"/>
      </w:pPr>
      <w:bookmarkStart w:id="133" w:name="_Toc177732052"/>
      <w:r w:rsidRPr="00655FC7">
        <w:t>Oświetlenie uliczne</w:t>
      </w:r>
      <w:bookmarkEnd w:id="133"/>
    </w:p>
    <w:p w14:paraId="371A5E2B" w14:textId="3BE0F13E" w:rsidR="00D155AA" w:rsidRPr="00655FC7" w:rsidRDefault="00D155AA" w:rsidP="00D155AA">
      <w:pPr>
        <w:rPr>
          <w:rFonts w:cstheme="minorHAnsi"/>
          <w:color w:val="auto"/>
          <w:lang w:eastAsia="pl-PL"/>
        </w:rPr>
      </w:pPr>
      <w:r w:rsidRPr="00655FC7">
        <w:rPr>
          <w:rFonts w:cstheme="minorHAnsi"/>
          <w:color w:val="auto"/>
          <w:lang w:eastAsia="pl-PL"/>
        </w:rPr>
        <w:t>Na terenie Miasta Tarnogród znajdują się 474 szt. opraw oświetleniowych w tym: 416 szt. opraw typ</w:t>
      </w:r>
      <w:r w:rsidR="005F5DEE" w:rsidRPr="00655FC7">
        <w:rPr>
          <w:rFonts w:cstheme="minorHAnsi"/>
          <w:color w:val="auto"/>
          <w:lang w:eastAsia="pl-PL"/>
        </w:rPr>
        <w:t>u</w:t>
      </w:r>
      <w:r w:rsidRPr="00655FC7">
        <w:rPr>
          <w:rFonts w:cstheme="minorHAnsi"/>
          <w:color w:val="auto"/>
          <w:lang w:eastAsia="pl-PL"/>
        </w:rPr>
        <w:t xml:space="preserve"> sodowych oraz 58 szt. opraw typu LED.</w:t>
      </w:r>
    </w:p>
    <w:p w14:paraId="099B67CC" w14:textId="1F7330A3" w:rsidR="00D155AA" w:rsidRPr="00655FC7" w:rsidRDefault="00D155AA" w:rsidP="00D155AA">
      <w:pPr>
        <w:rPr>
          <w:rFonts w:cstheme="minorHAnsi"/>
          <w:color w:val="auto"/>
          <w:lang w:eastAsia="pl-PL"/>
        </w:rPr>
      </w:pPr>
      <w:r w:rsidRPr="00655FC7">
        <w:rPr>
          <w:rFonts w:cstheme="minorHAnsi"/>
          <w:color w:val="auto"/>
          <w:lang w:eastAsia="pl-PL"/>
        </w:rPr>
        <w:t xml:space="preserve">Oprawy LED-owe odznaczają się o wiele niższym zużyciem energii elektrycznej, dlatego możliwe jest wykonanie modernizacji oświetlenia na omawianym obszarze, co przyczyni się do zmniejszenia zapotrzebowania na energię elektryczną dla obszaru miasta. Ponadto, istotne jest także kompleksowe podejście do systemu oświetlenia, poprzez budowę inteligentnych systemów zarządzania. Zgodnie z prognozami samorządów Partnerstwa Gmin Powiatu Biłgorajskiego są </w:t>
      </w:r>
      <w:r w:rsidR="00A54F0A" w:rsidRPr="00655FC7">
        <w:rPr>
          <w:rFonts w:cstheme="minorHAnsi"/>
          <w:color w:val="auto"/>
          <w:lang w:eastAsia="pl-PL"/>
        </w:rPr>
        <w:t xml:space="preserve">one </w:t>
      </w:r>
      <w:r w:rsidRPr="00655FC7">
        <w:rPr>
          <w:rFonts w:cstheme="minorHAnsi"/>
          <w:color w:val="auto"/>
          <w:lang w:eastAsia="pl-PL"/>
        </w:rPr>
        <w:t>w </w:t>
      </w:r>
      <w:r w:rsidRPr="00655FC7">
        <w:rPr>
          <w:sz w:val="23"/>
          <w:szCs w:val="23"/>
        </w:rPr>
        <w:t>stanie poprzez samo sterowanie ograniczyć zużycie energii średnio o 20%.</w:t>
      </w:r>
    </w:p>
    <w:p w14:paraId="29E9BE39" w14:textId="77777777" w:rsidR="00D155AA" w:rsidRPr="00655FC7" w:rsidRDefault="00D155AA" w:rsidP="00D155AA">
      <w:pPr>
        <w:rPr>
          <w:rFonts w:cstheme="minorHAnsi"/>
          <w:color w:val="auto"/>
          <w:lang w:eastAsia="pl-PL"/>
        </w:rPr>
      </w:pPr>
      <w:r w:rsidRPr="00655FC7">
        <w:rPr>
          <w:rFonts w:cstheme="minorHAnsi"/>
          <w:color w:val="auto"/>
          <w:lang w:eastAsia="pl-PL"/>
        </w:rPr>
        <w:t>Strategia IIT Partnerstwa przewiduje realizację projektu Inteligentne oświetlenie przestrzeni publicznej w Gminie Tarnogród.</w:t>
      </w:r>
    </w:p>
    <w:p w14:paraId="073364A1" w14:textId="77777777" w:rsidR="00D155AA" w:rsidRPr="00655FC7" w:rsidRDefault="00D155AA" w:rsidP="00D155AA">
      <w:pPr>
        <w:rPr>
          <w:rFonts w:cstheme="minorHAnsi"/>
          <w:color w:val="auto"/>
          <w:lang w:eastAsia="pl-PL"/>
        </w:rPr>
      </w:pPr>
    </w:p>
    <w:p w14:paraId="59A838BF" w14:textId="77777777" w:rsidR="00D155AA" w:rsidRPr="00655FC7" w:rsidRDefault="00D155AA" w:rsidP="00D155AA">
      <w:pPr>
        <w:pStyle w:val="Nagwek3"/>
      </w:pPr>
      <w:bookmarkStart w:id="134" w:name="_Toc177732053"/>
      <w:bookmarkStart w:id="135" w:name="_Toc367193783"/>
      <w:bookmarkStart w:id="136" w:name="_Toc404941318"/>
      <w:r w:rsidRPr="00655FC7">
        <w:lastRenderedPageBreak/>
        <w:t>Transport</w:t>
      </w:r>
      <w:bookmarkEnd w:id="134"/>
    </w:p>
    <w:p w14:paraId="2595E36F" w14:textId="77777777" w:rsidR="00D155AA" w:rsidRPr="00655FC7" w:rsidRDefault="00D155AA" w:rsidP="00D155AA">
      <w:pPr>
        <w:tabs>
          <w:tab w:val="left" w:pos="3119"/>
        </w:tabs>
        <w:rPr>
          <w:rFonts w:cstheme="minorHAnsi"/>
          <w:color w:val="auto"/>
          <w:lang w:eastAsia="pl-PL"/>
        </w:rPr>
      </w:pPr>
      <w:r w:rsidRPr="00655FC7">
        <w:rPr>
          <w:rFonts w:cstheme="minorHAnsi"/>
          <w:color w:val="auto"/>
          <w:lang w:eastAsia="pl-PL"/>
        </w:rPr>
        <w:t>Sieć transportową na terenie Miasta Tarnogród tworzą drogi: wojewódzkie, powiatowe oraz drogi gminne i wewnętrzne. Najważniejszymi węzłami komunikacyjnymi są dwie drogi wojewódzkie, które przebiegają przez miasto, a ich trasy krzyżują się w jego centrum:</w:t>
      </w:r>
    </w:p>
    <w:p w14:paraId="0242F052" w14:textId="0F72B619" w:rsidR="00D155AA" w:rsidRPr="00655FC7" w:rsidRDefault="00D155AA">
      <w:pPr>
        <w:pStyle w:val="Akapitzlist"/>
        <w:numPr>
          <w:ilvl w:val="0"/>
          <w:numId w:val="51"/>
        </w:numPr>
        <w:tabs>
          <w:tab w:val="left" w:pos="3119"/>
        </w:tabs>
        <w:rPr>
          <w:rFonts w:cstheme="minorHAnsi"/>
          <w:color w:val="auto"/>
          <w:lang w:eastAsia="pl-PL"/>
        </w:rPr>
      </w:pPr>
      <w:r w:rsidRPr="00655FC7">
        <w:rPr>
          <w:rFonts w:cstheme="minorHAnsi"/>
          <w:color w:val="auto"/>
          <w:lang w:eastAsia="pl-PL"/>
        </w:rPr>
        <w:t>Droga wojewódzka nr 863 Kropki – Tarnogród – Różaniec – Cieszanów</w:t>
      </w:r>
      <w:r w:rsidR="00AE2AA0">
        <w:rPr>
          <w:rFonts w:cstheme="minorHAnsi"/>
          <w:color w:val="auto"/>
          <w:lang w:eastAsia="pl-PL"/>
        </w:rPr>
        <w:t>,</w:t>
      </w:r>
    </w:p>
    <w:p w14:paraId="5D0A28D8" w14:textId="5545DC88" w:rsidR="00D155AA" w:rsidRPr="00655FC7" w:rsidRDefault="00D155AA">
      <w:pPr>
        <w:pStyle w:val="Akapitzlist"/>
        <w:numPr>
          <w:ilvl w:val="0"/>
          <w:numId w:val="51"/>
        </w:numPr>
        <w:tabs>
          <w:tab w:val="left" w:pos="3119"/>
        </w:tabs>
        <w:rPr>
          <w:rFonts w:cstheme="minorHAnsi"/>
          <w:color w:val="auto"/>
          <w:lang w:eastAsia="pl-PL"/>
        </w:rPr>
      </w:pPr>
      <w:r w:rsidRPr="00655FC7">
        <w:rPr>
          <w:rFonts w:cstheme="minorHAnsi"/>
          <w:color w:val="auto"/>
          <w:lang w:eastAsia="pl-PL"/>
        </w:rPr>
        <w:t>Droga wojewódzka nr 835 Lublin – Wysokie – Biłgoraj – Przeworsk – Dynów – Grabownica Starzeńska</w:t>
      </w:r>
      <w:r w:rsidR="00AE2AA0">
        <w:rPr>
          <w:rFonts w:cstheme="minorHAnsi"/>
          <w:color w:val="auto"/>
          <w:lang w:eastAsia="pl-PL"/>
        </w:rPr>
        <w:t>.</w:t>
      </w:r>
    </w:p>
    <w:p w14:paraId="69CDC301" w14:textId="77777777" w:rsidR="00D155AA" w:rsidRPr="00655FC7" w:rsidRDefault="00D155AA" w:rsidP="00D155AA">
      <w:pPr>
        <w:rPr>
          <w:lang w:eastAsia="pl-PL"/>
        </w:rPr>
      </w:pPr>
      <w:r w:rsidRPr="00655FC7">
        <w:rPr>
          <w:lang w:eastAsia="pl-PL"/>
        </w:rPr>
        <w:t>Szczególnie droga nr 835 ma wysokie znaczenie dla poziomu komunikacji regionu. Jest to najdłuższa droga wojewódzka w kraju, stanowiąca alternatywę dla dróg krajowych oraz szlak komunikacyjny z autostradą A4. W ostatnich latach droga przeszła szereg modernizacji, co poprawiło dostępność komunikacyjną Gminy Tarnogród (jak również gmin Biłgoraj oraz Księżpol, na co wskazuje Strategia terytorialna Partnerstwa Gmin Powiatu Biłgorajskiego). Od wielu lat prowadzone są również starania przekwalifikowania DW835 do kategorii dróg krajowych, co w przyszłości stanowiłoby o priorytetowości planowanych tam remontów.</w:t>
      </w:r>
    </w:p>
    <w:p w14:paraId="0A8EB693" w14:textId="77777777" w:rsidR="00A54F0A" w:rsidRPr="00655FC7" w:rsidRDefault="00A54F0A" w:rsidP="00D155AA">
      <w:pPr>
        <w:rPr>
          <w:lang w:eastAsia="pl-PL"/>
        </w:rPr>
      </w:pPr>
    </w:p>
    <w:p w14:paraId="15BEFAB9" w14:textId="77777777" w:rsidR="00D155AA" w:rsidRPr="00655FC7" w:rsidRDefault="00D155AA" w:rsidP="00D155AA">
      <w:pPr>
        <w:tabs>
          <w:tab w:val="left" w:pos="3119"/>
        </w:tabs>
        <w:ind w:firstLine="0"/>
        <w:jc w:val="center"/>
        <w:rPr>
          <w:rFonts w:cstheme="minorHAnsi"/>
          <w:color w:val="auto"/>
          <w:lang w:eastAsia="pl-PL"/>
        </w:rPr>
      </w:pPr>
      <w:r w:rsidRPr="00655FC7">
        <w:rPr>
          <w:rFonts w:cstheme="minorHAnsi"/>
          <w:noProof/>
          <w:color w:val="auto"/>
          <w:lang w:eastAsia="pl-PL"/>
        </w:rPr>
        <w:drawing>
          <wp:inline distT="0" distB="0" distL="0" distR="0" wp14:anchorId="64CE8921" wp14:editId="626FA50E">
            <wp:extent cx="5760424" cy="4073525"/>
            <wp:effectExtent l="19050" t="19050" r="12065" b="22225"/>
            <wp:docPr id="841956862" name="Obraz 1" descr="Obraz zawierający diagram, tekst,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956862" name="Obraz 1" descr="Obraz zawierający diagram, tekst, mapa&#10;&#10;Opis wygenerowany automatyczni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760424" cy="4073525"/>
                    </a:xfrm>
                    <a:prstGeom prst="rect">
                      <a:avLst/>
                    </a:prstGeom>
                    <a:ln>
                      <a:solidFill>
                        <a:schemeClr val="tx1"/>
                      </a:solidFill>
                    </a:ln>
                  </pic:spPr>
                </pic:pic>
              </a:graphicData>
            </a:graphic>
          </wp:inline>
        </w:drawing>
      </w:r>
    </w:p>
    <w:p w14:paraId="5AA53A43" w14:textId="2EAA7F72" w:rsidR="00D155AA" w:rsidRPr="00655FC7" w:rsidRDefault="00D155AA" w:rsidP="00D155AA">
      <w:pPr>
        <w:pStyle w:val="Stylrysunek"/>
      </w:pPr>
      <w:bookmarkStart w:id="137" w:name="_Toc178846369"/>
      <w:r w:rsidRPr="00655FC7">
        <w:t xml:space="preserve">Rysunek </w:t>
      </w:r>
      <w:r w:rsidR="00EA4C85">
        <w:fldChar w:fldCharType="begin"/>
      </w:r>
      <w:r w:rsidR="00EA4C85">
        <w:instrText xml:space="preserve"> SEQ Rysunek \* ARABIC </w:instrText>
      </w:r>
      <w:r w:rsidR="00EA4C85">
        <w:fldChar w:fldCharType="separate"/>
      </w:r>
      <w:r w:rsidR="00A654D8">
        <w:rPr>
          <w:noProof/>
        </w:rPr>
        <w:t>27</w:t>
      </w:r>
      <w:r w:rsidR="00EA4C85">
        <w:rPr>
          <w:noProof/>
        </w:rPr>
        <w:fldChar w:fldCharType="end"/>
      </w:r>
      <w:r w:rsidRPr="00655FC7">
        <w:t>. Sieć drogowa na terenie Miasta Tarnogród.</w:t>
      </w:r>
      <w:bookmarkEnd w:id="137"/>
    </w:p>
    <w:p w14:paraId="0FB8F8E1" w14:textId="77777777" w:rsidR="00D155AA" w:rsidRPr="00655FC7" w:rsidRDefault="00D155AA" w:rsidP="00D155AA">
      <w:pPr>
        <w:pStyle w:val="Cytat"/>
      </w:pPr>
      <w:r w:rsidRPr="00655FC7">
        <w:t>Źródło: Główny Urząd Geodezji i Kartografii, opracowanie własne</w:t>
      </w:r>
    </w:p>
    <w:p w14:paraId="46308FBA" w14:textId="77777777" w:rsidR="00D155AA" w:rsidRPr="00655FC7" w:rsidRDefault="00D155AA" w:rsidP="00D155AA">
      <w:pPr>
        <w:tabs>
          <w:tab w:val="left" w:pos="3119"/>
        </w:tabs>
        <w:ind w:firstLine="0"/>
        <w:rPr>
          <w:rFonts w:cstheme="minorHAnsi"/>
        </w:rPr>
      </w:pPr>
    </w:p>
    <w:p w14:paraId="5006B10E" w14:textId="4AE00283" w:rsidR="00D155AA" w:rsidRPr="00655FC7" w:rsidRDefault="00D155AA" w:rsidP="00D155AA">
      <w:pPr>
        <w:rPr>
          <w:lang w:eastAsia="pl-PL"/>
        </w:rPr>
      </w:pPr>
      <w:r w:rsidRPr="00655FC7">
        <w:rPr>
          <w:lang w:eastAsia="pl-PL"/>
        </w:rPr>
        <w:t xml:space="preserve">Niemniej, dostępność transportową regionu określa się jako niską. W części spowodowane jest to słabą organizacją transportu zbiorowego – prywatnego czy miejskiego. Przewaga indywidualnych środków transportu nad komunikacją publiczną prowadzi do zjawiska wykluczenia komunikacyjnego. Osoby niebędące w posiadaniu własnych pojazdów często należą do mniej uprzywilejowanych grup </w:t>
      </w:r>
      <w:r w:rsidRPr="00655FC7">
        <w:rPr>
          <w:lang w:eastAsia="pl-PL"/>
        </w:rPr>
        <w:lastRenderedPageBreak/>
        <w:t>społecznych, również takich bardziej narażonych na zmiany klimatu. Wykluczenie komunikacyjne tych grup przyczynia się do zwiększenia różnic społecznych na danym obszarze.</w:t>
      </w:r>
    </w:p>
    <w:p w14:paraId="2BC341CD" w14:textId="77777777" w:rsidR="00D155AA" w:rsidRPr="00655FC7" w:rsidRDefault="00D155AA" w:rsidP="00D155AA">
      <w:pPr>
        <w:rPr>
          <w:lang w:eastAsia="pl-PL"/>
        </w:rPr>
      </w:pPr>
      <w:r w:rsidRPr="00655FC7">
        <w:rPr>
          <w:lang w:eastAsia="pl-PL"/>
        </w:rPr>
        <w:t>Na terenie Miasta Tarnogród funkcjonuje komunikacja zbiorowa obsługiwana przez PKS w Biłgoraju S.A. Można się stąd dostać do następujących miejscowości:</w:t>
      </w:r>
    </w:p>
    <w:p w14:paraId="7CC01588" w14:textId="77777777" w:rsidR="00D155AA" w:rsidRPr="00655FC7" w:rsidRDefault="00D155AA">
      <w:pPr>
        <w:pStyle w:val="Akapitzlist"/>
        <w:numPr>
          <w:ilvl w:val="0"/>
          <w:numId w:val="52"/>
        </w:numPr>
        <w:jc w:val="left"/>
        <w:rPr>
          <w:lang w:eastAsia="pl-PL"/>
        </w:rPr>
      </w:pPr>
      <w:r w:rsidRPr="00655FC7">
        <w:rPr>
          <w:lang w:eastAsia="pl-PL"/>
        </w:rPr>
        <w:t>Płusy,</w:t>
      </w:r>
    </w:p>
    <w:p w14:paraId="70070E38" w14:textId="77777777" w:rsidR="00D155AA" w:rsidRPr="00655FC7" w:rsidRDefault="00D155AA">
      <w:pPr>
        <w:pStyle w:val="Akapitzlist"/>
        <w:numPr>
          <w:ilvl w:val="0"/>
          <w:numId w:val="52"/>
        </w:numPr>
        <w:jc w:val="left"/>
        <w:rPr>
          <w:lang w:eastAsia="pl-PL"/>
        </w:rPr>
      </w:pPr>
      <w:r w:rsidRPr="00655FC7">
        <w:rPr>
          <w:lang w:eastAsia="pl-PL"/>
        </w:rPr>
        <w:t>Księżpol,</w:t>
      </w:r>
    </w:p>
    <w:p w14:paraId="59B97872" w14:textId="77777777" w:rsidR="00D155AA" w:rsidRPr="00655FC7" w:rsidRDefault="00D155AA">
      <w:pPr>
        <w:pStyle w:val="Akapitzlist"/>
        <w:numPr>
          <w:ilvl w:val="0"/>
          <w:numId w:val="52"/>
        </w:numPr>
        <w:jc w:val="left"/>
        <w:rPr>
          <w:lang w:eastAsia="pl-PL"/>
        </w:rPr>
      </w:pPr>
      <w:r w:rsidRPr="00655FC7">
        <w:rPr>
          <w:lang w:eastAsia="pl-PL"/>
        </w:rPr>
        <w:t>Markowicze,</w:t>
      </w:r>
    </w:p>
    <w:p w14:paraId="3B4EA23A" w14:textId="77777777" w:rsidR="00D155AA" w:rsidRPr="00655FC7" w:rsidRDefault="00D155AA">
      <w:pPr>
        <w:pStyle w:val="Akapitzlist"/>
        <w:numPr>
          <w:ilvl w:val="0"/>
          <w:numId w:val="52"/>
        </w:numPr>
        <w:jc w:val="left"/>
        <w:rPr>
          <w:lang w:eastAsia="pl-PL"/>
        </w:rPr>
      </w:pPr>
      <w:r w:rsidRPr="00655FC7">
        <w:rPr>
          <w:lang w:eastAsia="pl-PL"/>
        </w:rPr>
        <w:t>Majdan Nowy,</w:t>
      </w:r>
    </w:p>
    <w:p w14:paraId="52B26BBA" w14:textId="77777777" w:rsidR="00D155AA" w:rsidRPr="00655FC7" w:rsidRDefault="00D155AA">
      <w:pPr>
        <w:pStyle w:val="Akapitzlist"/>
        <w:numPr>
          <w:ilvl w:val="0"/>
          <w:numId w:val="52"/>
        </w:numPr>
        <w:jc w:val="left"/>
        <w:rPr>
          <w:lang w:eastAsia="pl-PL"/>
        </w:rPr>
      </w:pPr>
      <w:r w:rsidRPr="00655FC7">
        <w:rPr>
          <w:lang w:eastAsia="pl-PL"/>
        </w:rPr>
        <w:t>Korczów,</w:t>
      </w:r>
    </w:p>
    <w:p w14:paraId="21DBA48D" w14:textId="77777777" w:rsidR="00D155AA" w:rsidRPr="00655FC7" w:rsidRDefault="00D155AA">
      <w:pPr>
        <w:pStyle w:val="Akapitzlist"/>
        <w:numPr>
          <w:ilvl w:val="0"/>
          <w:numId w:val="52"/>
        </w:numPr>
        <w:jc w:val="left"/>
        <w:rPr>
          <w:lang w:eastAsia="pl-PL"/>
        </w:rPr>
      </w:pPr>
      <w:r w:rsidRPr="00655FC7">
        <w:rPr>
          <w:lang w:eastAsia="pl-PL"/>
        </w:rPr>
        <w:t>Okrągłe,</w:t>
      </w:r>
    </w:p>
    <w:p w14:paraId="024470DF" w14:textId="77777777" w:rsidR="00D155AA" w:rsidRPr="00655FC7" w:rsidRDefault="00D155AA">
      <w:pPr>
        <w:pStyle w:val="Akapitzlist"/>
        <w:numPr>
          <w:ilvl w:val="0"/>
          <w:numId w:val="52"/>
        </w:numPr>
        <w:jc w:val="left"/>
        <w:rPr>
          <w:lang w:eastAsia="pl-PL"/>
        </w:rPr>
      </w:pPr>
      <w:r w:rsidRPr="00655FC7">
        <w:rPr>
          <w:lang w:eastAsia="pl-PL"/>
        </w:rPr>
        <w:t>Biłgoraj.</w:t>
      </w:r>
    </w:p>
    <w:p w14:paraId="5A899F7A" w14:textId="77777777" w:rsidR="00E45792" w:rsidRDefault="00E45792" w:rsidP="00D155AA">
      <w:pPr>
        <w:rPr>
          <w:lang w:eastAsia="pl-PL"/>
        </w:rPr>
      </w:pPr>
    </w:p>
    <w:p w14:paraId="16AABE9B" w14:textId="53937202" w:rsidR="00D155AA" w:rsidRPr="00655FC7" w:rsidRDefault="00D155AA" w:rsidP="00D155AA">
      <w:pPr>
        <w:rPr>
          <w:lang w:eastAsia="pl-PL"/>
        </w:rPr>
      </w:pPr>
      <w:r w:rsidRPr="00655FC7">
        <w:rPr>
          <w:lang w:eastAsia="pl-PL"/>
        </w:rPr>
        <w:t>Biłgoraj, jako powiatowy ośrodek stanowi węzeł komunikacyjny w dalszej podróży do większych ośrodków miejskich. Mieszkańcy Tarnogrodu muszą zatem pokonać 20-kilometrowy odcinek przed wyruszeniem w dalszą podróż, gdyż Tarnogród jest najdalej położoną od Biłgoraju gminą powiatu biłgorajskiego.</w:t>
      </w:r>
    </w:p>
    <w:p w14:paraId="2F5EFE81" w14:textId="5523A721" w:rsidR="00D155AA" w:rsidRPr="00655FC7" w:rsidRDefault="00D155AA" w:rsidP="00D155AA">
      <w:pPr>
        <w:tabs>
          <w:tab w:val="left" w:pos="3119"/>
        </w:tabs>
        <w:rPr>
          <w:rFonts w:cstheme="minorHAnsi"/>
          <w:color w:val="auto"/>
          <w:lang w:eastAsia="pl-PL"/>
        </w:rPr>
      </w:pPr>
      <w:r w:rsidRPr="00655FC7">
        <w:rPr>
          <w:rFonts w:cstheme="minorHAnsi"/>
          <w:color w:val="auto"/>
          <w:lang w:eastAsia="pl-PL"/>
        </w:rPr>
        <w:t>Uzupełnieniem sieci komunikacyjnej są ścieżki rowerowe. W mieście Tarnogród łączna długość ścieżki rowerowej prowadzącej wzdłuż DW835 wynosi 8 km. Jest to jedyna ścieżka rowerowa w mieście, a władze lokalne zgłaszają potrzebę jej rozbudowy. Ponadto, drogi powiatowe oraz ul.</w:t>
      </w:r>
      <w:r w:rsidR="00A54F0A" w:rsidRPr="00655FC7">
        <w:rPr>
          <w:rFonts w:cstheme="minorHAnsi"/>
          <w:color w:val="auto"/>
          <w:lang w:eastAsia="pl-PL"/>
        </w:rPr>
        <w:t> </w:t>
      </w:r>
      <w:r w:rsidRPr="00655FC7">
        <w:rPr>
          <w:rFonts w:cstheme="minorHAnsi"/>
          <w:color w:val="auto"/>
          <w:lang w:eastAsia="pl-PL"/>
        </w:rPr>
        <w:t>Przedmieście Puławskie Wschód również wymagają budowy ścieżek rowerowych, celem powstania zintegrowanej sieci komunikacji rowerowej. Na terenie miasta, przy ul. Rynek</w:t>
      </w:r>
      <w:r w:rsidR="00A54F0A" w:rsidRPr="00655FC7">
        <w:rPr>
          <w:rFonts w:cstheme="minorHAnsi"/>
          <w:color w:val="auto"/>
          <w:lang w:eastAsia="pl-PL"/>
        </w:rPr>
        <w:t>,</w:t>
      </w:r>
      <w:r w:rsidRPr="00655FC7">
        <w:rPr>
          <w:rFonts w:cstheme="minorHAnsi"/>
          <w:color w:val="auto"/>
          <w:lang w:eastAsia="pl-PL"/>
        </w:rPr>
        <w:t xml:space="preserve"> istnieje również parking rowerowy.</w:t>
      </w:r>
    </w:p>
    <w:p w14:paraId="6A565C33" w14:textId="595C273A" w:rsidR="00D155AA" w:rsidRPr="00655FC7" w:rsidRDefault="00D155AA" w:rsidP="00D155AA">
      <w:pPr>
        <w:tabs>
          <w:tab w:val="left" w:pos="3119"/>
        </w:tabs>
        <w:rPr>
          <w:rFonts w:cstheme="minorHAnsi"/>
          <w:color w:val="auto"/>
          <w:lang w:eastAsia="pl-PL"/>
        </w:rPr>
      </w:pPr>
      <w:r w:rsidRPr="00655FC7">
        <w:rPr>
          <w:rFonts w:cstheme="minorHAnsi"/>
          <w:color w:val="auto"/>
          <w:lang w:eastAsia="pl-PL"/>
        </w:rPr>
        <w:t xml:space="preserve">Strategia terytorialna Partnerstwa Gmin Powiatu Biłgorajskiego </w:t>
      </w:r>
      <w:r w:rsidR="00A54F0A" w:rsidRPr="00655FC7">
        <w:rPr>
          <w:rFonts w:cstheme="minorHAnsi"/>
          <w:color w:val="auto"/>
          <w:lang w:eastAsia="pl-PL"/>
        </w:rPr>
        <w:t>także</w:t>
      </w:r>
      <w:r w:rsidRPr="00655FC7">
        <w:rPr>
          <w:rFonts w:cstheme="minorHAnsi"/>
          <w:color w:val="auto"/>
          <w:lang w:eastAsia="pl-PL"/>
        </w:rPr>
        <w:t xml:space="preserve"> wskazuje na potrzebę rozwoju ścieżek rowerowych, szczególnie w kontekście możliwości inkorporowania jako element produktu turystycznego. Jako jedno z zadań wybrano budowę szlaków rowerowych w gminach Biłgoraj, Księżpol i Tarnogród</w:t>
      </w:r>
    </w:p>
    <w:p w14:paraId="0E1BF95B" w14:textId="77777777" w:rsidR="00D155AA" w:rsidRPr="00655FC7" w:rsidRDefault="00D155AA" w:rsidP="00D155AA">
      <w:pPr>
        <w:tabs>
          <w:tab w:val="left" w:pos="3119"/>
        </w:tabs>
        <w:rPr>
          <w:rFonts w:cstheme="minorHAnsi"/>
          <w:color w:val="auto"/>
          <w:lang w:eastAsia="pl-PL"/>
        </w:rPr>
      </w:pPr>
    </w:p>
    <w:p w14:paraId="6239CFF4" w14:textId="3A21F89E" w:rsidR="00D155AA" w:rsidRPr="00655FC7" w:rsidRDefault="00D155AA" w:rsidP="00D155AA">
      <w:pPr>
        <w:tabs>
          <w:tab w:val="left" w:pos="3119"/>
        </w:tabs>
        <w:rPr>
          <w:rFonts w:cstheme="minorHAnsi"/>
          <w:color w:val="auto"/>
          <w:lang w:eastAsia="pl-PL"/>
        </w:rPr>
      </w:pPr>
      <w:r w:rsidRPr="00655FC7">
        <w:rPr>
          <w:rFonts w:cstheme="minorHAnsi"/>
          <w:color w:val="auto"/>
          <w:lang w:eastAsia="pl-PL"/>
        </w:rPr>
        <w:t xml:space="preserve">Indywidualny transport samochodowy, brak komunikacji zbiorowej oraz uboga sieć ścieżek rowerowych przyczyniają się zatem do pogłębienia problemu zmian klimatu oraz obniżają odporność miasta na jego skutki. Ponadto, niezbędnym elementem infrastruktury samochodowej są również parkingi, które w Mieście Tarnogród wykonane są wyłącznie z nawierzchni </w:t>
      </w:r>
      <w:r w:rsidR="00A54F0A" w:rsidRPr="00655FC7">
        <w:rPr>
          <w:rFonts w:cstheme="minorHAnsi"/>
          <w:color w:val="auto"/>
          <w:lang w:eastAsia="pl-PL"/>
        </w:rPr>
        <w:t>nie</w:t>
      </w:r>
      <w:r w:rsidRPr="00655FC7">
        <w:rPr>
          <w:rFonts w:cstheme="minorHAnsi"/>
          <w:color w:val="auto"/>
          <w:lang w:eastAsia="pl-PL"/>
        </w:rPr>
        <w:t>przepuszczalnej (tabela poniżej), wpływając na zmniejszenie retencji wody.</w:t>
      </w:r>
    </w:p>
    <w:p w14:paraId="5EEBB0CF" w14:textId="77777777" w:rsidR="00D155AA" w:rsidRPr="00655FC7" w:rsidRDefault="00D155AA" w:rsidP="00D155AA">
      <w:pPr>
        <w:tabs>
          <w:tab w:val="left" w:pos="3119"/>
        </w:tabs>
        <w:rPr>
          <w:rFonts w:cstheme="minorHAnsi"/>
          <w:color w:val="auto"/>
          <w:lang w:eastAsia="pl-PL"/>
        </w:rPr>
      </w:pPr>
    </w:p>
    <w:p w14:paraId="12EAE7FE" w14:textId="70467642" w:rsidR="00D155AA" w:rsidRPr="00655FC7" w:rsidRDefault="00D155AA" w:rsidP="00D155AA">
      <w:pPr>
        <w:pStyle w:val="Styltabela"/>
        <w:rPr>
          <w:rFonts w:eastAsiaTheme="minorEastAsia"/>
        </w:rPr>
      </w:pPr>
      <w:bookmarkStart w:id="138" w:name="_Toc178846320"/>
      <w:r w:rsidRPr="00655FC7">
        <w:rPr>
          <w:rFonts w:eastAsiaTheme="minorEastAsia"/>
        </w:rPr>
        <w:t xml:space="preserve">Tabela </w:t>
      </w:r>
      <w:r w:rsidR="00E833A9">
        <w:rPr>
          <w:rFonts w:eastAsiaTheme="minorEastAsia"/>
        </w:rPr>
        <w:fldChar w:fldCharType="begin"/>
      </w:r>
      <w:r w:rsidR="00E833A9">
        <w:rPr>
          <w:rFonts w:eastAsiaTheme="minorEastAsia"/>
        </w:rPr>
        <w:instrText xml:space="preserve"> SEQ Tabela \* ARABIC </w:instrText>
      </w:r>
      <w:r w:rsidR="00E833A9">
        <w:rPr>
          <w:rFonts w:eastAsiaTheme="minorEastAsia"/>
        </w:rPr>
        <w:fldChar w:fldCharType="separate"/>
      </w:r>
      <w:r w:rsidR="00A654D8">
        <w:rPr>
          <w:rFonts w:eastAsiaTheme="minorEastAsia"/>
          <w:noProof/>
        </w:rPr>
        <w:t>14</w:t>
      </w:r>
      <w:r w:rsidR="00E833A9">
        <w:rPr>
          <w:rFonts w:eastAsiaTheme="minorEastAsia"/>
        </w:rPr>
        <w:fldChar w:fldCharType="end"/>
      </w:r>
      <w:r w:rsidRPr="00655FC7">
        <w:rPr>
          <w:rFonts w:eastAsiaTheme="minorEastAsia"/>
        </w:rPr>
        <w:t>. Parkingi na omawianym terenie.</w:t>
      </w:r>
      <w:bookmarkEnd w:id="138"/>
    </w:p>
    <w:tbl>
      <w:tblPr>
        <w:tblStyle w:val="Tabela-Siatka192"/>
        <w:tblW w:w="9072" w:type="dxa"/>
        <w:jc w:val="center"/>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ook w:val="04A0" w:firstRow="1" w:lastRow="0" w:firstColumn="1" w:lastColumn="0" w:noHBand="0" w:noVBand="1"/>
      </w:tblPr>
      <w:tblGrid>
        <w:gridCol w:w="3857"/>
        <w:gridCol w:w="1965"/>
        <w:gridCol w:w="3250"/>
      </w:tblGrid>
      <w:tr w:rsidR="00D155AA" w:rsidRPr="00655FC7" w14:paraId="00CC81BE" w14:textId="77777777" w:rsidTr="005B0EE0">
        <w:trPr>
          <w:trHeight w:val="454"/>
          <w:tblHeader/>
          <w:jc w:val="center"/>
        </w:trPr>
        <w:tc>
          <w:tcPr>
            <w:tcW w:w="3857" w:type="dxa"/>
            <w:shd w:val="clear" w:color="auto" w:fill="A6D165" w:themeFill="accent1" w:themeFillTint="99"/>
            <w:vAlign w:val="center"/>
          </w:tcPr>
          <w:p w14:paraId="58D2B93D" w14:textId="77777777" w:rsidR="00D155AA" w:rsidRPr="00655FC7" w:rsidRDefault="00D155AA" w:rsidP="00827748">
            <w:pPr>
              <w:ind w:firstLine="0"/>
              <w:jc w:val="center"/>
              <w:rPr>
                <w:rFonts w:asciiTheme="minorHAnsi" w:eastAsia="Calibri" w:hAnsiTheme="minorHAnsi" w:cstheme="minorHAnsi"/>
                <w:b/>
                <w:color w:val="auto"/>
                <w:sz w:val="18"/>
                <w:szCs w:val="18"/>
              </w:rPr>
            </w:pPr>
            <w:r w:rsidRPr="00655FC7">
              <w:rPr>
                <w:rFonts w:asciiTheme="minorHAnsi" w:eastAsia="Calibri" w:hAnsiTheme="minorHAnsi" w:cstheme="minorHAnsi"/>
                <w:b/>
                <w:color w:val="auto"/>
                <w:sz w:val="18"/>
                <w:szCs w:val="18"/>
              </w:rPr>
              <w:t>Lokalizacja parkingu</w:t>
            </w:r>
          </w:p>
        </w:tc>
        <w:tc>
          <w:tcPr>
            <w:tcW w:w="1965" w:type="dxa"/>
            <w:shd w:val="clear" w:color="auto" w:fill="A6D165" w:themeFill="accent1" w:themeFillTint="99"/>
            <w:vAlign w:val="center"/>
          </w:tcPr>
          <w:p w14:paraId="27193B51" w14:textId="77777777" w:rsidR="00D155AA" w:rsidRPr="00655FC7" w:rsidRDefault="00D155AA" w:rsidP="00827748">
            <w:pPr>
              <w:ind w:firstLine="0"/>
              <w:jc w:val="center"/>
              <w:rPr>
                <w:rFonts w:asciiTheme="minorHAnsi" w:eastAsia="Calibri" w:hAnsiTheme="minorHAnsi" w:cstheme="minorHAnsi"/>
                <w:b/>
                <w:color w:val="auto"/>
                <w:sz w:val="18"/>
                <w:szCs w:val="18"/>
              </w:rPr>
            </w:pPr>
            <w:r w:rsidRPr="00655FC7">
              <w:rPr>
                <w:rFonts w:asciiTheme="minorHAnsi" w:eastAsia="Calibri" w:hAnsiTheme="minorHAnsi" w:cstheme="minorHAnsi"/>
                <w:b/>
                <w:color w:val="auto"/>
                <w:sz w:val="18"/>
                <w:szCs w:val="18"/>
              </w:rPr>
              <w:t>Powierzchnia</w:t>
            </w:r>
          </w:p>
        </w:tc>
        <w:tc>
          <w:tcPr>
            <w:tcW w:w="3250" w:type="dxa"/>
            <w:shd w:val="clear" w:color="auto" w:fill="A6D165" w:themeFill="accent1" w:themeFillTint="99"/>
            <w:vAlign w:val="center"/>
          </w:tcPr>
          <w:p w14:paraId="0E056A52" w14:textId="77777777" w:rsidR="00D155AA" w:rsidRPr="00655FC7" w:rsidRDefault="00D155AA" w:rsidP="00827748">
            <w:pPr>
              <w:ind w:firstLine="0"/>
              <w:jc w:val="center"/>
              <w:rPr>
                <w:rFonts w:asciiTheme="minorHAnsi" w:eastAsia="Calibri" w:hAnsiTheme="minorHAnsi" w:cstheme="minorHAnsi"/>
                <w:b/>
                <w:color w:val="auto"/>
                <w:sz w:val="18"/>
                <w:szCs w:val="18"/>
              </w:rPr>
            </w:pPr>
            <w:r w:rsidRPr="00655FC7">
              <w:rPr>
                <w:rFonts w:asciiTheme="minorHAnsi" w:eastAsia="Calibri" w:hAnsiTheme="minorHAnsi" w:cstheme="minorHAnsi"/>
                <w:b/>
                <w:color w:val="auto"/>
                <w:sz w:val="18"/>
                <w:szCs w:val="18"/>
              </w:rPr>
              <w:t>Rodzaj nawierzchni</w:t>
            </w:r>
          </w:p>
        </w:tc>
      </w:tr>
      <w:tr w:rsidR="00D155AA" w:rsidRPr="00655FC7" w14:paraId="557020C1" w14:textId="77777777" w:rsidTr="005B0EE0">
        <w:trPr>
          <w:trHeight w:val="340"/>
          <w:jc w:val="center"/>
        </w:trPr>
        <w:tc>
          <w:tcPr>
            <w:tcW w:w="3857" w:type="dxa"/>
            <w:vAlign w:val="center"/>
          </w:tcPr>
          <w:p w14:paraId="409A011C" w14:textId="77777777" w:rsidR="00D155AA" w:rsidRPr="00655FC7" w:rsidRDefault="00D155AA" w:rsidP="00827748">
            <w:pPr>
              <w:ind w:firstLine="0"/>
              <w:jc w:val="center"/>
              <w:rPr>
                <w:rFonts w:asciiTheme="minorHAnsi" w:eastAsia="Calibri" w:hAnsiTheme="minorHAnsi" w:cstheme="minorHAnsi"/>
                <w:color w:val="auto"/>
                <w:sz w:val="18"/>
                <w:szCs w:val="18"/>
              </w:rPr>
            </w:pPr>
            <w:r w:rsidRPr="00655FC7">
              <w:rPr>
                <w:rFonts w:asciiTheme="minorHAnsi" w:eastAsiaTheme="minorHAnsi" w:hAnsiTheme="minorHAnsi" w:cstheme="minorHAnsi"/>
                <w:kern w:val="0"/>
                <w:sz w:val="18"/>
                <w:szCs w:val="18"/>
                <w:lang w:eastAsia="en-US" w:bidi="ar-SA"/>
              </w:rPr>
              <w:t>ul. Kościuszki</w:t>
            </w:r>
          </w:p>
        </w:tc>
        <w:tc>
          <w:tcPr>
            <w:tcW w:w="1965" w:type="dxa"/>
            <w:vAlign w:val="center"/>
          </w:tcPr>
          <w:p w14:paraId="6F2953A8" w14:textId="77777777" w:rsidR="00D155AA" w:rsidRPr="00655FC7" w:rsidRDefault="00D155AA" w:rsidP="00827748">
            <w:pPr>
              <w:ind w:firstLine="0"/>
              <w:jc w:val="center"/>
              <w:rPr>
                <w:rFonts w:asciiTheme="minorHAnsi" w:eastAsia="Calibri" w:hAnsiTheme="minorHAnsi" w:cstheme="minorHAnsi"/>
                <w:color w:val="auto"/>
                <w:sz w:val="18"/>
                <w:szCs w:val="18"/>
              </w:rPr>
            </w:pPr>
            <w:r w:rsidRPr="00655FC7">
              <w:rPr>
                <w:rFonts w:asciiTheme="minorHAnsi" w:eastAsiaTheme="minorHAnsi" w:hAnsiTheme="minorHAnsi" w:cstheme="minorHAnsi"/>
                <w:kern w:val="0"/>
                <w:sz w:val="18"/>
                <w:szCs w:val="18"/>
                <w:lang w:eastAsia="en-US" w:bidi="ar-SA"/>
              </w:rPr>
              <w:t>utwardzona</w:t>
            </w:r>
          </w:p>
        </w:tc>
        <w:tc>
          <w:tcPr>
            <w:tcW w:w="3250" w:type="dxa"/>
            <w:vAlign w:val="center"/>
          </w:tcPr>
          <w:p w14:paraId="1F7B3A16" w14:textId="77777777" w:rsidR="00D155AA" w:rsidRPr="00655FC7" w:rsidRDefault="00D155AA" w:rsidP="00827748">
            <w:pPr>
              <w:ind w:firstLine="0"/>
              <w:jc w:val="center"/>
              <w:rPr>
                <w:rFonts w:asciiTheme="minorHAnsi" w:eastAsia="Calibri" w:hAnsiTheme="minorHAnsi" w:cstheme="minorHAnsi"/>
                <w:color w:val="auto"/>
                <w:sz w:val="18"/>
                <w:szCs w:val="18"/>
              </w:rPr>
            </w:pPr>
            <w:r w:rsidRPr="00655FC7">
              <w:rPr>
                <w:rFonts w:asciiTheme="minorHAnsi" w:hAnsiTheme="minorHAnsi" w:cstheme="minorHAnsi"/>
                <w:sz w:val="18"/>
                <w:szCs w:val="18"/>
              </w:rPr>
              <w:t>nieprzepuszczalna</w:t>
            </w:r>
          </w:p>
        </w:tc>
      </w:tr>
      <w:tr w:rsidR="00D155AA" w:rsidRPr="00655FC7" w14:paraId="6B0578F0" w14:textId="77777777" w:rsidTr="005B0EE0">
        <w:trPr>
          <w:trHeight w:val="340"/>
          <w:jc w:val="center"/>
        </w:trPr>
        <w:tc>
          <w:tcPr>
            <w:tcW w:w="3857" w:type="dxa"/>
            <w:vAlign w:val="center"/>
          </w:tcPr>
          <w:p w14:paraId="49A55FE2" w14:textId="77777777" w:rsidR="00D155AA" w:rsidRPr="00655FC7" w:rsidRDefault="00D155AA" w:rsidP="00827748">
            <w:pPr>
              <w:ind w:firstLine="0"/>
              <w:jc w:val="center"/>
              <w:rPr>
                <w:rFonts w:asciiTheme="minorHAnsi" w:eastAsia="Calibri" w:hAnsiTheme="minorHAnsi" w:cstheme="minorHAnsi"/>
                <w:color w:val="auto"/>
                <w:sz w:val="18"/>
                <w:szCs w:val="18"/>
              </w:rPr>
            </w:pPr>
            <w:r w:rsidRPr="00655FC7">
              <w:rPr>
                <w:rFonts w:asciiTheme="minorHAnsi" w:hAnsiTheme="minorHAnsi" w:cstheme="minorHAnsi"/>
                <w:sz w:val="18"/>
                <w:szCs w:val="18"/>
              </w:rPr>
              <w:t>ul. Rynek</w:t>
            </w:r>
          </w:p>
        </w:tc>
        <w:tc>
          <w:tcPr>
            <w:tcW w:w="1965" w:type="dxa"/>
            <w:vAlign w:val="center"/>
          </w:tcPr>
          <w:p w14:paraId="685C3DC9" w14:textId="77777777" w:rsidR="00D155AA" w:rsidRPr="00655FC7" w:rsidRDefault="00D155AA" w:rsidP="00827748">
            <w:pPr>
              <w:ind w:firstLine="0"/>
              <w:jc w:val="center"/>
              <w:rPr>
                <w:rFonts w:asciiTheme="minorHAnsi" w:eastAsia="Calibri" w:hAnsiTheme="minorHAnsi" w:cstheme="minorHAnsi"/>
                <w:color w:val="auto"/>
                <w:sz w:val="18"/>
                <w:szCs w:val="18"/>
              </w:rPr>
            </w:pPr>
            <w:r w:rsidRPr="00655FC7">
              <w:rPr>
                <w:rFonts w:asciiTheme="minorHAnsi" w:hAnsiTheme="minorHAnsi" w:cstheme="minorHAnsi"/>
                <w:sz w:val="18"/>
                <w:szCs w:val="18"/>
              </w:rPr>
              <w:t>utwardzona</w:t>
            </w:r>
          </w:p>
        </w:tc>
        <w:tc>
          <w:tcPr>
            <w:tcW w:w="3250" w:type="dxa"/>
            <w:vAlign w:val="center"/>
          </w:tcPr>
          <w:p w14:paraId="35BB3C4F" w14:textId="77777777" w:rsidR="00D155AA" w:rsidRPr="00655FC7" w:rsidRDefault="00D155AA" w:rsidP="00827748">
            <w:pPr>
              <w:ind w:firstLine="0"/>
              <w:jc w:val="center"/>
              <w:rPr>
                <w:rFonts w:asciiTheme="minorHAnsi" w:eastAsia="Calibri" w:hAnsiTheme="minorHAnsi" w:cstheme="minorHAnsi"/>
                <w:color w:val="auto"/>
                <w:sz w:val="18"/>
                <w:szCs w:val="18"/>
              </w:rPr>
            </w:pPr>
            <w:r w:rsidRPr="00655FC7">
              <w:rPr>
                <w:rFonts w:asciiTheme="minorHAnsi" w:hAnsiTheme="minorHAnsi" w:cstheme="minorHAnsi"/>
                <w:sz w:val="18"/>
                <w:szCs w:val="18"/>
              </w:rPr>
              <w:t>nieprzepuszczalna</w:t>
            </w:r>
          </w:p>
        </w:tc>
      </w:tr>
      <w:tr w:rsidR="00D155AA" w:rsidRPr="00655FC7" w14:paraId="198EF36F" w14:textId="77777777" w:rsidTr="005B0EE0">
        <w:trPr>
          <w:trHeight w:val="340"/>
          <w:jc w:val="center"/>
        </w:trPr>
        <w:tc>
          <w:tcPr>
            <w:tcW w:w="3857" w:type="dxa"/>
            <w:vAlign w:val="center"/>
          </w:tcPr>
          <w:p w14:paraId="4BFD9203" w14:textId="77777777" w:rsidR="00D155AA" w:rsidRPr="00655FC7" w:rsidRDefault="00D155AA" w:rsidP="00827748">
            <w:pPr>
              <w:ind w:firstLine="0"/>
              <w:jc w:val="center"/>
              <w:rPr>
                <w:rFonts w:asciiTheme="minorHAnsi" w:eastAsia="Calibri" w:hAnsiTheme="minorHAnsi" w:cstheme="minorHAnsi"/>
                <w:color w:val="auto"/>
                <w:sz w:val="18"/>
                <w:szCs w:val="18"/>
              </w:rPr>
            </w:pPr>
            <w:r w:rsidRPr="00655FC7">
              <w:rPr>
                <w:rFonts w:asciiTheme="minorHAnsi" w:hAnsiTheme="minorHAnsi" w:cstheme="minorHAnsi"/>
                <w:sz w:val="18"/>
                <w:szCs w:val="18"/>
              </w:rPr>
              <w:t>ul. Kościelna</w:t>
            </w:r>
          </w:p>
        </w:tc>
        <w:tc>
          <w:tcPr>
            <w:tcW w:w="1965" w:type="dxa"/>
            <w:vAlign w:val="center"/>
          </w:tcPr>
          <w:p w14:paraId="59D75C9F" w14:textId="77777777" w:rsidR="00D155AA" w:rsidRPr="00655FC7" w:rsidRDefault="00D155AA" w:rsidP="00827748">
            <w:pPr>
              <w:ind w:firstLine="0"/>
              <w:jc w:val="center"/>
              <w:rPr>
                <w:rFonts w:asciiTheme="minorHAnsi" w:eastAsia="Calibri" w:hAnsiTheme="minorHAnsi" w:cstheme="minorHAnsi"/>
                <w:color w:val="auto"/>
                <w:sz w:val="18"/>
                <w:szCs w:val="18"/>
              </w:rPr>
            </w:pPr>
            <w:r w:rsidRPr="00655FC7">
              <w:rPr>
                <w:rFonts w:asciiTheme="minorHAnsi" w:hAnsiTheme="minorHAnsi" w:cstheme="minorHAnsi"/>
                <w:sz w:val="18"/>
                <w:szCs w:val="18"/>
              </w:rPr>
              <w:t>utwardzona</w:t>
            </w:r>
          </w:p>
        </w:tc>
        <w:tc>
          <w:tcPr>
            <w:tcW w:w="3250" w:type="dxa"/>
            <w:vAlign w:val="center"/>
          </w:tcPr>
          <w:p w14:paraId="3609304E" w14:textId="77777777" w:rsidR="00D155AA" w:rsidRPr="00655FC7" w:rsidRDefault="00D155AA" w:rsidP="00827748">
            <w:pPr>
              <w:ind w:firstLine="0"/>
              <w:jc w:val="center"/>
              <w:rPr>
                <w:rFonts w:asciiTheme="minorHAnsi" w:eastAsia="Calibri" w:hAnsiTheme="minorHAnsi" w:cstheme="minorHAnsi"/>
                <w:color w:val="auto"/>
                <w:sz w:val="18"/>
                <w:szCs w:val="18"/>
              </w:rPr>
            </w:pPr>
            <w:r w:rsidRPr="00655FC7">
              <w:rPr>
                <w:rFonts w:asciiTheme="minorHAnsi" w:hAnsiTheme="minorHAnsi" w:cstheme="minorHAnsi"/>
                <w:sz w:val="18"/>
                <w:szCs w:val="18"/>
              </w:rPr>
              <w:t>nieprzepuszczalna</w:t>
            </w:r>
          </w:p>
        </w:tc>
      </w:tr>
      <w:tr w:rsidR="00D155AA" w:rsidRPr="00655FC7" w14:paraId="444AF13A" w14:textId="77777777" w:rsidTr="005B0EE0">
        <w:trPr>
          <w:trHeight w:val="340"/>
          <w:jc w:val="center"/>
        </w:trPr>
        <w:tc>
          <w:tcPr>
            <w:tcW w:w="3857" w:type="dxa"/>
            <w:vAlign w:val="center"/>
          </w:tcPr>
          <w:p w14:paraId="1C1DADA9" w14:textId="77777777" w:rsidR="00D155AA" w:rsidRPr="00655FC7" w:rsidRDefault="00D155AA" w:rsidP="00827748">
            <w:pPr>
              <w:ind w:firstLine="0"/>
              <w:jc w:val="center"/>
              <w:rPr>
                <w:rFonts w:asciiTheme="minorHAnsi" w:eastAsia="Calibri" w:hAnsiTheme="minorHAnsi" w:cstheme="minorHAnsi"/>
                <w:color w:val="auto"/>
                <w:sz w:val="18"/>
                <w:szCs w:val="18"/>
              </w:rPr>
            </w:pPr>
            <w:r w:rsidRPr="00655FC7">
              <w:rPr>
                <w:rFonts w:asciiTheme="minorHAnsi" w:hAnsiTheme="minorHAnsi" w:cstheme="minorHAnsi"/>
                <w:sz w:val="18"/>
                <w:szCs w:val="18"/>
              </w:rPr>
              <w:t>ul. Targowa</w:t>
            </w:r>
          </w:p>
        </w:tc>
        <w:tc>
          <w:tcPr>
            <w:tcW w:w="1965" w:type="dxa"/>
            <w:vAlign w:val="center"/>
          </w:tcPr>
          <w:p w14:paraId="399BF90C" w14:textId="77777777" w:rsidR="00D155AA" w:rsidRPr="00655FC7" w:rsidRDefault="00D155AA" w:rsidP="00827748">
            <w:pPr>
              <w:ind w:firstLine="0"/>
              <w:jc w:val="center"/>
              <w:rPr>
                <w:rFonts w:asciiTheme="minorHAnsi" w:eastAsia="Calibri" w:hAnsiTheme="minorHAnsi" w:cstheme="minorHAnsi"/>
                <w:color w:val="auto"/>
                <w:sz w:val="18"/>
                <w:szCs w:val="18"/>
              </w:rPr>
            </w:pPr>
            <w:r w:rsidRPr="00655FC7">
              <w:rPr>
                <w:rFonts w:asciiTheme="minorHAnsi" w:hAnsiTheme="minorHAnsi" w:cstheme="minorHAnsi"/>
                <w:sz w:val="18"/>
                <w:szCs w:val="18"/>
              </w:rPr>
              <w:t>utwardzona</w:t>
            </w:r>
          </w:p>
        </w:tc>
        <w:tc>
          <w:tcPr>
            <w:tcW w:w="3250" w:type="dxa"/>
            <w:vAlign w:val="center"/>
          </w:tcPr>
          <w:p w14:paraId="2FAE143B" w14:textId="77777777" w:rsidR="00D155AA" w:rsidRPr="00655FC7" w:rsidRDefault="00D155AA" w:rsidP="00827748">
            <w:pPr>
              <w:ind w:firstLine="0"/>
              <w:jc w:val="center"/>
              <w:rPr>
                <w:rFonts w:asciiTheme="minorHAnsi" w:eastAsia="Calibri" w:hAnsiTheme="minorHAnsi" w:cstheme="minorHAnsi"/>
                <w:color w:val="auto"/>
                <w:sz w:val="18"/>
                <w:szCs w:val="18"/>
              </w:rPr>
            </w:pPr>
            <w:r w:rsidRPr="00655FC7">
              <w:rPr>
                <w:rFonts w:asciiTheme="minorHAnsi" w:hAnsiTheme="minorHAnsi" w:cstheme="minorHAnsi"/>
                <w:sz w:val="18"/>
                <w:szCs w:val="18"/>
              </w:rPr>
              <w:t>nieprzepuszczalna</w:t>
            </w:r>
          </w:p>
        </w:tc>
      </w:tr>
    </w:tbl>
    <w:p w14:paraId="0A151717" w14:textId="77777777" w:rsidR="00D155AA" w:rsidRPr="00655FC7" w:rsidRDefault="00D155AA" w:rsidP="00D155AA">
      <w:pPr>
        <w:pStyle w:val="Cytat"/>
      </w:pPr>
      <w:r w:rsidRPr="00655FC7">
        <w:t>źródło: Informacje udostępnione przez Urząd Miejski w Tarnogrodzie</w:t>
      </w:r>
    </w:p>
    <w:p w14:paraId="662378BD" w14:textId="77777777" w:rsidR="00D155AA" w:rsidRPr="00655FC7" w:rsidRDefault="00D155AA" w:rsidP="00D155AA"/>
    <w:p w14:paraId="79DBCB04" w14:textId="77777777" w:rsidR="00D155AA" w:rsidRPr="00655FC7" w:rsidRDefault="00D155AA" w:rsidP="00B62479">
      <w:pPr>
        <w:pStyle w:val="Nagwek2"/>
      </w:pPr>
      <w:bookmarkStart w:id="139" w:name="_Toc177732054"/>
      <w:r w:rsidRPr="00655FC7">
        <w:lastRenderedPageBreak/>
        <w:t>Uwarunkowania przyrodnicze</w:t>
      </w:r>
      <w:bookmarkEnd w:id="139"/>
    </w:p>
    <w:p w14:paraId="000848ED" w14:textId="77777777" w:rsidR="00D155AA" w:rsidRPr="00655FC7" w:rsidRDefault="00D155AA" w:rsidP="00D155AA">
      <w:pPr>
        <w:rPr>
          <w:rFonts w:cstheme="minorHAnsi"/>
        </w:rPr>
      </w:pPr>
      <w:r w:rsidRPr="00655FC7">
        <w:rPr>
          <w:rFonts w:cstheme="minorHAnsi"/>
        </w:rPr>
        <w:t>Miasto Tarnogród ze względu na swoje położenie posiada liczne walory krajobrazowo-przyrodnicze. Poniżej zaprezentowano poszczególne zagadnienia z obszaru uwarunkowań przyrodniczych:</w:t>
      </w:r>
    </w:p>
    <w:p w14:paraId="58E251EF" w14:textId="77777777" w:rsidR="00D155AA" w:rsidRPr="00655FC7" w:rsidRDefault="00D155AA">
      <w:pPr>
        <w:numPr>
          <w:ilvl w:val="0"/>
          <w:numId w:val="19"/>
        </w:numPr>
        <w:contextualSpacing/>
        <w:rPr>
          <w:rFonts w:cstheme="minorHAnsi"/>
        </w:rPr>
      </w:pPr>
      <w:r w:rsidRPr="00655FC7">
        <w:rPr>
          <w:rFonts w:cstheme="minorHAnsi"/>
        </w:rPr>
        <w:t>ochrona przyrody,</w:t>
      </w:r>
    </w:p>
    <w:p w14:paraId="7D6E339C" w14:textId="77777777" w:rsidR="00D155AA" w:rsidRPr="00655FC7" w:rsidRDefault="00D155AA">
      <w:pPr>
        <w:numPr>
          <w:ilvl w:val="0"/>
          <w:numId w:val="19"/>
        </w:numPr>
        <w:contextualSpacing/>
        <w:rPr>
          <w:rFonts w:cstheme="minorHAnsi"/>
        </w:rPr>
      </w:pPr>
      <w:r w:rsidRPr="00655FC7">
        <w:rPr>
          <w:rFonts w:cstheme="minorHAnsi"/>
        </w:rPr>
        <w:t>zieleń publiczna,</w:t>
      </w:r>
    </w:p>
    <w:p w14:paraId="07BEE3D5" w14:textId="77777777" w:rsidR="00D155AA" w:rsidRPr="00655FC7" w:rsidRDefault="00D155AA">
      <w:pPr>
        <w:numPr>
          <w:ilvl w:val="0"/>
          <w:numId w:val="19"/>
        </w:numPr>
        <w:contextualSpacing/>
        <w:rPr>
          <w:rFonts w:cstheme="minorHAnsi"/>
        </w:rPr>
      </w:pPr>
      <w:r w:rsidRPr="00655FC7">
        <w:rPr>
          <w:rFonts w:cstheme="minorHAnsi"/>
        </w:rPr>
        <w:t>lasy,</w:t>
      </w:r>
    </w:p>
    <w:p w14:paraId="4137151B" w14:textId="77777777" w:rsidR="00D155AA" w:rsidRPr="00655FC7" w:rsidRDefault="00D155AA">
      <w:pPr>
        <w:numPr>
          <w:ilvl w:val="0"/>
          <w:numId w:val="19"/>
        </w:numPr>
        <w:contextualSpacing/>
        <w:rPr>
          <w:rFonts w:cstheme="minorHAnsi"/>
        </w:rPr>
      </w:pPr>
      <w:r w:rsidRPr="00655FC7">
        <w:rPr>
          <w:rFonts w:cstheme="minorHAnsi"/>
        </w:rPr>
        <w:t>rośliny inwazyjne,</w:t>
      </w:r>
    </w:p>
    <w:p w14:paraId="79318585" w14:textId="77777777" w:rsidR="00D155AA" w:rsidRPr="00655FC7" w:rsidRDefault="00D155AA">
      <w:pPr>
        <w:numPr>
          <w:ilvl w:val="0"/>
          <w:numId w:val="19"/>
        </w:numPr>
        <w:contextualSpacing/>
        <w:rPr>
          <w:rFonts w:cstheme="minorHAnsi"/>
        </w:rPr>
      </w:pPr>
      <w:r w:rsidRPr="00655FC7">
        <w:rPr>
          <w:rFonts w:cstheme="minorHAnsi"/>
        </w:rPr>
        <w:t>rolnictwo i uprawy,</w:t>
      </w:r>
    </w:p>
    <w:p w14:paraId="7BDC41EA" w14:textId="77777777" w:rsidR="00D155AA" w:rsidRPr="00655FC7" w:rsidRDefault="00D155AA">
      <w:pPr>
        <w:numPr>
          <w:ilvl w:val="0"/>
          <w:numId w:val="19"/>
        </w:numPr>
        <w:contextualSpacing/>
        <w:rPr>
          <w:rFonts w:cstheme="minorHAnsi"/>
        </w:rPr>
      </w:pPr>
      <w:r w:rsidRPr="00655FC7">
        <w:rPr>
          <w:rFonts w:cstheme="minorHAnsi"/>
        </w:rPr>
        <w:t>wody powierzchniowe i podziemne,</w:t>
      </w:r>
    </w:p>
    <w:p w14:paraId="4BD99EED" w14:textId="77777777" w:rsidR="00D155AA" w:rsidRPr="00655FC7" w:rsidRDefault="00D155AA">
      <w:pPr>
        <w:numPr>
          <w:ilvl w:val="0"/>
          <w:numId w:val="19"/>
        </w:numPr>
        <w:contextualSpacing/>
        <w:rPr>
          <w:rFonts w:cstheme="minorHAnsi"/>
        </w:rPr>
      </w:pPr>
      <w:r w:rsidRPr="00655FC7">
        <w:rPr>
          <w:rFonts w:cstheme="minorHAnsi"/>
        </w:rPr>
        <w:t>warunki klimatyczne.</w:t>
      </w:r>
    </w:p>
    <w:p w14:paraId="76B2B9BE" w14:textId="77777777" w:rsidR="00D155AA" w:rsidRPr="00655FC7" w:rsidRDefault="00D155AA" w:rsidP="00D155AA">
      <w:pPr>
        <w:ind w:left="1004" w:firstLine="0"/>
        <w:contextualSpacing/>
        <w:rPr>
          <w:rFonts w:cstheme="minorHAnsi"/>
        </w:rPr>
      </w:pPr>
    </w:p>
    <w:p w14:paraId="418CB173" w14:textId="77777777" w:rsidR="00D155AA" w:rsidRPr="00655FC7" w:rsidRDefault="00D155AA" w:rsidP="00D155AA">
      <w:pPr>
        <w:pStyle w:val="Nagwek3"/>
      </w:pPr>
      <w:bookmarkStart w:id="140" w:name="_Toc177732055"/>
      <w:r w:rsidRPr="00655FC7">
        <w:t>Ochrona przyrody</w:t>
      </w:r>
      <w:bookmarkEnd w:id="140"/>
    </w:p>
    <w:p w14:paraId="4D805355" w14:textId="77777777" w:rsidR="00D155AA" w:rsidRPr="00655FC7" w:rsidRDefault="00D155AA" w:rsidP="00D155AA">
      <w:pPr>
        <w:rPr>
          <w:lang w:eastAsia="pl-PL"/>
        </w:rPr>
      </w:pPr>
      <w:bookmarkStart w:id="141" w:name="_Toc376425345"/>
      <w:bookmarkStart w:id="142" w:name="_Toc405554639"/>
      <w:bookmarkStart w:id="143" w:name="_Toc434322004"/>
      <w:r w:rsidRPr="00655FC7">
        <w:rPr>
          <w:lang w:eastAsia="pl-PL"/>
        </w:rPr>
        <w:t>Na terenie Miasta Tarnogród brak jest wyznaczonych form ochrony przyrody. Nie świadczy to jednak o niskich walorach przyrodniczych obszaru. Ze względu na swoje peryferyjne położenie, gmina może wykorzystać walory Płaskowyżu Tarnogrodzkiego, będącego częścią Kotliny Sandomierskiej, które przedstawiono w dalszej części.</w:t>
      </w:r>
    </w:p>
    <w:p w14:paraId="2592E88A" w14:textId="77777777" w:rsidR="00A54F0A" w:rsidRPr="00655FC7" w:rsidRDefault="00A54F0A" w:rsidP="00D155AA">
      <w:pPr>
        <w:rPr>
          <w:rFonts w:eastAsia="Calibri"/>
        </w:rPr>
      </w:pPr>
    </w:p>
    <w:p w14:paraId="4F09B374" w14:textId="77777777" w:rsidR="00D155AA" w:rsidRPr="00655FC7" w:rsidRDefault="00D155AA" w:rsidP="00D155AA">
      <w:pPr>
        <w:pStyle w:val="Nagwek3"/>
      </w:pPr>
      <w:bookmarkStart w:id="144" w:name="_Toc155700356"/>
      <w:bookmarkStart w:id="145" w:name="_Toc177732056"/>
      <w:bookmarkEnd w:id="141"/>
      <w:bookmarkEnd w:id="142"/>
      <w:bookmarkEnd w:id="143"/>
      <w:bookmarkEnd w:id="144"/>
      <w:r w:rsidRPr="00655FC7">
        <w:t>Lasy</w:t>
      </w:r>
      <w:bookmarkEnd w:id="145"/>
    </w:p>
    <w:p w14:paraId="42363F3C" w14:textId="77777777" w:rsidR="00D155AA" w:rsidRPr="00655FC7" w:rsidRDefault="00D155AA" w:rsidP="00D155AA">
      <w:r w:rsidRPr="00655FC7">
        <w:t>Na terenie Miasta Tarnogród znajdowało się w 2022 0,1 ha lasów (las prywatny), co jest wartością niezmienną od roku 2018. Lesistość omawianego obszaru to 1,0% - dla porównania lesistości:</w:t>
      </w:r>
    </w:p>
    <w:p w14:paraId="3624AF53" w14:textId="77777777" w:rsidR="00D155AA" w:rsidRPr="00655FC7" w:rsidRDefault="00D155AA">
      <w:pPr>
        <w:numPr>
          <w:ilvl w:val="0"/>
          <w:numId w:val="38"/>
        </w:numPr>
        <w:tabs>
          <w:tab w:val="left" w:pos="3119"/>
        </w:tabs>
        <w:contextualSpacing/>
        <w:rPr>
          <w:rFonts w:eastAsia="Calibri" w:cstheme="minorHAnsi"/>
          <w:color w:val="auto"/>
        </w:rPr>
      </w:pPr>
      <w:r w:rsidRPr="00655FC7">
        <w:rPr>
          <w:rFonts w:eastAsia="Calibri" w:cstheme="minorHAnsi"/>
          <w:color w:val="auto"/>
        </w:rPr>
        <w:t xml:space="preserve">gminy Tarnogród – 28,0%, </w:t>
      </w:r>
    </w:p>
    <w:p w14:paraId="3866C46A" w14:textId="77777777" w:rsidR="00D155AA" w:rsidRPr="00655FC7" w:rsidRDefault="00D155AA">
      <w:pPr>
        <w:numPr>
          <w:ilvl w:val="0"/>
          <w:numId w:val="38"/>
        </w:numPr>
        <w:tabs>
          <w:tab w:val="left" w:pos="3119"/>
        </w:tabs>
        <w:contextualSpacing/>
        <w:rPr>
          <w:rFonts w:eastAsia="Calibri" w:cstheme="minorHAnsi"/>
          <w:color w:val="auto"/>
        </w:rPr>
      </w:pPr>
      <w:r w:rsidRPr="00655FC7">
        <w:rPr>
          <w:rFonts w:eastAsia="Calibri" w:cstheme="minorHAnsi"/>
          <w:color w:val="auto"/>
        </w:rPr>
        <w:t>województwa lubelskiego – 23,5%,</w:t>
      </w:r>
    </w:p>
    <w:p w14:paraId="5989F85D" w14:textId="77777777" w:rsidR="00D155AA" w:rsidRPr="00655FC7" w:rsidRDefault="00D155AA">
      <w:pPr>
        <w:numPr>
          <w:ilvl w:val="0"/>
          <w:numId w:val="38"/>
        </w:numPr>
        <w:tabs>
          <w:tab w:val="left" w:pos="3119"/>
        </w:tabs>
        <w:contextualSpacing/>
        <w:rPr>
          <w:rFonts w:eastAsia="Calibri" w:cstheme="minorHAnsi"/>
          <w:color w:val="auto"/>
        </w:rPr>
      </w:pPr>
      <w:r w:rsidRPr="00655FC7">
        <w:rPr>
          <w:rFonts w:eastAsia="Calibri" w:cstheme="minorHAnsi"/>
          <w:color w:val="auto"/>
        </w:rPr>
        <w:t>Polski - 29,7%.</w:t>
      </w:r>
    </w:p>
    <w:p w14:paraId="1D09EA2B" w14:textId="77777777" w:rsidR="00D155AA" w:rsidRPr="00655FC7" w:rsidRDefault="00D155AA" w:rsidP="00D155AA">
      <w:pPr>
        <w:tabs>
          <w:tab w:val="left" w:pos="3119"/>
        </w:tabs>
        <w:ind w:firstLine="708"/>
        <w:rPr>
          <w:rFonts w:eastAsiaTheme="minorEastAsia" w:cstheme="minorHAnsi"/>
          <w:b/>
          <w:bCs/>
          <w:color w:val="auto"/>
          <w:szCs w:val="20"/>
          <w:lang w:eastAsia="pl-PL"/>
        </w:rPr>
      </w:pPr>
    </w:p>
    <w:p w14:paraId="20693A0E" w14:textId="6FE6601F" w:rsidR="00D155AA" w:rsidRPr="00655FC7" w:rsidRDefault="00D155AA" w:rsidP="00D155AA">
      <w:pPr>
        <w:pStyle w:val="Styltabela"/>
        <w:rPr>
          <w:rFonts w:eastAsia="Calibri"/>
        </w:rPr>
      </w:pPr>
      <w:bookmarkStart w:id="146" w:name="_Toc45877539"/>
      <w:bookmarkStart w:id="147" w:name="_Toc120700038"/>
      <w:bookmarkStart w:id="148" w:name="_Toc178846321"/>
      <w:r w:rsidRPr="00655FC7">
        <w:rPr>
          <w:rFonts w:eastAsiaTheme="minorEastAsia"/>
        </w:rPr>
        <w:t xml:space="preserve">Tabela </w:t>
      </w:r>
      <w:r w:rsidR="00E833A9">
        <w:rPr>
          <w:rFonts w:eastAsiaTheme="minorEastAsia"/>
        </w:rPr>
        <w:fldChar w:fldCharType="begin"/>
      </w:r>
      <w:r w:rsidR="00E833A9">
        <w:rPr>
          <w:rFonts w:eastAsiaTheme="minorEastAsia"/>
        </w:rPr>
        <w:instrText xml:space="preserve"> SEQ Tabela \* ARABIC </w:instrText>
      </w:r>
      <w:r w:rsidR="00E833A9">
        <w:rPr>
          <w:rFonts w:eastAsiaTheme="minorEastAsia"/>
        </w:rPr>
        <w:fldChar w:fldCharType="separate"/>
      </w:r>
      <w:r w:rsidR="00A654D8">
        <w:rPr>
          <w:rFonts w:eastAsiaTheme="minorEastAsia"/>
          <w:noProof/>
        </w:rPr>
        <w:t>15</w:t>
      </w:r>
      <w:r w:rsidR="00E833A9">
        <w:rPr>
          <w:rFonts w:eastAsiaTheme="minorEastAsia"/>
        </w:rPr>
        <w:fldChar w:fldCharType="end"/>
      </w:r>
      <w:r w:rsidRPr="00655FC7">
        <w:rPr>
          <w:rFonts w:eastAsiaTheme="minorEastAsia"/>
        </w:rPr>
        <w:t>.</w:t>
      </w:r>
      <w:r w:rsidRPr="00655FC7">
        <w:rPr>
          <w:rFonts w:eastAsia="Calibri"/>
        </w:rPr>
        <w:t xml:space="preserve"> </w:t>
      </w:r>
      <w:bookmarkEnd w:id="146"/>
      <w:bookmarkEnd w:id="147"/>
      <w:r w:rsidRPr="00655FC7">
        <w:rPr>
          <w:rFonts w:eastAsia="Calibri"/>
        </w:rPr>
        <w:t>Powierzchni lasów na terenie miasta</w:t>
      </w:r>
      <w:bookmarkEnd w:id="148"/>
    </w:p>
    <w:tbl>
      <w:tblPr>
        <w:tblStyle w:val="Tabela-MPAaga72"/>
        <w:tblW w:w="9072" w:type="dxa"/>
        <w:jc w:val="center"/>
        <w:tblBorders>
          <w:top w:val="single" w:sz="8" w:space="0" w:color="757918" w:themeColor="accent3" w:themeShade="BF"/>
          <w:left w:val="single" w:sz="8" w:space="0" w:color="757918" w:themeColor="accent3" w:themeShade="BF"/>
          <w:bottom w:val="single" w:sz="8" w:space="0" w:color="757918" w:themeColor="accent3" w:themeShade="BF"/>
          <w:right w:val="single" w:sz="8" w:space="0" w:color="757918" w:themeColor="accent3" w:themeShade="BF"/>
          <w:insideH w:val="single" w:sz="8" w:space="0" w:color="757918" w:themeColor="accent3" w:themeShade="BF"/>
          <w:insideV w:val="single" w:sz="8" w:space="0" w:color="757918" w:themeColor="accent3" w:themeShade="BF"/>
        </w:tblBorders>
        <w:tblLook w:val="04A0" w:firstRow="1" w:lastRow="0" w:firstColumn="1" w:lastColumn="0" w:noHBand="0" w:noVBand="1"/>
      </w:tblPr>
      <w:tblGrid>
        <w:gridCol w:w="2759"/>
        <w:gridCol w:w="1297"/>
        <w:gridCol w:w="1005"/>
        <w:gridCol w:w="1005"/>
        <w:gridCol w:w="1005"/>
        <w:gridCol w:w="1005"/>
        <w:gridCol w:w="996"/>
      </w:tblGrid>
      <w:tr w:rsidR="00D155AA" w:rsidRPr="00655FC7" w14:paraId="4C7613CF" w14:textId="77777777" w:rsidTr="00827748">
        <w:trPr>
          <w:cnfStyle w:val="100000000000" w:firstRow="1" w:lastRow="0" w:firstColumn="0" w:lastColumn="0" w:oddVBand="0" w:evenVBand="0" w:oddHBand="0" w:evenHBand="0" w:firstRowFirstColumn="0" w:firstRowLastColumn="0" w:lastRowFirstColumn="0" w:lastRowLastColumn="0"/>
          <w:trHeight w:val="397"/>
          <w:tblHeader/>
          <w:jc w:val="center"/>
        </w:trPr>
        <w:tc>
          <w:tcPr>
            <w:cnfStyle w:val="001000000000" w:firstRow="0" w:lastRow="0" w:firstColumn="1" w:lastColumn="0" w:oddVBand="0" w:evenVBand="0" w:oddHBand="0" w:evenHBand="0" w:firstRowFirstColumn="0" w:firstRowLastColumn="0" w:lastRowFirstColumn="0" w:lastRowLastColumn="0"/>
            <w:tcW w:w="1520" w:type="pct"/>
            <w:shd w:val="clear" w:color="auto" w:fill="A3D33A" w:themeFill="text2" w:themeFillTint="99"/>
            <w:vAlign w:val="center"/>
            <w:hideMark/>
          </w:tcPr>
          <w:p w14:paraId="7FE4FB08" w14:textId="77777777" w:rsidR="00D155AA" w:rsidRPr="00655FC7" w:rsidRDefault="00D155AA" w:rsidP="00827748">
            <w:pPr>
              <w:tabs>
                <w:tab w:val="left" w:pos="3119"/>
              </w:tabs>
              <w:ind w:firstLine="0"/>
              <w:jc w:val="center"/>
              <w:rPr>
                <w:rFonts w:asciiTheme="minorHAnsi" w:eastAsia="Calibri" w:hAnsiTheme="minorHAnsi" w:cstheme="minorHAnsi"/>
                <w:b w:val="0"/>
                <w:bCs w:val="0"/>
                <w:color w:val="auto"/>
                <w:sz w:val="18"/>
                <w:szCs w:val="18"/>
              </w:rPr>
            </w:pPr>
            <w:r w:rsidRPr="00655FC7">
              <w:rPr>
                <w:rFonts w:asciiTheme="minorHAnsi" w:eastAsia="Calibri" w:hAnsiTheme="minorHAnsi" w:cstheme="minorHAnsi"/>
                <w:color w:val="auto"/>
                <w:sz w:val="18"/>
                <w:szCs w:val="18"/>
              </w:rPr>
              <w:t>Lasy</w:t>
            </w:r>
          </w:p>
        </w:tc>
        <w:tc>
          <w:tcPr>
            <w:tcW w:w="715" w:type="pct"/>
            <w:shd w:val="clear" w:color="auto" w:fill="A3D33A" w:themeFill="text2" w:themeFillTint="99"/>
            <w:vAlign w:val="center"/>
          </w:tcPr>
          <w:p w14:paraId="0E7F5AD8" w14:textId="77777777" w:rsidR="00D155AA" w:rsidRPr="00655FC7" w:rsidRDefault="00D155AA" w:rsidP="00827748">
            <w:pPr>
              <w:tabs>
                <w:tab w:val="left" w:pos="3119"/>
              </w:tabs>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 w:val="0"/>
                <w:bCs w:val="0"/>
                <w:color w:val="auto"/>
                <w:sz w:val="18"/>
                <w:szCs w:val="18"/>
              </w:rPr>
            </w:pPr>
            <w:r w:rsidRPr="00655FC7">
              <w:rPr>
                <w:rFonts w:asciiTheme="minorHAnsi" w:eastAsia="Calibri" w:hAnsiTheme="minorHAnsi" w:cstheme="minorHAnsi"/>
                <w:color w:val="auto"/>
                <w:sz w:val="18"/>
                <w:szCs w:val="18"/>
              </w:rPr>
              <w:t>jednostka</w:t>
            </w:r>
          </w:p>
        </w:tc>
        <w:tc>
          <w:tcPr>
            <w:tcW w:w="554" w:type="pct"/>
            <w:shd w:val="clear" w:color="auto" w:fill="A3D33A" w:themeFill="text2" w:themeFillTint="99"/>
            <w:vAlign w:val="center"/>
          </w:tcPr>
          <w:p w14:paraId="46CCCA8A" w14:textId="77777777" w:rsidR="00D155AA" w:rsidRPr="00655FC7" w:rsidRDefault="00D155AA" w:rsidP="00827748">
            <w:pPr>
              <w:tabs>
                <w:tab w:val="left" w:pos="3119"/>
              </w:tabs>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color w:val="auto"/>
                <w:sz w:val="18"/>
                <w:szCs w:val="18"/>
              </w:rPr>
            </w:pPr>
            <w:r w:rsidRPr="00655FC7">
              <w:rPr>
                <w:rFonts w:asciiTheme="minorHAnsi" w:eastAsia="Calibri" w:hAnsiTheme="minorHAnsi" w:cstheme="minorHAnsi"/>
                <w:color w:val="auto"/>
                <w:sz w:val="18"/>
                <w:szCs w:val="18"/>
              </w:rPr>
              <w:t>2018</w:t>
            </w:r>
          </w:p>
        </w:tc>
        <w:tc>
          <w:tcPr>
            <w:tcW w:w="554" w:type="pct"/>
            <w:shd w:val="clear" w:color="auto" w:fill="A3D33A" w:themeFill="text2" w:themeFillTint="99"/>
            <w:vAlign w:val="center"/>
          </w:tcPr>
          <w:p w14:paraId="3982E135" w14:textId="77777777" w:rsidR="00D155AA" w:rsidRPr="00655FC7" w:rsidRDefault="00D155AA" w:rsidP="00827748">
            <w:pPr>
              <w:tabs>
                <w:tab w:val="left" w:pos="3119"/>
              </w:tabs>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color w:val="auto"/>
                <w:sz w:val="18"/>
                <w:szCs w:val="18"/>
              </w:rPr>
            </w:pPr>
            <w:r w:rsidRPr="00655FC7">
              <w:rPr>
                <w:rFonts w:asciiTheme="minorHAnsi" w:eastAsia="Calibri" w:hAnsiTheme="minorHAnsi" w:cstheme="minorHAnsi"/>
                <w:color w:val="auto"/>
                <w:sz w:val="18"/>
                <w:szCs w:val="18"/>
              </w:rPr>
              <w:t>2019</w:t>
            </w:r>
          </w:p>
        </w:tc>
        <w:tc>
          <w:tcPr>
            <w:tcW w:w="554" w:type="pct"/>
            <w:shd w:val="clear" w:color="auto" w:fill="A3D33A" w:themeFill="text2" w:themeFillTint="99"/>
            <w:vAlign w:val="center"/>
          </w:tcPr>
          <w:p w14:paraId="6D067642" w14:textId="77777777" w:rsidR="00D155AA" w:rsidRPr="00655FC7" w:rsidRDefault="00D155AA" w:rsidP="00827748">
            <w:pPr>
              <w:tabs>
                <w:tab w:val="left" w:pos="3119"/>
              </w:tabs>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color w:val="auto"/>
                <w:sz w:val="18"/>
                <w:szCs w:val="18"/>
              </w:rPr>
            </w:pPr>
            <w:r w:rsidRPr="00655FC7">
              <w:rPr>
                <w:rFonts w:asciiTheme="minorHAnsi" w:eastAsia="Calibri" w:hAnsiTheme="minorHAnsi" w:cstheme="minorHAnsi"/>
                <w:color w:val="auto"/>
                <w:sz w:val="18"/>
                <w:szCs w:val="18"/>
              </w:rPr>
              <w:t>2020</w:t>
            </w:r>
          </w:p>
        </w:tc>
        <w:tc>
          <w:tcPr>
            <w:tcW w:w="554" w:type="pct"/>
            <w:shd w:val="clear" w:color="auto" w:fill="A3D33A" w:themeFill="text2" w:themeFillTint="99"/>
            <w:vAlign w:val="center"/>
          </w:tcPr>
          <w:p w14:paraId="2BF3B12C" w14:textId="77777777" w:rsidR="00D155AA" w:rsidRPr="00655FC7" w:rsidRDefault="00D155AA" w:rsidP="00827748">
            <w:pPr>
              <w:tabs>
                <w:tab w:val="left" w:pos="3119"/>
              </w:tabs>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color w:val="auto"/>
                <w:sz w:val="18"/>
                <w:szCs w:val="18"/>
              </w:rPr>
            </w:pPr>
            <w:r w:rsidRPr="00655FC7">
              <w:rPr>
                <w:rFonts w:asciiTheme="minorHAnsi" w:eastAsia="Calibri" w:hAnsiTheme="minorHAnsi" w:cstheme="minorHAnsi"/>
                <w:color w:val="auto"/>
                <w:sz w:val="18"/>
                <w:szCs w:val="18"/>
              </w:rPr>
              <w:t>2021</w:t>
            </w:r>
          </w:p>
        </w:tc>
        <w:tc>
          <w:tcPr>
            <w:tcW w:w="549" w:type="pct"/>
            <w:shd w:val="clear" w:color="auto" w:fill="A3D33A" w:themeFill="text2" w:themeFillTint="99"/>
            <w:vAlign w:val="center"/>
          </w:tcPr>
          <w:p w14:paraId="3EE0ADBD" w14:textId="77777777" w:rsidR="00D155AA" w:rsidRPr="00655FC7" w:rsidRDefault="00D155AA" w:rsidP="00827748">
            <w:pPr>
              <w:tabs>
                <w:tab w:val="left" w:pos="3119"/>
              </w:tabs>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b w:val="0"/>
                <w:color w:val="auto"/>
                <w:sz w:val="18"/>
                <w:szCs w:val="18"/>
              </w:rPr>
            </w:pPr>
            <w:r w:rsidRPr="00655FC7">
              <w:rPr>
                <w:rFonts w:asciiTheme="minorHAnsi" w:eastAsia="Calibri" w:hAnsiTheme="minorHAnsi" w:cstheme="minorHAnsi"/>
                <w:color w:val="auto"/>
                <w:sz w:val="18"/>
                <w:szCs w:val="18"/>
              </w:rPr>
              <w:t>2022</w:t>
            </w:r>
          </w:p>
        </w:tc>
      </w:tr>
      <w:tr w:rsidR="00D155AA" w:rsidRPr="00655FC7" w14:paraId="1DFE1734" w14:textId="77777777" w:rsidTr="00827748">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520" w:type="pct"/>
            <w:shd w:val="clear" w:color="auto" w:fill="FFFFFF" w:themeFill="background1"/>
            <w:vAlign w:val="center"/>
          </w:tcPr>
          <w:p w14:paraId="68E2D878" w14:textId="77777777" w:rsidR="00D155AA" w:rsidRPr="00655FC7" w:rsidRDefault="00D155AA" w:rsidP="00827748">
            <w:pPr>
              <w:tabs>
                <w:tab w:val="left" w:pos="3119"/>
              </w:tabs>
              <w:ind w:firstLine="0"/>
              <w:jc w:val="center"/>
              <w:rPr>
                <w:rFonts w:asciiTheme="minorHAnsi" w:eastAsia="Calibri" w:hAnsiTheme="minorHAnsi" w:cstheme="minorHAnsi"/>
                <w:color w:val="auto"/>
                <w:sz w:val="18"/>
                <w:szCs w:val="18"/>
              </w:rPr>
            </w:pPr>
            <w:r w:rsidRPr="00655FC7">
              <w:rPr>
                <w:rFonts w:asciiTheme="minorHAnsi" w:eastAsia="Calibri" w:hAnsiTheme="minorHAnsi" w:cstheme="minorHAnsi"/>
                <w:color w:val="auto"/>
                <w:sz w:val="18"/>
                <w:szCs w:val="18"/>
              </w:rPr>
              <w:t xml:space="preserve">Lesistość </w:t>
            </w:r>
          </w:p>
        </w:tc>
        <w:tc>
          <w:tcPr>
            <w:tcW w:w="715" w:type="pct"/>
            <w:shd w:val="clear" w:color="auto" w:fill="FFFFFF" w:themeFill="background1"/>
            <w:vAlign w:val="center"/>
          </w:tcPr>
          <w:p w14:paraId="61975F7D"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 w:val="18"/>
                <w:szCs w:val="18"/>
              </w:rPr>
            </w:pPr>
            <w:r w:rsidRPr="00655FC7">
              <w:rPr>
                <w:rFonts w:cstheme="minorHAnsi"/>
                <w:color w:val="auto"/>
                <w:sz w:val="18"/>
                <w:szCs w:val="18"/>
              </w:rPr>
              <w:t>%</w:t>
            </w:r>
          </w:p>
        </w:tc>
        <w:tc>
          <w:tcPr>
            <w:tcW w:w="554" w:type="pct"/>
            <w:shd w:val="clear" w:color="auto" w:fill="FFFFFF" w:themeFill="background1"/>
            <w:vAlign w:val="center"/>
          </w:tcPr>
          <w:p w14:paraId="07372DD5"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 w:val="18"/>
                <w:szCs w:val="20"/>
              </w:rPr>
            </w:pPr>
            <w:r w:rsidRPr="00655FC7">
              <w:rPr>
                <w:sz w:val="18"/>
                <w:szCs w:val="20"/>
              </w:rPr>
              <w:t>0,1</w:t>
            </w:r>
          </w:p>
        </w:tc>
        <w:tc>
          <w:tcPr>
            <w:tcW w:w="554" w:type="pct"/>
            <w:shd w:val="clear" w:color="auto" w:fill="FFFFFF" w:themeFill="background1"/>
            <w:vAlign w:val="center"/>
          </w:tcPr>
          <w:p w14:paraId="6AE5FBAC"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 w:val="18"/>
                <w:szCs w:val="20"/>
              </w:rPr>
            </w:pPr>
            <w:r w:rsidRPr="00655FC7">
              <w:rPr>
                <w:sz w:val="18"/>
                <w:szCs w:val="20"/>
              </w:rPr>
              <w:t>0,1</w:t>
            </w:r>
          </w:p>
        </w:tc>
        <w:tc>
          <w:tcPr>
            <w:tcW w:w="554" w:type="pct"/>
            <w:shd w:val="clear" w:color="auto" w:fill="FFFFFF" w:themeFill="background1"/>
            <w:vAlign w:val="center"/>
          </w:tcPr>
          <w:p w14:paraId="13F4F7A3"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 w:val="18"/>
                <w:szCs w:val="20"/>
              </w:rPr>
            </w:pPr>
            <w:r w:rsidRPr="00655FC7">
              <w:rPr>
                <w:sz w:val="18"/>
                <w:szCs w:val="20"/>
              </w:rPr>
              <w:t>0,1</w:t>
            </w:r>
          </w:p>
        </w:tc>
        <w:tc>
          <w:tcPr>
            <w:tcW w:w="554" w:type="pct"/>
            <w:shd w:val="clear" w:color="auto" w:fill="FFFFFF" w:themeFill="background1"/>
            <w:vAlign w:val="center"/>
          </w:tcPr>
          <w:p w14:paraId="37CCEF53"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 w:val="18"/>
                <w:szCs w:val="20"/>
              </w:rPr>
            </w:pPr>
            <w:r w:rsidRPr="00655FC7">
              <w:rPr>
                <w:sz w:val="18"/>
                <w:szCs w:val="20"/>
              </w:rPr>
              <w:t>0,1</w:t>
            </w:r>
          </w:p>
        </w:tc>
        <w:tc>
          <w:tcPr>
            <w:tcW w:w="549" w:type="pct"/>
            <w:shd w:val="clear" w:color="auto" w:fill="FFFFFF" w:themeFill="background1"/>
            <w:vAlign w:val="center"/>
          </w:tcPr>
          <w:p w14:paraId="4C060517"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 w:val="18"/>
                <w:szCs w:val="20"/>
              </w:rPr>
            </w:pPr>
            <w:r w:rsidRPr="00655FC7">
              <w:rPr>
                <w:sz w:val="18"/>
                <w:szCs w:val="20"/>
              </w:rPr>
              <w:t>0,1</w:t>
            </w:r>
          </w:p>
        </w:tc>
      </w:tr>
      <w:tr w:rsidR="00D155AA" w:rsidRPr="00655FC7" w14:paraId="4AD7810B" w14:textId="77777777" w:rsidTr="00827748">
        <w:trPr>
          <w:trHeight w:val="340"/>
          <w:jc w:val="center"/>
        </w:trPr>
        <w:tc>
          <w:tcPr>
            <w:cnfStyle w:val="001000000000" w:firstRow="0" w:lastRow="0" w:firstColumn="1" w:lastColumn="0" w:oddVBand="0" w:evenVBand="0" w:oddHBand="0" w:evenHBand="0" w:firstRowFirstColumn="0" w:firstRowLastColumn="0" w:lastRowFirstColumn="0" w:lastRowLastColumn="0"/>
            <w:tcW w:w="1520" w:type="pct"/>
            <w:shd w:val="clear" w:color="auto" w:fill="FFFFFF" w:themeFill="background1"/>
            <w:vAlign w:val="center"/>
          </w:tcPr>
          <w:p w14:paraId="37CCE32F" w14:textId="77777777" w:rsidR="00D155AA" w:rsidRPr="00655FC7" w:rsidRDefault="00D155AA" w:rsidP="00827748">
            <w:pPr>
              <w:tabs>
                <w:tab w:val="left" w:pos="3119"/>
              </w:tabs>
              <w:ind w:firstLine="0"/>
              <w:jc w:val="center"/>
              <w:rPr>
                <w:rFonts w:asciiTheme="minorHAnsi" w:eastAsia="Calibri" w:hAnsiTheme="minorHAnsi" w:cstheme="minorHAnsi"/>
                <w:color w:val="auto"/>
                <w:sz w:val="18"/>
                <w:szCs w:val="18"/>
              </w:rPr>
            </w:pPr>
            <w:r w:rsidRPr="00655FC7">
              <w:rPr>
                <w:rFonts w:asciiTheme="minorHAnsi" w:eastAsia="Calibri" w:hAnsiTheme="minorHAnsi" w:cstheme="minorHAnsi"/>
                <w:color w:val="auto"/>
                <w:sz w:val="18"/>
                <w:szCs w:val="18"/>
              </w:rPr>
              <w:t xml:space="preserve">Lasy ogółem </w:t>
            </w:r>
          </w:p>
        </w:tc>
        <w:tc>
          <w:tcPr>
            <w:tcW w:w="715" w:type="pct"/>
            <w:shd w:val="clear" w:color="auto" w:fill="FFFFFF" w:themeFill="background1"/>
            <w:vAlign w:val="center"/>
          </w:tcPr>
          <w:p w14:paraId="4A344BE1"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 w:val="18"/>
                <w:szCs w:val="18"/>
              </w:rPr>
            </w:pPr>
            <w:r w:rsidRPr="00655FC7">
              <w:rPr>
                <w:rFonts w:cstheme="minorHAnsi"/>
                <w:color w:val="auto"/>
                <w:sz w:val="18"/>
                <w:szCs w:val="18"/>
              </w:rPr>
              <w:t>ha</w:t>
            </w:r>
          </w:p>
        </w:tc>
        <w:tc>
          <w:tcPr>
            <w:tcW w:w="554" w:type="pct"/>
            <w:shd w:val="clear" w:color="auto" w:fill="FFFFFF" w:themeFill="background1"/>
            <w:vAlign w:val="center"/>
          </w:tcPr>
          <w:p w14:paraId="534FCD5B"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 w:val="18"/>
                <w:szCs w:val="20"/>
              </w:rPr>
            </w:pPr>
            <w:r w:rsidRPr="00655FC7">
              <w:rPr>
                <w:sz w:val="18"/>
                <w:szCs w:val="20"/>
              </w:rPr>
              <w:t>1</w:t>
            </w:r>
          </w:p>
        </w:tc>
        <w:tc>
          <w:tcPr>
            <w:tcW w:w="554" w:type="pct"/>
            <w:shd w:val="clear" w:color="auto" w:fill="FFFFFF" w:themeFill="background1"/>
            <w:vAlign w:val="center"/>
          </w:tcPr>
          <w:p w14:paraId="3785F500"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 w:val="18"/>
                <w:szCs w:val="20"/>
              </w:rPr>
            </w:pPr>
            <w:r w:rsidRPr="00655FC7">
              <w:rPr>
                <w:sz w:val="18"/>
                <w:szCs w:val="20"/>
              </w:rPr>
              <w:t>1</w:t>
            </w:r>
          </w:p>
        </w:tc>
        <w:tc>
          <w:tcPr>
            <w:tcW w:w="554" w:type="pct"/>
            <w:shd w:val="clear" w:color="auto" w:fill="FFFFFF" w:themeFill="background1"/>
            <w:vAlign w:val="center"/>
          </w:tcPr>
          <w:p w14:paraId="2914CBC8"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 w:val="18"/>
                <w:szCs w:val="20"/>
              </w:rPr>
            </w:pPr>
            <w:r w:rsidRPr="00655FC7">
              <w:rPr>
                <w:sz w:val="18"/>
                <w:szCs w:val="20"/>
              </w:rPr>
              <w:t>1</w:t>
            </w:r>
          </w:p>
        </w:tc>
        <w:tc>
          <w:tcPr>
            <w:tcW w:w="554" w:type="pct"/>
            <w:shd w:val="clear" w:color="auto" w:fill="FFFFFF" w:themeFill="background1"/>
            <w:vAlign w:val="center"/>
          </w:tcPr>
          <w:p w14:paraId="1DDA75C6"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 w:val="18"/>
                <w:szCs w:val="20"/>
              </w:rPr>
            </w:pPr>
            <w:r w:rsidRPr="00655FC7">
              <w:rPr>
                <w:sz w:val="18"/>
                <w:szCs w:val="20"/>
              </w:rPr>
              <w:t>1</w:t>
            </w:r>
          </w:p>
        </w:tc>
        <w:tc>
          <w:tcPr>
            <w:tcW w:w="549" w:type="pct"/>
            <w:shd w:val="clear" w:color="auto" w:fill="FFFFFF" w:themeFill="background1"/>
            <w:vAlign w:val="center"/>
          </w:tcPr>
          <w:p w14:paraId="60E4F6A8"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 w:val="18"/>
                <w:szCs w:val="20"/>
              </w:rPr>
            </w:pPr>
            <w:r w:rsidRPr="00655FC7">
              <w:rPr>
                <w:sz w:val="18"/>
                <w:szCs w:val="20"/>
              </w:rPr>
              <w:t>1</w:t>
            </w:r>
          </w:p>
        </w:tc>
      </w:tr>
    </w:tbl>
    <w:p w14:paraId="487E600F" w14:textId="77777777" w:rsidR="00D155AA" w:rsidRPr="00655FC7" w:rsidRDefault="00D155AA" w:rsidP="00D155AA">
      <w:pPr>
        <w:pStyle w:val="Cytat"/>
      </w:pPr>
      <w:r w:rsidRPr="00655FC7">
        <w:t>źródło: GUS BDL</w:t>
      </w:r>
    </w:p>
    <w:p w14:paraId="3337E9DB" w14:textId="77777777" w:rsidR="00D155AA" w:rsidRPr="00655FC7" w:rsidRDefault="00D155AA" w:rsidP="00D155AA">
      <w:pPr>
        <w:tabs>
          <w:tab w:val="left" w:pos="3119"/>
        </w:tabs>
        <w:rPr>
          <w:rFonts w:eastAsia="Calibri" w:cstheme="minorHAnsi"/>
          <w:color w:val="auto"/>
        </w:rPr>
      </w:pPr>
    </w:p>
    <w:p w14:paraId="03133833" w14:textId="77777777" w:rsidR="00D155AA" w:rsidRPr="00655FC7" w:rsidRDefault="00D155AA" w:rsidP="00D155AA">
      <w:r w:rsidRPr="00655FC7">
        <w:t>Chociaż lesistość omawianego obszaru jest bardzo niska, a dodatkowo las ten jest w posiadaniu prywatnym, lesistość obszaru gminnego jest już o wiele wyższa. Miasto nie funkcjonuje w próżni, a zatem mieszkańcy miasta w pełni mogą korzystać z zasobów leśnych zlokalizowanych na południe od niego, a także gminna infrastruktura leśna częściowo wpływa pozytywnie na miasto.</w:t>
      </w:r>
    </w:p>
    <w:p w14:paraId="135FB480" w14:textId="77777777" w:rsidR="00D155AA" w:rsidRPr="00655FC7" w:rsidRDefault="00D155AA" w:rsidP="00D155AA">
      <w:pPr>
        <w:rPr>
          <w:rFonts w:cstheme="minorHAnsi"/>
        </w:rPr>
      </w:pPr>
      <w:bookmarkStart w:id="149" w:name="_Toc21085162"/>
    </w:p>
    <w:p w14:paraId="599C6047" w14:textId="77777777" w:rsidR="00D155AA" w:rsidRPr="00655FC7" w:rsidRDefault="00D155AA" w:rsidP="00D155AA">
      <w:pPr>
        <w:pStyle w:val="Nagwek3"/>
      </w:pPr>
      <w:bookmarkStart w:id="150" w:name="_Toc177732057"/>
      <w:r w:rsidRPr="00655FC7">
        <w:t>Zieleń publiczna</w:t>
      </w:r>
      <w:bookmarkEnd w:id="150"/>
    </w:p>
    <w:p w14:paraId="5F26631A" w14:textId="77777777" w:rsidR="00D155AA" w:rsidRPr="00655FC7" w:rsidRDefault="00D155AA" w:rsidP="00D155AA">
      <w:pPr>
        <w:tabs>
          <w:tab w:val="left" w:pos="3119"/>
        </w:tabs>
        <w:rPr>
          <w:rFonts w:cstheme="minorHAnsi"/>
          <w:color w:val="auto"/>
        </w:rPr>
      </w:pPr>
      <w:r w:rsidRPr="00655FC7">
        <w:rPr>
          <w:rFonts w:cstheme="minorHAnsi"/>
          <w:color w:val="auto"/>
        </w:rPr>
        <w:t>Udział terenów zieleni w powierzchni ogólnej Miasta Tarnogród wynosi 0,58%. W poniższej tabeli przedstawiono powierzchnie oraz udział poszczególnych grup powierzchni zielonych.</w:t>
      </w:r>
    </w:p>
    <w:p w14:paraId="5EB4B815" w14:textId="77777777" w:rsidR="00D155AA" w:rsidRPr="00655FC7" w:rsidRDefault="00D155AA" w:rsidP="00D155AA">
      <w:pPr>
        <w:tabs>
          <w:tab w:val="left" w:pos="3119"/>
        </w:tabs>
        <w:rPr>
          <w:rFonts w:cstheme="minorHAnsi"/>
          <w:color w:val="auto"/>
        </w:rPr>
      </w:pPr>
    </w:p>
    <w:p w14:paraId="6836885F" w14:textId="77777777" w:rsidR="009F71E2" w:rsidRPr="00655FC7" w:rsidRDefault="009F71E2" w:rsidP="00D155AA">
      <w:pPr>
        <w:tabs>
          <w:tab w:val="left" w:pos="3119"/>
        </w:tabs>
        <w:rPr>
          <w:rFonts w:cstheme="minorHAnsi"/>
          <w:color w:val="auto"/>
        </w:rPr>
      </w:pPr>
    </w:p>
    <w:p w14:paraId="5606DD16" w14:textId="51618A47" w:rsidR="00D155AA" w:rsidRPr="00655FC7" w:rsidRDefault="00D155AA" w:rsidP="00D155AA">
      <w:pPr>
        <w:pStyle w:val="Styltabela"/>
        <w:rPr>
          <w:rFonts w:eastAsia="Calibri"/>
        </w:rPr>
      </w:pPr>
      <w:bookmarkStart w:id="151" w:name="_Ref42694586"/>
      <w:bookmarkStart w:id="152" w:name="_Toc178846322"/>
      <w:r w:rsidRPr="00655FC7">
        <w:rPr>
          <w:rFonts w:eastAsiaTheme="minorEastAsia"/>
        </w:rPr>
        <w:lastRenderedPageBreak/>
        <w:t xml:space="preserve">Tabela </w:t>
      </w:r>
      <w:r w:rsidR="00E833A9">
        <w:rPr>
          <w:rFonts w:eastAsiaTheme="minorEastAsia"/>
        </w:rPr>
        <w:fldChar w:fldCharType="begin"/>
      </w:r>
      <w:r w:rsidR="00E833A9">
        <w:rPr>
          <w:rFonts w:eastAsiaTheme="minorEastAsia"/>
        </w:rPr>
        <w:instrText xml:space="preserve"> SEQ Tabela \* ARABIC </w:instrText>
      </w:r>
      <w:r w:rsidR="00E833A9">
        <w:rPr>
          <w:rFonts w:eastAsiaTheme="minorEastAsia"/>
        </w:rPr>
        <w:fldChar w:fldCharType="separate"/>
      </w:r>
      <w:r w:rsidR="00A654D8">
        <w:rPr>
          <w:rFonts w:eastAsiaTheme="minorEastAsia"/>
          <w:noProof/>
        </w:rPr>
        <w:t>16</w:t>
      </w:r>
      <w:r w:rsidR="00E833A9">
        <w:rPr>
          <w:rFonts w:eastAsiaTheme="minorEastAsia"/>
        </w:rPr>
        <w:fldChar w:fldCharType="end"/>
      </w:r>
      <w:r w:rsidRPr="00655FC7">
        <w:rPr>
          <w:rFonts w:eastAsiaTheme="minorEastAsia"/>
        </w:rPr>
        <w:t>.</w:t>
      </w:r>
      <w:r w:rsidRPr="00655FC7">
        <w:rPr>
          <w:rFonts w:eastAsia="Calibri"/>
        </w:rPr>
        <w:t xml:space="preserve"> Dane powierzchni i udziałów procentowych powierzchni zielonych</w:t>
      </w:r>
      <w:bookmarkEnd w:id="151"/>
      <w:r w:rsidRPr="00655FC7">
        <w:rPr>
          <w:rFonts w:eastAsia="Calibri"/>
        </w:rPr>
        <w:t>.</w:t>
      </w:r>
      <w:bookmarkEnd w:id="152"/>
    </w:p>
    <w:tbl>
      <w:tblPr>
        <w:tblStyle w:val="Tabelasiatki5ciemnaakcent6"/>
        <w:tblW w:w="9072" w:type="dxa"/>
        <w:jc w:val="center"/>
        <w:tblLayout w:type="fixed"/>
        <w:tblLook w:val="04A0" w:firstRow="1" w:lastRow="0" w:firstColumn="1" w:lastColumn="0" w:noHBand="0" w:noVBand="1"/>
      </w:tblPr>
      <w:tblGrid>
        <w:gridCol w:w="4145"/>
        <w:gridCol w:w="822"/>
        <w:gridCol w:w="821"/>
        <w:gridCol w:w="821"/>
        <w:gridCol w:w="821"/>
        <w:gridCol w:w="821"/>
        <w:gridCol w:w="821"/>
      </w:tblGrid>
      <w:tr w:rsidR="00D155AA" w:rsidRPr="00655FC7" w14:paraId="505B439F" w14:textId="77777777" w:rsidTr="00827748">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145" w:type="dxa"/>
            <w:noWrap/>
            <w:vAlign w:val="center"/>
            <w:hideMark/>
          </w:tcPr>
          <w:p w14:paraId="605C7E91" w14:textId="77777777" w:rsidR="00D155AA" w:rsidRPr="00655FC7" w:rsidRDefault="00D155AA" w:rsidP="00827748">
            <w:pPr>
              <w:ind w:firstLine="0"/>
              <w:jc w:val="center"/>
              <w:rPr>
                <w:rFonts w:eastAsia="Times New Roman" w:cstheme="minorHAnsi"/>
                <w:b w:val="0"/>
                <w:bCs w:val="0"/>
                <w:color w:val="000000"/>
                <w:sz w:val="18"/>
                <w:szCs w:val="18"/>
                <w:lang w:eastAsia="pl-PL"/>
              </w:rPr>
            </w:pPr>
            <w:r w:rsidRPr="00655FC7">
              <w:rPr>
                <w:rFonts w:eastAsia="Times New Roman" w:cstheme="minorHAnsi"/>
                <w:color w:val="000000"/>
                <w:sz w:val="18"/>
                <w:szCs w:val="18"/>
                <w:lang w:eastAsia="pl-PL"/>
              </w:rPr>
              <w:t>Kategoria</w:t>
            </w:r>
          </w:p>
        </w:tc>
        <w:tc>
          <w:tcPr>
            <w:tcW w:w="822" w:type="dxa"/>
            <w:noWrap/>
            <w:vAlign w:val="center"/>
            <w:hideMark/>
          </w:tcPr>
          <w:p w14:paraId="577057E4"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sz w:val="18"/>
                <w:szCs w:val="18"/>
                <w:lang w:eastAsia="pl-PL"/>
              </w:rPr>
            </w:pPr>
            <w:r w:rsidRPr="00655FC7">
              <w:rPr>
                <w:rFonts w:eastAsia="Times New Roman" w:cstheme="minorHAnsi"/>
                <w:color w:val="000000"/>
                <w:sz w:val="18"/>
                <w:szCs w:val="18"/>
                <w:lang w:eastAsia="pl-PL"/>
              </w:rPr>
              <w:t>Jedn.</w:t>
            </w:r>
          </w:p>
        </w:tc>
        <w:tc>
          <w:tcPr>
            <w:tcW w:w="821" w:type="dxa"/>
            <w:noWrap/>
            <w:vAlign w:val="center"/>
            <w:hideMark/>
          </w:tcPr>
          <w:p w14:paraId="0BE8B028"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sz w:val="18"/>
                <w:szCs w:val="18"/>
                <w:lang w:eastAsia="pl-PL"/>
              </w:rPr>
            </w:pPr>
            <w:r w:rsidRPr="00655FC7">
              <w:rPr>
                <w:rFonts w:eastAsia="Times New Roman" w:cstheme="minorHAnsi"/>
                <w:color w:val="000000"/>
                <w:sz w:val="18"/>
                <w:szCs w:val="18"/>
                <w:lang w:eastAsia="pl-PL"/>
              </w:rPr>
              <w:t>2018</w:t>
            </w:r>
          </w:p>
        </w:tc>
        <w:tc>
          <w:tcPr>
            <w:tcW w:w="821" w:type="dxa"/>
            <w:noWrap/>
            <w:vAlign w:val="center"/>
            <w:hideMark/>
          </w:tcPr>
          <w:p w14:paraId="78BA9857"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sz w:val="18"/>
                <w:szCs w:val="18"/>
                <w:lang w:eastAsia="pl-PL"/>
              </w:rPr>
            </w:pPr>
            <w:r w:rsidRPr="00655FC7">
              <w:rPr>
                <w:rFonts w:eastAsia="Times New Roman" w:cstheme="minorHAnsi"/>
                <w:color w:val="000000"/>
                <w:sz w:val="18"/>
                <w:szCs w:val="18"/>
                <w:lang w:eastAsia="pl-PL"/>
              </w:rPr>
              <w:t>2019</w:t>
            </w:r>
          </w:p>
        </w:tc>
        <w:tc>
          <w:tcPr>
            <w:tcW w:w="821" w:type="dxa"/>
            <w:noWrap/>
            <w:vAlign w:val="center"/>
            <w:hideMark/>
          </w:tcPr>
          <w:p w14:paraId="29732915"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sz w:val="18"/>
                <w:szCs w:val="18"/>
                <w:lang w:eastAsia="pl-PL"/>
              </w:rPr>
            </w:pPr>
            <w:r w:rsidRPr="00655FC7">
              <w:rPr>
                <w:rFonts w:eastAsia="Times New Roman" w:cstheme="minorHAnsi"/>
                <w:color w:val="000000"/>
                <w:sz w:val="18"/>
                <w:szCs w:val="18"/>
                <w:lang w:eastAsia="pl-PL"/>
              </w:rPr>
              <w:t>2020</w:t>
            </w:r>
          </w:p>
        </w:tc>
        <w:tc>
          <w:tcPr>
            <w:tcW w:w="821" w:type="dxa"/>
            <w:noWrap/>
            <w:vAlign w:val="center"/>
            <w:hideMark/>
          </w:tcPr>
          <w:p w14:paraId="41FBDEA0"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sz w:val="18"/>
                <w:szCs w:val="18"/>
                <w:lang w:eastAsia="pl-PL"/>
              </w:rPr>
            </w:pPr>
            <w:r w:rsidRPr="00655FC7">
              <w:rPr>
                <w:rFonts w:eastAsia="Times New Roman" w:cstheme="minorHAnsi"/>
                <w:color w:val="000000"/>
                <w:sz w:val="18"/>
                <w:szCs w:val="18"/>
                <w:lang w:eastAsia="pl-PL"/>
              </w:rPr>
              <w:t>2021</w:t>
            </w:r>
          </w:p>
        </w:tc>
        <w:tc>
          <w:tcPr>
            <w:tcW w:w="821" w:type="dxa"/>
            <w:vAlign w:val="center"/>
            <w:hideMark/>
          </w:tcPr>
          <w:p w14:paraId="76986B5A" w14:textId="77777777" w:rsidR="00D155AA" w:rsidRPr="00655FC7" w:rsidRDefault="00D155AA" w:rsidP="00827748">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sz w:val="18"/>
                <w:szCs w:val="18"/>
                <w:lang w:eastAsia="pl-PL"/>
              </w:rPr>
            </w:pPr>
            <w:r w:rsidRPr="00655FC7">
              <w:rPr>
                <w:rFonts w:eastAsia="Times New Roman" w:cstheme="minorHAnsi"/>
                <w:color w:val="000000"/>
                <w:sz w:val="18"/>
                <w:szCs w:val="18"/>
                <w:lang w:eastAsia="pl-PL"/>
              </w:rPr>
              <w:t>2022</w:t>
            </w:r>
          </w:p>
        </w:tc>
      </w:tr>
      <w:tr w:rsidR="00D155AA" w:rsidRPr="00655FC7" w14:paraId="4F7C7680" w14:textId="77777777" w:rsidTr="0082774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145" w:type="dxa"/>
            <w:noWrap/>
            <w:vAlign w:val="center"/>
            <w:hideMark/>
          </w:tcPr>
          <w:p w14:paraId="583E0234" w14:textId="77777777" w:rsidR="00D155AA" w:rsidRPr="00655FC7" w:rsidRDefault="00D155AA" w:rsidP="00827748">
            <w:pPr>
              <w:ind w:firstLine="0"/>
              <w:jc w:val="center"/>
              <w:rPr>
                <w:rFonts w:eastAsia="Times New Roman" w:cstheme="minorHAnsi"/>
                <w:b w:val="0"/>
                <w:bCs w:val="0"/>
                <w:color w:val="000000"/>
                <w:sz w:val="18"/>
                <w:szCs w:val="18"/>
                <w:lang w:eastAsia="pl-PL"/>
              </w:rPr>
            </w:pPr>
            <w:r w:rsidRPr="00655FC7">
              <w:rPr>
                <w:rFonts w:eastAsia="Times New Roman" w:cstheme="minorHAnsi"/>
                <w:color w:val="000000"/>
                <w:sz w:val="18"/>
                <w:szCs w:val="18"/>
                <w:lang w:eastAsia="pl-PL"/>
              </w:rPr>
              <w:t>Parki spacerowo - wypoczynkowe</w:t>
            </w:r>
          </w:p>
        </w:tc>
        <w:tc>
          <w:tcPr>
            <w:tcW w:w="822" w:type="dxa"/>
            <w:noWrap/>
            <w:vAlign w:val="center"/>
            <w:hideMark/>
          </w:tcPr>
          <w:p w14:paraId="5DE75DC1"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655FC7">
              <w:rPr>
                <w:rFonts w:eastAsia="Times New Roman" w:cstheme="minorHAnsi"/>
                <w:color w:val="000000"/>
                <w:sz w:val="18"/>
                <w:szCs w:val="18"/>
                <w:lang w:eastAsia="pl-PL"/>
              </w:rPr>
              <w:t>ha</w:t>
            </w:r>
          </w:p>
        </w:tc>
        <w:tc>
          <w:tcPr>
            <w:tcW w:w="821" w:type="dxa"/>
            <w:noWrap/>
            <w:vAlign w:val="center"/>
          </w:tcPr>
          <w:p w14:paraId="10049F4A"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0</w:t>
            </w:r>
          </w:p>
        </w:tc>
        <w:tc>
          <w:tcPr>
            <w:tcW w:w="821" w:type="dxa"/>
            <w:noWrap/>
            <w:vAlign w:val="center"/>
          </w:tcPr>
          <w:p w14:paraId="1C5F9C1F"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0</w:t>
            </w:r>
          </w:p>
        </w:tc>
        <w:tc>
          <w:tcPr>
            <w:tcW w:w="821" w:type="dxa"/>
            <w:noWrap/>
            <w:vAlign w:val="center"/>
          </w:tcPr>
          <w:p w14:paraId="1AF51A9E"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0</w:t>
            </w:r>
          </w:p>
        </w:tc>
        <w:tc>
          <w:tcPr>
            <w:tcW w:w="821" w:type="dxa"/>
            <w:noWrap/>
            <w:vAlign w:val="center"/>
          </w:tcPr>
          <w:p w14:paraId="480AF292"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0</w:t>
            </w:r>
          </w:p>
        </w:tc>
        <w:tc>
          <w:tcPr>
            <w:tcW w:w="821" w:type="dxa"/>
            <w:vAlign w:val="center"/>
          </w:tcPr>
          <w:p w14:paraId="67089657"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0</w:t>
            </w:r>
          </w:p>
        </w:tc>
      </w:tr>
      <w:tr w:rsidR="00D155AA" w:rsidRPr="00655FC7" w14:paraId="49296A03" w14:textId="77777777" w:rsidTr="00827748">
        <w:trPr>
          <w:trHeight w:val="315"/>
          <w:jc w:val="center"/>
        </w:trPr>
        <w:tc>
          <w:tcPr>
            <w:cnfStyle w:val="001000000000" w:firstRow="0" w:lastRow="0" w:firstColumn="1" w:lastColumn="0" w:oddVBand="0" w:evenVBand="0" w:oddHBand="0" w:evenHBand="0" w:firstRowFirstColumn="0" w:firstRowLastColumn="0" w:lastRowFirstColumn="0" w:lastRowLastColumn="0"/>
            <w:tcW w:w="4145" w:type="dxa"/>
            <w:noWrap/>
            <w:vAlign w:val="center"/>
            <w:hideMark/>
          </w:tcPr>
          <w:p w14:paraId="74DADFBE" w14:textId="77777777" w:rsidR="00D155AA" w:rsidRPr="00655FC7" w:rsidRDefault="00D155AA" w:rsidP="00827748">
            <w:pPr>
              <w:ind w:firstLine="0"/>
              <w:jc w:val="center"/>
              <w:rPr>
                <w:rFonts w:eastAsia="Times New Roman" w:cstheme="minorHAnsi"/>
                <w:b w:val="0"/>
                <w:bCs w:val="0"/>
                <w:color w:val="auto"/>
                <w:sz w:val="18"/>
                <w:szCs w:val="18"/>
                <w:lang w:eastAsia="pl-PL"/>
              </w:rPr>
            </w:pPr>
            <w:r w:rsidRPr="00655FC7">
              <w:rPr>
                <w:rFonts w:eastAsia="Times New Roman" w:cstheme="minorHAnsi"/>
                <w:color w:val="auto"/>
                <w:sz w:val="18"/>
                <w:szCs w:val="18"/>
                <w:lang w:eastAsia="pl-PL"/>
              </w:rPr>
              <w:t>Zieleńce</w:t>
            </w:r>
          </w:p>
        </w:tc>
        <w:tc>
          <w:tcPr>
            <w:tcW w:w="822" w:type="dxa"/>
            <w:noWrap/>
            <w:vAlign w:val="center"/>
            <w:hideMark/>
          </w:tcPr>
          <w:p w14:paraId="0BC674A9"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18"/>
                <w:szCs w:val="18"/>
                <w:lang w:eastAsia="pl-PL"/>
              </w:rPr>
            </w:pPr>
            <w:r w:rsidRPr="00655FC7">
              <w:rPr>
                <w:rFonts w:eastAsia="Times New Roman" w:cstheme="minorHAnsi"/>
                <w:color w:val="auto"/>
                <w:sz w:val="18"/>
                <w:szCs w:val="18"/>
                <w:lang w:eastAsia="pl-PL"/>
              </w:rPr>
              <w:t>szt.</w:t>
            </w:r>
          </w:p>
        </w:tc>
        <w:tc>
          <w:tcPr>
            <w:tcW w:w="821" w:type="dxa"/>
            <w:noWrap/>
            <w:vAlign w:val="center"/>
          </w:tcPr>
          <w:p w14:paraId="57763BF4"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1</w:t>
            </w:r>
          </w:p>
        </w:tc>
        <w:tc>
          <w:tcPr>
            <w:tcW w:w="821" w:type="dxa"/>
            <w:noWrap/>
            <w:vAlign w:val="center"/>
          </w:tcPr>
          <w:p w14:paraId="6DE6E132"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1</w:t>
            </w:r>
          </w:p>
        </w:tc>
        <w:tc>
          <w:tcPr>
            <w:tcW w:w="821" w:type="dxa"/>
            <w:noWrap/>
            <w:vAlign w:val="center"/>
          </w:tcPr>
          <w:p w14:paraId="4D5A2809"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1</w:t>
            </w:r>
          </w:p>
        </w:tc>
        <w:tc>
          <w:tcPr>
            <w:tcW w:w="821" w:type="dxa"/>
            <w:noWrap/>
            <w:vAlign w:val="center"/>
          </w:tcPr>
          <w:p w14:paraId="16BEB844"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1</w:t>
            </w:r>
          </w:p>
        </w:tc>
        <w:tc>
          <w:tcPr>
            <w:tcW w:w="821" w:type="dxa"/>
            <w:vAlign w:val="center"/>
          </w:tcPr>
          <w:p w14:paraId="2DAFB7C2"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1</w:t>
            </w:r>
          </w:p>
        </w:tc>
      </w:tr>
      <w:tr w:rsidR="00D155AA" w:rsidRPr="00655FC7" w14:paraId="077D4709" w14:textId="77777777" w:rsidTr="0082774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145" w:type="dxa"/>
            <w:noWrap/>
            <w:vAlign w:val="center"/>
            <w:hideMark/>
          </w:tcPr>
          <w:p w14:paraId="54D4DB71" w14:textId="77777777" w:rsidR="00D155AA" w:rsidRPr="00655FC7" w:rsidRDefault="00D155AA" w:rsidP="00827748">
            <w:pPr>
              <w:ind w:firstLine="0"/>
              <w:jc w:val="center"/>
              <w:rPr>
                <w:rFonts w:eastAsia="Times New Roman" w:cstheme="minorHAnsi"/>
                <w:b w:val="0"/>
                <w:bCs w:val="0"/>
                <w:color w:val="000000"/>
                <w:sz w:val="18"/>
                <w:szCs w:val="18"/>
                <w:lang w:eastAsia="pl-PL"/>
              </w:rPr>
            </w:pPr>
            <w:r w:rsidRPr="00655FC7">
              <w:rPr>
                <w:rFonts w:eastAsia="Times New Roman" w:cstheme="minorHAnsi"/>
                <w:color w:val="000000"/>
                <w:sz w:val="18"/>
                <w:szCs w:val="18"/>
                <w:lang w:eastAsia="pl-PL"/>
              </w:rPr>
              <w:t>Zieleńce</w:t>
            </w:r>
          </w:p>
        </w:tc>
        <w:tc>
          <w:tcPr>
            <w:tcW w:w="822" w:type="dxa"/>
            <w:noWrap/>
            <w:vAlign w:val="center"/>
            <w:hideMark/>
          </w:tcPr>
          <w:p w14:paraId="04F35C8A"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655FC7">
              <w:rPr>
                <w:rFonts w:eastAsia="Times New Roman" w:cstheme="minorHAnsi"/>
                <w:color w:val="000000"/>
                <w:sz w:val="18"/>
                <w:szCs w:val="18"/>
                <w:lang w:eastAsia="pl-PL"/>
              </w:rPr>
              <w:t>ha</w:t>
            </w:r>
          </w:p>
        </w:tc>
        <w:tc>
          <w:tcPr>
            <w:tcW w:w="821" w:type="dxa"/>
            <w:noWrap/>
            <w:vAlign w:val="center"/>
          </w:tcPr>
          <w:p w14:paraId="0731CF7C"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0,9</w:t>
            </w:r>
          </w:p>
        </w:tc>
        <w:tc>
          <w:tcPr>
            <w:tcW w:w="821" w:type="dxa"/>
            <w:noWrap/>
            <w:vAlign w:val="center"/>
          </w:tcPr>
          <w:p w14:paraId="1CF1881D"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0,9</w:t>
            </w:r>
          </w:p>
        </w:tc>
        <w:tc>
          <w:tcPr>
            <w:tcW w:w="821" w:type="dxa"/>
            <w:noWrap/>
            <w:vAlign w:val="center"/>
          </w:tcPr>
          <w:p w14:paraId="78FF7F9F"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0,9</w:t>
            </w:r>
          </w:p>
        </w:tc>
        <w:tc>
          <w:tcPr>
            <w:tcW w:w="821" w:type="dxa"/>
            <w:noWrap/>
            <w:vAlign w:val="center"/>
          </w:tcPr>
          <w:p w14:paraId="7CCFF4B6"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0,9</w:t>
            </w:r>
          </w:p>
        </w:tc>
        <w:tc>
          <w:tcPr>
            <w:tcW w:w="821" w:type="dxa"/>
            <w:vAlign w:val="center"/>
          </w:tcPr>
          <w:p w14:paraId="50EBF75B"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0,9</w:t>
            </w:r>
          </w:p>
        </w:tc>
      </w:tr>
      <w:tr w:rsidR="00D155AA" w:rsidRPr="00655FC7" w14:paraId="159E9225" w14:textId="77777777" w:rsidTr="00827748">
        <w:trPr>
          <w:trHeight w:val="315"/>
          <w:jc w:val="center"/>
        </w:trPr>
        <w:tc>
          <w:tcPr>
            <w:cnfStyle w:val="001000000000" w:firstRow="0" w:lastRow="0" w:firstColumn="1" w:lastColumn="0" w:oddVBand="0" w:evenVBand="0" w:oddHBand="0" w:evenHBand="0" w:firstRowFirstColumn="0" w:firstRowLastColumn="0" w:lastRowFirstColumn="0" w:lastRowLastColumn="0"/>
            <w:tcW w:w="4145" w:type="dxa"/>
            <w:noWrap/>
            <w:vAlign w:val="center"/>
            <w:hideMark/>
          </w:tcPr>
          <w:p w14:paraId="6C1AEA1A" w14:textId="77777777" w:rsidR="00D155AA" w:rsidRPr="00655FC7" w:rsidRDefault="00D155AA" w:rsidP="00827748">
            <w:pPr>
              <w:ind w:firstLine="0"/>
              <w:jc w:val="center"/>
              <w:rPr>
                <w:rFonts w:eastAsia="Times New Roman" w:cstheme="minorHAnsi"/>
                <w:b w:val="0"/>
                <w:bCs w:val="0"/>
                <w:color w:val="auto"/>
                <w:sz w:val="18"/>
                <w:szCs w:val="18"/>
                <w:lang w:eastAsia="pl-PL"/>
              </w:rPr>
            </w:pPr>
            <w:r w:rsidRPr="00655FC7">
              <w:rPr>
                <w:rFonts w:eastAsia="Times New Roman" w:cstheme="minorHAnsi"/>
                <w:color w:val="auto"/>
                <w:sz w:val="18"/>
                <w:szCs w:val="18"/>
                <w:lang w:eastAsia="pl-PL"/>
              </w:rPr>
              <w:t>Zieleń uliczna</w:t>
            </w:r>
          </w:p>
        </w:tc>
        <w:tc>
          <w:tcPr>
            <w:tcW w:w="822" w:type="dxa"/>
            <w:noWrap/>
            <w:vAlign w:val="center"/>
            <w:hideMark/>
          </w:tcPr>
          <w:p w14:paraId="5F93CC5F"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18"/>
                <w:szCs w:val="18"/>
                <w:lang w:eastAsia="pl-PL"/>
              </w:rPr>
            </w:pPr>
            <w:r w:rsidRPr="00655FC7">
              <w:rPr>
                <w:rFonts w:eastAsia="Times New Roman" w:cstheme="minorHAnsi"/>
                <w:color w:val="auto"/>
                <w:sz w:val="18"/>
                <w:szCs w:val="18"/>
                <w:lang w:eastAsia="pl-PL"/>
              </w:rPr>
              <w:t>ha</w:t>
            </w:r>
          </w:p>
        </w:tc>
        <w:tc>
          <w:tcPr>
            <w:tcW w:w="821" w:type="dxa"/>
            <w:noWrap/>
            <w:vAlign w:val="center"/>
          </w:tcPr>
          <w:p w14:paraId="44144C20"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0,3</w:t>
            </w:r>
          </w:p>
        </w:tc>
        <w:tc>
          <w:tcPr>
            <w:tcW w:w="821" w:type="dxa"/>
            <w:noWrap/>
            <w:vAlign w:val="center"/>
          </w:tcPr>
          <w:p w14:paraId="59B94BE1"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0,3</w:t>
            </w:r>
          </w:p>
        </w:tc>
        <w:tc>
          <w:tcPr>
            <w:tcW w:w="821" w:type="dxa"/>
            <w:noWrap/>
            <w:vAlign w:val="center"/>
          </w:tcPr>
          <w:p w14:paraId="34A0D1ED"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0,3</w:t>
            </w:r>
          </w:p>
        </w:tc>
        <w:tc>
          <w:tcPr>
            <w:tcW w:w="821" w:type="dxa"/>
            <w:noWrap/>
            <w:vAlign w:val="center"/>
          </w:tcPr>
          <w:p w14:paraId="18A24D1D"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0,3</w:t>
            </w:r>
          </w:p>
        </w:tc>
        <w:tc>
          <w:tcPr>
            <w:tcW w:w="821" w:type="dxa"/>
            <w:vAlign w:val="center"/>
          </w:tcPr>
          <w:p w14:paraId="2575071C"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0,3</w:t>
            </w:r>
          </w:p>
        </w:tc>
      </w:tr>
      <w:tr w:rsidR="00D155AA" w:rsidRPr="00655FC7" w14:paraId="0A3F8CDC" w14:textId="77777777" w:rsidTr="0082774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145" w:type="dxa"/>
            <w:noWrap/>
            <w:vAlign w:val="center"/>
            <w:hideMark/>
          </w:tcPr>
          <w:p w14:paraId="7F59482A" w14:textId="77777777" w:rsidR="00D155AA" w:rsidRPr="00655FC7" w:rsidRDefault="00D155AA" w:rsidP="00827748">
            <w:pPr>
              <w:ind w:firstLine="0"/>
              <w:jc w:val="center"/>
              <w:rPr>
                <w:rFonts w:eastAsia="Times New Roman" w:cstheme="minorHAnsi"/>
                <w:b w:val="0"/>
                <w:bCs w:val="0"/>
                <w:color w:val="000000"/>
                <w:sz w:val="18"/>
                <w:szCs w:val="18"/>
                <w:lang w:eastAsia="pl-PL"/>
              </w:rPr>
            </w:pPr>
            <w:r w:rsidRPr="00655FC7">
              <w:rPr>
                <w:rFonts w:eastAsia="Times New Roman" w:cstheme="minorHAnsi"/>
                <w:color w:val="000000"/>
                <w:sz w:val="18"/>
                <w:szCs w:val="18"/>
                <w:lang w:eastAsia="pl-PL"/>
              </w:rPr>
              <w:t>Tereny zieleni osiedlowej</w:t>
            </w:r>
          </w:p>
        </w:tc>
        <w:tc>
          <w:tcPr>
            <w:tcW w:w="822" w:type="dxa"/>
            <w:noWrap/>
            <w:vAlign w:val="center"/>
            <w:hideMark/>
          </w:tcPr>
          <w:p w14:paraId="1F327257"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18"/>
                <w:szCs w:val="18"/>
                <w:lang w:eastAsia="pl-PL"/>
              </w:rPr>
            </w:pPr>
            <w:r w:rsidRPr="00655FC7">
              <w:rPr>
                <w:rFonts w:eastAsia="Times New Roman" w:cstheme="minorHAnsi"/>
                <w:color w:val="000000"/>
                <w:sz w:val="18"/>
                <w:szCs w:val="18"/>
                <w:lang w:eastAsia="pl-PL"/>
              </w:rPr>
              <w:t>ha</w:t>
            </w:r>
          </w:p>
        </w:tc>
        <w:tc>
          <w:tcPr>
            <w:tcW w:w="821" w:type="dxa"/>
            <w:noWrap/>
            <w:vAlign w:val="center"/>
          </w:tcPr>
          <w:p w14:paraId="6D59297A"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1,32</w:t>
            </w:r>
          </w:p>
        </w:tc>
        <w:tc>
          <w:tcPr>
            <w:tcW w:w="821" w:type="dxa"/>
            <w:noWrap/>
            <w:vAlign w:val="center"/>
          </w:tcPr>
          <w:p w14:paraId="10991E2A"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1,32</w:t>
            </w:r>
          </w:p>
        </w:tc>
        <w:tc>
          <w:tcPr>
            <w:tcW w:w="821" w:type="dxa"/>
            <w:noWrap/>
            <w:vAlign w:val="center"/>
          </w:tcPr>
          <w:p w14:paraId="5D26FA03"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1,32</w:t>
            </w:r>
          </w:p>
        </w:tc>
        <w:tc>
          <w:tcPr>
            <w:tcW w:w="821" w:type="dxa"/>
            <w:noWrap/>
            <w:vAlign w:val="center"/>
          </w:tcPr>
          <w:p w14:paraId="3B522D3E"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1,32</w:t>
            </w:r>
          </w:p>
        </w:tc>
        <w:tc>
          <w:tcPr>
            <w:tcW w:w="821" w:type="dxa"/>
            <w:vAlign w:val="center"/>
          </w:tcPr>
          <w:p w14:paraId="5A9E696E"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0,3</w:t>
            </w:r>
          </w:p>
        </w:tc>
      </w:tr>
      <w:tr w:rsidR="00D155AA" w:rsidRPr="00655FC7" w14:paraId="634D4CA0" w14:textId="77777777" w:rsidTr="00827748">
        <w:trPr>
          <w:trHeight w:val="315"/>
          <w:jc w:val="center"/>
        </w:trPr>
        <w:tc>
          <w:tcPr>
            <w:cnfStyle w:val="001000000000" w:firstRow="0" w:lastRow="0" w:firstColumn="1" w:lastColumn="0" w:oddVBand="0" w:evenVBand="0" w:oddHBand="0" w:evenHBand="0" w:firstRowFirstColumn="0" w:firstRowLastColumn="0" w:lastRowFirstColumn="0" w:lastRowLastColumn="0"/>
            <w:tcW w:w="4145" w:type="dxa"/>
            <w:noWrap/>
            <w:vAlign w:val="center"/>
            <w:hideMark/>
          </w:tcPr>
          <w:p w14:paraId="430B9CFA" w14:textId="77777777" w:rsidR="00D155AA" w:rsidRPr="00655FC7" w:rsidRDefault="00D155AA" w:rsidP="00827748">
            <w:pPr>
              <w:ind w:firstLine="0"/>
              <w:jc w:val="center"/>
              <w:rPr>
                <w:rFonts w:eastAsia="Times New Roman" w:cstheme="minorHAnsi"/>
                <w:b w:val="0"/>
                <w:bCs w:val="0"/>
                <w:color w:val="000000"/>
                <w:sz w:val="18"/>
                <w:szCs w:val="18"/>
                <w:lang w:eastAsia="pl-PL"/>
              </w:rPr>
            </w:pPr>
            <w:r w:rsidRPr="00655FC7">
              <w:rPr>
                <w:rFonts w:eastAsia="Times New Roman" w:cstheme="minorHAnsi"/>
                <w:color w:val="000000"/>
                <w:sz w:val="18"/>
                <w:szCs w:val="18"/>
                <w:lang w:eastAsia="pl-PL"/>
              </w:rPr>
              <w:t>Parki, zieleńce i tereny zieleni osiedlowej</w:t>
            </w:r>
          </w:p>
        </w:tc>
        <w:tc>
          <w:tcPr>
            <w:tcW w:w="822" w:type="dxa"/>
            <w:noWrap/>
            <w:vAlign w:val="center"/>
            <w:hideMark/>
          </w:tcPr>
          <w:p w14:paraId="2F92007B"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pl-PL"/>
              </w:rPr>
            </w:pPr>
            <w:r w:rsidRPr="00655FC7">
              <w:rPr>
                <w:rFonts w:eastAsia="Times New Roman" w:cstheme="minorHAnsi"/>
                <w:color w:val="000000"/>
                <w:sz w:val="18"/>
                <w:szCs w:val="18"/>
                <w:lang w:eastAsia="pl-PL"/>
              </w:rPr>
              <w:t>ha</w:t>
            </w:r>
          </w:p>
        </w:tc>
        <w:tc>
          <w:tcPr>
            <w:tcW w:w="821" w:type="dxa"/>
            <w:noWrap/>
            <w:vAlign w:val="center"/>
          </w:tcPr>
          <w:p w14:paraId="0F294A79"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2,22</w:t>
            </w:r>
          </w:p>
        </w:tc>
        <w:tc>
          <w:tcPr>
            <w:tcW w:w="821" w:type="dxa"/>
            <w:noWrap/>
            <w:vAlign w:val="center"/>
          </w:tcPr>
          <w:p w14:paraId="3E1ACAFD"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2,22</w:t>
            </w:r>
          </w:p>
        </w:tc>
        <w:tc>
          <w:tcPr>
            <w:tcW w:w="821" w:type="dxa"/>
            <w:noWrap/>
            <w:vAlign w:val="center"/>
          </w:tcPr>
          <w:p w14:paraId="24EA2D3E"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2,22</w:t>
            </w:r>
          </w:p>
        </w:tc>
        <w:tc>
          <w:tcPr>
            <w:tcW w:w="821" w:type="dxa"/>
            <w:noWrap/>
            <w:vAlign w:val="center"/>
          </w:tcPr>
          <w:p w14:paraId="46D67B7D"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2,22</w:t>
            </w:r>
          </w:p>
        </w:tc>
        <w:tc>
          <w:tcPr>
            <w:tcW w:w="821" w:type="dxa"/>
            <w:vAlign w:val="center"/>
          </w:tcPr>
          <w:p w14:paraId="2D4C4DB1"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1,2</w:t>
            </w:r>
          </w:p>
        </w:tc>
      </w:tr>
      <w:tr w:rsidR="00D155AA" w:rsidRPr="00655FC7" w14:paraId="19D04BE8" w14:textId="77777777" w:rsidTr="0082774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145" w:type="dxa"/>
            <w:noWrap/>
            <w:vAlign w:val="center"/>
            <w:hideMark/>
          </w:tcPr>
          <w:p w14:paraId="27818159" w14:textId="77777777" w:rsidR="00D155AA" w:rsidRPr="00655FC7" w:rsidRDefault="00D155AA" w:rsidP="00827748">
            <w:pPr>
              <w:ind w:firstLine="0"/>
              <w:jc w:val="center"/>
              <w:rPr>
                <w:rFonts w:eastAsia="Times New Roman" w:cstheme="minorHAnsi"/>
                <w:b w:val="0"/>
                <w:bCs w:val="0"/>
                <w:color w:val="auto"/>
                <w:sz w:val="18"/>
                <w:szCs w:val="18"/>
                <w:lang w:eastAsia="pl-PL"/>
              </w:rPr>
            </w:pPr>
            <w:r w:rsidRPr="00655FC7">
              <w:rPr>
                <w:rFonts w:eastAsia="Times New Roman" w:cstheme="minorHAnsi"/>
                <w:color w:val="auto"/>
                <w:sz w:val="18"/>
                <w:szCs w:val="18"/>
                <w:lang w:eastAsia="pl-PL"/>
              </w:rPr>
              <w:t>Cmentarze</w:t>
            </w:r>
          </w:p>
        </w:tc>
        <w:tc>
          <w:tcPr>
            <w:tcW w:w="822" w:type="dxa"/>
            <w:noWrap/>
            <w:vAlign w:val="center"/>
            <w:hideMark/>
          </w:tcPr>
          <w:p w14:paraId="2E4C0A66"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18"/>
                <w:szCs w:val="18"/>
                <w:lang w:eastAsia="pl-PL"/>
              </w:rPr>
            </w:pPr>
            <w:r w:rsidRPr="00655FC7">
              <w:rPr>
                <w:rFonts w:eastAsia="Times New Roman" w:cstheme="minorHAnsi"/>
                <w:color w:val="auto"/>
                <w:sz w:val="18"/>
                <w:szCs w:val="18"/>
                <w:lang w:eastAsia="pl-PL"/>
              </w:rPr>
              <w:t>szt.</w:t>
            </w:r>
          </w:p>
        </w:tc>
        <w:tc>
          <w:tcPr>
            <w:tcW w:w="821" w:type="dxa"/>
            <w:noWrap/>
            <w:vAlign w:val="center"/>
          </w:tcPr>
          <w:p w14:paraId="3637C771"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2</w:t>
            </w:r>
          </w:p>
        </w:tc>
        <w:tc>
          <w:tcPr>
            <w:tcW w:w="821" w:type="dxa"/>
            <w:noWrap/>
            <w:vAlign w:val="center"/>
          </w:tcPr>
          <w:p w14:paraId="14EB1278"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2</w:t>
            </w:r>
          </w:p>
        </w:tc>
        <w:tc>
          <w:tcPr>
            <w:tcW w:w="821" w:type="dxa"/>
            <w:noWrap/>
            <w:vAlign w:val="center"/>
          </w:tcPr>
          <w:p w14:paraId="193045F6"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2</w:t>
            </w:r>
          </w:p>
        </w:tc>
        <w:tc>
          <w:tcPr>
            <w:tcW w:w="821" w:type="dxa"/>
            <w:noWrap/>
            <w:vAlign w:val="center"/>
          </w:tcPr>
          <w:p w14:paraId="6BF8A2F7"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2</w:t>
            </w:r>
          </w:p>
        </w:tc>
        <w:tc>
          <w:tcPr>
            <w:tcW w:w="821" w:type="dxa"/>
            <w:vAlign w:val="center"/>
          </w:tcPr>
          <w:p w14:paraId="3C90CB34"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3</w:t>
            </w:r>
          </w:p>
        </w:tc>
      </w:tr>
      <w:tr w:rsidR="00D155AA" w:rsidRPr="00655FC7" w14:paraId="0BDCD179" w14:textId="77777777" w:rsidTr="00827748">
        <w:trPr>
          <w:trHeight w:val="315"/>
          <w:jc w:val="center"/>
        </w:trPr>
        <w:tc>
          <w:tcPr>
            <w:cnfStyle w:val="001000000000" w:firstRow="0" w:lastRow="0" w:firstColumn="1" w:lastColumn="0" w:oddVBand="0" w:evenVBand="0" w:oddHBand="0" w:evenHBand="0" w:firstRowFirstColumn="0" w:firstRowLastColumn="0" w:lastRowFirstColumn="0" w:lastRowLastColumn="0"/>
            <w:tcW w:w="4145" w:type="dxa"/>
            <w:noWrap/>
            <w:vAlign w:val="center"/>
            <w:hideMark/>
          </w:tcPr>
          <w:p w14:paraId="66FCB7BB" w14:textId="77777777" w:rsidR="00D155AA" w:rsidRPr="00655FC7" w:rsidRDefault="00D155AA" w:rsidP="00827748">
            <w:pPr>
              <w:ind w:firstLine="0"/>
              <w:jc w:val="center"/>
              <w:rPr>
                <w:rFonts w:eastAsia="Times New Roman" w:cstheme="minorHAnsi"/>
                <w:b w:val="0"/>
                <w:bCs w:val="0"/>
                <w:color w:val="000000"/>
                <w:sz w:val="18"/>
                <w:szCs w:val="18"/>
                <w:lang w:eastAsia="pl-PL"/>
              </w:rPr>
            </w:pPr>
            <w:r w:rsidRPr="00655FC7">
              <w:rPr>
                <w:rFonts w:eastAsia="Times New Roman" w:cstheme="minorHAnsi"/>
                <w:color w:val="000000"/>
                <w:sz w:val="18"/>
                <w:szCs w:val="18"/>
                <w:lang w:eastAsia="pl-PL"/>
              </w:rPr>
              <w:t>Cmentarze</w:t>
            </w:r>
          </w:p>
        </w:tc>
        <w:tc>
          <w:tcPr>
            <w:tcW w:w="822" w:type="dxa"/>
            <w:noWrap/>
            <w:vAlign w:val="center"/>
            <w:hideMark/>
          </w:tcPr>
          <w:p w14:paraId="08216079"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18"/>
                <w:szCs w:val="18"/>
                <w:lang w:eastAsia="pl-PL"/>
              </w:rPr>
            </w:pPr>
            <w:r w:rsidRPr="00655FC7">
              <w:rPr>
                <w:rFonts w:eastAsia="Times New Roman" w:cstheme="minorHAnsi"/>
                <w:color w:val="000000"/>
                <w:sz w:val="18"/>
                <w:szCs w:val="18"/>
                <w:lang w:eastAsia="pl-PL"/>
              </w:rPr>
              <w:t>ha</w:t>
            </w:r>
          </w:p>
        </w:tc>
        <w:tc>
          <w:tcPr>
            <w:tcW w:w="821" w:type="dxa"/>
            <w:noWrap/>
            <w:vAlign w:val="center"/>
          </w:tcPr>
          <w:p w14:paraId="037EA5C7"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3,2</w:t>
            </w:r>
          </w:p>
        </w:tc>
        <w:tc>
          <w:tcPr>
            <w:tcW w:w="821" w:type="dxa"/>
            <w:noWrap/>
            <w:vAlign w:val="center"/>
          </w:tcPr>
          <w:p w14:paraId="2CAA7007"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3,2</w:t>
            </w:r>
          </w:p>
        </w:tc>
        <w:tc>
          <w:tcPr>
            <w:tcW w:w="821" w:type="dxa"/>
            <w:noWrap/>
            <w:vAlign w:val="center"/>
          </w:tcPr>
          <w:p w14:paraId="219880E1"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3,2</w:t>
            </w:r>
          </w:p>
        </w:tc>
        <w:tc>
          <w:tcPr>
            <w:tcW w:w="821" w:type="dxa"/>
            <w:noWrap/>
            <w:vAlign w:val="center"/>
          </w:tcPr>
          <w:p w14:paraId="72950463"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3,2</w:t>
            </w:r>
          </w:p>
        </w:tc>
        <w:tc>
          <w:tcPr>
            <w:tcW w:w="821" w:type="dxa"/>
            <w:vAlign w:val="center"/>
          </w:tcPr>
          <w:p w14:paraId="59D64333"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4,72</w:t>
            </w:r>
          </w:p>
        </w:tc>
      </w:tr>
      <w:tr w:rsidR="00D155AA" w:rsidRPr="00655FC7" w14:paraId="31506AD6" w14:textId="77777777" w:rsidTr="00827748">
        <w:trPr>
          <w:cnfStyle w:val="000000100000" w:firstRow="0" w:lastRow="0" w:firstColumn="0" w:lastColumn="0" w:oddVBand="0" w:evenVBand="0" w:oddHBand="1"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145" w:type="dxa"/>
            <w:noWrap/>
            <w:vAlign w:val="center"/>
            <w:hideMark/>
          </w:tcPr>
          <w:p w14:paraId="315CCF8C" w14:textId="77777777" w:rsidR="00D155AA" w:rsidRPr="00655FC7" w:rsidRDefault="00D155AA" w:rsidP="00827748">
            <w:pPr>
              <w:ind w:firstLine="0"/>
              <w:jc w:val="center"/>
              <w:rPr>
                <w:rFonts w:eastAsia="Times New Roman" w:cstheme="minorHAnsi"/>
                <w:b w:val="0"/>
                <w:bCs w:val="0"/>
                <w:color w:val="auto"/>
                <w:sz w:val="18"/>
                <w:szCs w:val="18"/>
                <w:lang w:eastAsia="pl-PL"/>
              </w:rPr>
            </w:pPr>
            <w:r w:rsidRPr="00655FC7">
              <w:rPr>
                <w:rFonts w:eastAsia="Times New Roman" w:cstheme="minorHAnsi"/>
                <w:color w:val="auto"/>
                <w:sz w:val="18"/>
                <w:szCs w:val="18"/>
                <w:lang w:eastAsia="pl-PL"/>
              </w:rPr>
              <w:t>Udział powierzchni terenów zieleni w powierzchni ogółem</w:t>
            </w:r>
          </w:p>
        </w:tc>
        <w:tc>
          <w:tcPr>
            <w:tcW w:w="822" w:type="dxa"/>
            <w:noWrap/>
            <w:vAlign w:val="center"/>
            <w:hideMark/>
          </w:tcPr>
          <w:p w14:paraId="5092F75D"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auto"/>
                <w:sz w:val="18"/>
                <w:szCs w:val="18"/>
                <w:lang w:eastAsia="pl-PL"/>
              </w:rPr>
            </w:pPr>
            <w:r w:rsidRPr="00655FC7">
              <w:rPr>
                <w:rFonts w:eastAsia="Times New Roman" w:cstheme="minorHAnsi"/>
                <w:b/>
                <w:bCs/>
                <w:color w:val="auto"/>
                <w:sz w:val="18"/>
                <w:szCs w:val="18"/>
                <w:lang w:eastAsia="pl-PL"/>
              </w:rPr>
              <w:t>%</w:t>
            </w:r>
          </w:p>
        </w:tc>
        <w:tc>
          <w:tcPr>
            <w:tcW w:w="821" w:type="dxa"/>
            <w:noWrap/>
            <w:vAlign w:val="center"/>
          </w:tcPr>
          <w:p w14:paraId="31288BE5"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0,54</w:t>
            </w:r>
          </w:p>
        </w:tc>
        <w:tc>
          <w:tcPr>
            <w:tcW w:w="821" w:type="dxa"/>
            <w:noWrap/>
            <w:vAlign w:val="center"/>
          </w:tcPr>
          <w:p w14:paraId="7B8B9340"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0,54</w:t>
            </w:r>
          </w:p>
        </w:tc>
        <w:tc>
          <w:tcPr>
            <w:tcW w:w="821" w:type="dxa"/>
            <w:noWrap/>
            <w:vAlign w:val="center"/>
          </w:tcPr>
          <w:p w14:paraId="349CEDE5"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0,54</w:t>
            </w:r>
          </w:p>
        </w:tc>
        <w:tc>
          <w:tcPr>
            <w:tcW w:w="821" w:type="dxa"/>
            <w:noWrap/>
            <w:vAlign w:val="center"/>
          </w:tcPr>
          <w:p w14:paraId="035F368C"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0,54</w:t>
            </w:r>
          </w:p>
        </w:tc>
        <w:tc>
          <w:tcPr>
            <w:tcW w:w="821" w:type="dxa"/>
            <w:vAlign w:val="center"/>
          </w:tcPr>
          <w:p w14:paraId="76BC4FDB"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333333"/>
                <w:sz w:val="18"/>
                <w:szCs w:val="18"/>
                <w:lang w:eastAsia="pl-PL"/>
              </w:rPr>
            </w:pPr>
            <w:r w:rsidRPr="00655FC7">
              <w:rPr>
                <w:sz w:val="18"/>
                <w:szCs w:val="18"/>
              </w:rPr>
              <w:t>0,58</w:t>
            </w:r>
          </w:p>
        </w:tc>
      </w:tr>
    </w:tbl>
    <w:p w14:paraId="751F6B55" w14:textId="77777777" w:rsidR="00D155AA" w:rsidRPr="00655FC7" w:rsidRDefault="00D155AA" w:rsidP="00D155AA">
      <w:pPr>
        <w:pStyle w:val="Cytat"/>
      </w:pPr>
      <w:r w:rsidRPr="00655FC7">
        <w:t>źródło: BDL GUS</w:t>
      </w:r>
    </w:p>
    <w:p w14:paraId="516582AE" w14:textId="77777777" w:rsidR="00D155AA" w:rsidRPr="00655FC7" w:rsidRDefault="00D155AA" w:rsidP="00D155AA">
      <w:pPr>
        <w:rPr>
          <w:rFonts w:cstheme="minorHAnsi"/>
        </w:rPr>
      </w:pPr>
    </w:p>
    <w:p w14:paraId="3E532F25" w14:textId="06242F31" w:rsidR="00D155AA" w:rsidRPr="00655FC7" w:rsidRDefault="00D155AA" w:rsidP="00D155AA">
      <w:pPr>
        <w:rPr>
          <w:rFonts w:cstheme="minorHAnsi"/>
        </w:rPr>
      </w:pPr>
      <w:r w:rsidRPr="00655FC7">
        <w:rPr>
          <w:rFonts w:cstheme="minorHAnsi"/>
        </w:rPr>
        <w:t xml:space="preserve">W latach 2018-2022 w zakresie zieleni publicznej na terenie miasta nie zaobserwowano znaczących zmian. Nieznacznie wzrósł udział powierzchni terenów zieleni, o 0,04%. Na omawianym </w:t>
      </w:r>
      <w:r w:rsidR="009F71E2" w:rsidRPr="00655FC7">
        <w:rPr>
          <w:rFonts w:cstheme="minorHAnsi"/>
        </w:rPr>
        <w:t>terenie</w:t>
      </w:r>
      <w:r w:rsidRPr="00655FC7">
        <w:rPr>
          <w:rFonts w:cstheme="minorHAnsi"/>
        </w:rPr>
        <w:t xml:space="preserve"> najważniejszym obszarem zieleni jest Park miejski zlokalizowany przy ul. Rynek.</w:t>
      </w:r>
    </w:p>
    <w:p w14:paraId="62E84729" w14:textId="77777777" w:rsidR="00D155AA" w:rsidRPr="00655FC7" w:rsidRDefault="00D155AA" w:rsidP="009F71E2"/>
    <w:p w14:paraId="03FEE1F0" w14:textId="475F28FD" w:rsidR="00D155AA" w:rsidRPr="00655FC7" w:rsidRDefault="00D155AA" w:rsidP="00D155AA">
      <w:pPr>
        <w:pStyle w:val="Styltabela"/>
        <w:rPr>
          <w:szCs w:val="24"/>
        </w:rPr>
      </w:pPr>
      <w:bookmarkStart w:id="153" w:name="_Toc178846323"/>
      <w:r w:rsidRPr="00655FC7">
        <w:rPr>
          <w:rFonts w:eastAsiaTheme="minorEastAsia"/>
        </w:rPr>
        <w:t xml:space="preserve">Tabela </w:t>
      </w:r>
      <w:r w:rsidR="00E833A9">
        <w:rPr>
          <w:rFonts w:eastAsiaTheme="minorEastAsia"/>
        </w:rPr>
        <w:fldChar w:fldCharType="begin"/>
      </w:r>
      <w:r w:rsidR="00E833A9">
        <w:rPr>
          <w:rFonts w:eastAsiaTheme="minorEastAsia"/>
        </w:rPr>
        <w:instrText xml:space="preserve"> SEQ Tabela \* ARABIC </w:instrText>
      </w:r>
      <w:r w:rsidR="00E833A9">
        <w:rPr>
          <w:rFonts w:eastAsiaTheme="minorEastAsia"/>
        </w:rPr>
        <w:fldChar w:fldCharType="separate"/>
      </w:r>
      <w:r w:rsidR="00A654D8">
        <w:rPr>
          <w:rFonts w:eastAsiaTheme="minorEastAsia"/>
          <w:noProof/>
        </w:rPr>
        <w:t>17</w:t>
      </w:r>
      <w:r w:rsidR="00E833A9">
        <w:rPr>
          <w:rFonts w:eastAsiaTheme="minorEastAsia"/>
        </w:rPr>
        <w:fldChar w:fldCharType="end"/>
      </w:r>
      <w:r w:rsidRPr="00655FC7">
        <w:rPr>
          <w:rFonts w:eastAsiaTheme="minorEastAsia"/>
        </w:rPr>
        <w:t>.</w:t>
      </w:r>
      <w:r w:rsidRPr="00655FC7">
        <w:rPr>
          <w:rFonts w:eastAsia="Calibri"/>
        </w:rPr>
        <w:t xml:space="preserve"> Tereny zielone na omawianym obszarze.</w:t>
      </w:r>
      <w:bookmarkEnd w:id="153"/>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5" w:type="dxa"/>
          <w:left w:w="55" w:type="dxa"/>
          <w:bottom w:w="55" w:type="dxa"/>
          <w:right w:w="55" w:type="dxa"/>
        </w:tblCellMar>
        <w:tblLook w:val="0000" w:firstRow="0" w:lastRow="0" w:firstColumn="0" w:lastColumn="0" w:noHBand="0" w:noVBand="0"/>
      </w:tblPr>
      <w:tblGrid>
        <w:gridCol w:w="1276"/>
        <w:gridCol w:w="1134"/>
        <w:gridCol w:w="2126"/>
        <w:gridCol w:w="1276"/>
        <w:gridCol w:w="1701"/>
        <w:gridCol w:w="1559"/>
      </w:tblGrid>
      <w:tr w:rsidR="00D155AA" w:rsidRPr="00655FC7" w14:paraId="7CE1CBDB" w14:textId="77777777" w:rsidTr="009F71E2">
        <w:trPr>
          <w:tblHeader/>
          <w:jc w:val="center"/>
        </w:trPr>
        <w:tc>
          <w:tcPr>
            <w:tcW w:w="1276" w:type="dxa"/>
            <w:shd w:val="clear" w:color="auto" w:fill="BCC167" w:themeFill="accent2"/>
            <w:vAlign w:val="center"/>
          </w:tcPr>
          <w:p w14:paraId="642E7932" w14:textId="77777777" w:rsidR="00D155AA" w:rsidRPr="00655FC7" w:rsidRDefault="00D155AA" w:rsidP="00827748">
            <w:pPr>
              <w:suppressLineNumbers/>
              <w:spacing w:line="240" w:lineRule="auto"/>
              <w:ind w:firstLine="0"/>
              <w:jc w:val="center"/>
              <w:rPr>
                <w:rFonts w:eastAsia="Times New Roman" w:cstheme="minorHAnsi"/>
                <w:b/>
                <w:sz w:val="18"/>
                <w:szCs w:val="18"/>
                <w:lang w:eastAsia="pl-PL" w:bidi="pl-PL"/>
              </w:rPr>
            </w:pPr>
            <w:r w:rsidRPr="00655FC7">
              <w:rPr>
                <w:rFonts w:eastAsia="Times New Roman" w:cstheme="minorHAnsi"/>
                <w:b/>
                <w:sz w:val="18"/>
                <w:szCs w:val="18"/>
                <w:lang w:eastAsia="pl-PL" w:bidi="pl-PL"/>
              </w:rPr>
              <w:t>Rodzaj, typ terenu zieleni</w:t>
            </w:r>
          </w:p>
        </w:tc>
        <w:tc>
          <w:tcPr>
            <w:tcW w:w="1134" w:type="dxa"/>
            <w:shd w:val="clear" w:color="auto" w:fill="BCC167" w:themeFill="accent2"/>
            <w:vAlign w:val="center"/>
          </w:tcPr>
          <w:p w14:paraId="65EC582A" w14:textId="77777777" w:rsidR="00D155AA" w:rsidRPr="00655FC7" w:rsidRDefault="00D155AA" w:rsidP="00827748">
            <w:pPr>
              <w:suppressLineNumbers/>
              <w:spacing w:line="240" w:lineRule="auto"/>
              <w:ind w:firstLine="0"/>
              <w:jc w:val="center"/>
              <w:rPr>
                <w:rFonts w:eastAsia="Times New Roman" w:cstheme="minorHAnsi"/>
                <w:b/>
                <w:sz w:val="18"/>
                <w:szCs w:val="18"/>
                <w:lang w:eastAsia="pl-PL" w:bidi="pl-PL"/>
              </w:rPr>
            </w:pPr>
            <w:r w:rsidRPr="00655FC7">
              <w:rPr>
                <w:rFonts w:eastAsia="Times New Roman" w:cstheme="minorHAnsi"/>
                <w:b/>
                <w:sz w:val="18"/>
                <w:szCs w:val="18"/>
                <w:lang w:eastAsia="pl-PL" w:bidi="pl-PL"/>
              </w:rPr>
              <w:t>Powierzchnia</w:t>
            </w:r>
          </w:p>
        </w:tc>
        <w:tc>
          <w:tcPr>
            <w:tcW w:w="2126" w:type="dxa"/>
            <w:shd w:val="clear" w:color="auto" w:fill="BCC167" w:themeFill="accent2"/>
            <w:vAlign w:val="center"/>
          </w:tcPr>
          <w:p w14:paraId="36FF3DC4" w14:textId="3F97F12D" w:rsidR="00D155AA" w:rsidRPr="00655FC7" w:rsidRDefault="00D155AA" w:rsidP="00827748">
            <w:pPr>
              <w:suppressLineNumbers/>
              <w:spacing w:line="240" w:lineRule="auto"/>
              <w:ind w:firstLine="0"/>
              <w:jc w:val="center"/>
              <w:rPr>
                <w:rFonts w:eastAsia="Times New Roman" w:cstheme="minorHAnsi"/>
                <w:b/>
                <w:sz w:val="18"/>
                <w:szCs w:val="18"/>
                <w:lang w:eastAsia="pl-PL" w:bidi="pl-PL"/>
              </w:rPr>
            </w:pPr>
            <w:r w:rsidRPr="00655FC7">
              <w:rPr>
                <w:rFonts w:eastAsia="Times New Roman" w:cstheme="minorHAnsi"/>
                <w:b/>
                <w:sz w:val="18"/>
                <w:szCs w:val="18"/>
                <w:lang w:eastAsia="pl-PL" w:bidi="pl-PL"/>
              </w:rPr>
              <w:t xml:space="preserve">Jednostka odpowiedzialna </w:t>
            </w:r>
          </w:p>
        </w:tc>
        <w:tc>
          <w:tcPr>
            <w:tcW w:w="1276" w:type="dxa"/>
            <w:shd w:val="clear" w:color="auto" w:fill="BCC167" w:themeFill="accent2"/>
            <w:vAlign w:val="center"/>
          </w:tcPr>
          <w:p w14:paraId="78F1615D" w14:textId="27F6B72E" w:rsidR="00D155AA" w:rsidRPr="00655FC7" w:rsidRDefault="00D155AA" w:rsidP="00827748">
            <w:pPr>
              <w:suppressLineNumbers/>
              <w:spacing w:line="240" w:lineRule="auto"/>
              <w:ind w:firstLine="0"/>
              <w:jc w:val="center"/>
              <w:rPr>
                <w:rFonts w:eastAsia="Times New Roman" w:cstheme="minorHAnsi"/>
                <w:b/>
                <w:sz w:val="18"/>
                <w:szCs w:val="18"/>
                <w:lang w:eastAsia="pl-PL" w:bidi="pl-PL"/>
              </w:rPr>
            </w:pPr>
            <w:r w:rsidRPr="00655FC7">
              <w:rPr>
                <w:rFonts w:eastAsia="Times New Roman" w:cstheme="minorHAnsi"/>
                <w:b/>
                <w:sz w:val="18"/>
                <w:szCs w:val="18"/>
                <w:lang w:eastAsia="pl-PL" w:bidi="pl-PL"/>
              </w:rPr>
              <w:t>Funkcje terenu zielonego</w:t>
            </w:r>
          </w:p>
        </w:tc>
        <w:tc>
          <w:tcPr>
            <w:tcW w:w="1701" w:type="dxa"/>
            <w:shd w:val="clear" w:color="auto" w:fill="BCC167" w:themeFill="accent2"/>
            <w:vAlign w:val="center"/>
          </w:tcPr>
          <w:p w14:paraId="5F3132D5" w14:textId="77777777" w:rsidR="00D155AA" w:rsidRPr="00655FC7" w:rsidRDefault="00D155AA" w:rsidP="00827748">
            <w:pPr>
              <w:suppressLineNumbers/>
              <w:spacing w:line="240" w:lineRule="auto"/>
              <w:ind w:firstLine="0"/>
              <w:jc w:val="center"/>
              <w:rPr>
                <w:rFonts w:eastAsia="Times New Roman" w:cstheme="minorHAnsi"/>
                <w:b/>
                <w:sz w:val="18"/>
                <w:szCs w:val="18"/>
                <w:lang w:eastAsia="pl-PL" w:bidi="pl-PL"/>
              </w:rPr>
            </w:pPr>
            <w:r w:rsidRPr="00655FC7">
              <w:rPr>
                <w:rFonts w:eastAsia="Times New Roman" w:cstheme="minorHAnsi"/>
                <w:b/>
                <w:sz w:val="18"/>
                <w:szCs w:val="18"/>
                <w:lang w:eastAsia="pl-PL" w:bidi="pl-PL"/>
              </w:rPr>
              <w:t>Sposób zagospodarowania, rodzaj nasadzeń</w:t>
            </w:r>
          </w:p>
        </w:tc>
        <w:tc>
          <w:tcPr>
            <w:tcW w:w="1559" w:type="dxa"/>
            <w:shd w:val="clear" w:color="auto" w:fill="BCC167" w:themeFill="accent2"/>
            <w:vAlign w:val="center"/>
          </w:tcPr>
          <w:p w14:paraId="7D77ED91" w14:textId="6C4A5F4D" w:rsidR="00D155AA" w:rsidRPr="00655FC7" w:rsidRDefault="00D155AA" w:rsidP="00827748">
            <w:pPr>
              <w:suppressLineNumbers/>
              <w:spacing w:line="240" w:lineRule="auto"/>
              <w:ind w:firstLine="0"/>
              <w:jc w:val="center"/>
              <w:rPr>
                <w:rFonts w:eastAsia="Times New Roman" w:cstheme="minorHAnsi"/>
                <w:b/>
                <w:sz w:val="18"/>
                <w:szCs w:val="18"/>
                <w:lang w:eastAsia="pl-PL" w:bidi="pl-PL"/>
              </w:rPr>
            </w:pPr>
            <w:r w:rsidRPr="00655FC7">
              <w:rPr>
                <w:rFonts w:eastAsia="Times New Roman" w:cstheme="minorHAnsi"/>
                <w:b/>
                <w:sz w:val="18"/>
                <w:szCs w:val="18"/>
                <w:lang w:eastAsia="pl-PL" w:bidi="pl-PL"/>
              </w:rPr>
              <w:t>Zagrożenia terenu zielonego</w:t>
            </w:r>
          </w:p>
        </w:tc>
      </w:tr>
      <w:tr w:rsidR="00D155AA" w:rsidRPr="00655FC7" w14:paraId="389199DE" w14:textId="77777777" w:rsidTr="00827748">
        <w:trPr>
          <w:jc w:val="center"/>
        </w:trPr>
        <w:tc>
          <w:tcPr>
            <w:tcW w:w="1276" w:type="dxa"/>
            <w:vAlign w:val="center"/>
          </w:tcPr>
          <w:p w14:paraId="7D569E3F" w14:textId="77777777" w:rsidR="00D155AA" w:rsidRPr="00655FC7" w:rsidRDefault="00D155AA" w:rsidP="00827748">
            <w:pPr>
              <w:suppressLineNumbers/>
              <w:spacing w:line="240" w:lineRule="auto"/>
              <w:ind w:firstLine="0"/>
              <w:jc w:val="center"/>
              <w:rPr>
                <w:rFonts w:eastAsia="Times New Roman" w:cstheme="minorHAnsi"/>
                <w:sz w:val="18"/>
                <w:szCs w:val="18"/>
                <w:lang w:eastAsia="pl-PL" w:bidi="pl-PL"/>
              </w:rPr>
            </w:pPr>
            <w:r w:rsidRPr="00655FC7">
              <w:rPr>
                <w:sz w:val="18"/>
                <w:szCs w:val="18"/>
              </w:rPr>
              <w:t>Park miejski</w:t>
            </w:r>
          </w:p>
        </w:tc>
        <w:tc>
          <w:tcPr>
            <w:tcW w:w="1134" w:type="dxa"/>
            <w:vAlign w:val="center"/>
          </w:tcPr>
          <w:p w14:paraId="7F01C34E" w14:textId="77777777" w:rsidR="00D155AA" w:rsidRPr="00655FC7" w:rsidRDefault="00D155AA" w:rsidP="00827748">
            <w:pPr>
              <w:suppressLineNumbers/>
              <w:spacing w:line="240" w:lineRule="auto"/>
              <w:ind w:firstLine="0"/>
              <w:jc w:val="center"/>
              <w:rPr>
                <w:rFonts w:eastAsia="Times New Roman" w:cstheme="minorHAnsi"/>
                <w:sz w:val="18"/>
                <w:szCs w:val="18"/>
                <w:lang w:eastAsia="pl-PL" w:bidi="pl-PL"/>
              </w:rPr>
            </w:pPr>
            <w:r w:rsidRPr="00655FC7">
              <w:rPr>
                <w:sz w:val="18"/>
                <w:szCs w:val="18"/>
              </w:rPr>
              <w:t>0,22 ha</w:t>
            </w:r>
          </w:p>
        </w:tc>
        <w:tc>
          <w:tcPr>
            <w:tcW w:w="2126" w:type="dxa"/>
            <w:vAlign w:val="center"/>
          </w:tcPr>
          <w:p w14:paraId="01AE8140" w14:textId="77777777" w:rsidR="00D155AA" w:rsidRPr="00655FC7" w:rsidRDefault="00D155AA" w:rsidP="00827748">
            <w:pPr>
              <w:suppressLineNumbers/>
              <w:spacing w:line="240" w:lineRule="auto"/>
              <w:ind w:firstLine="0"/>
              <w:jc w:val="center"/>
              <w:rPr>
                <w:rFonts w:eastAsia="Times New Roman" w:cstheme="minorHAnsi"/>
                <w:sz w:val="18"/>
                <w:szCs w:val="18"/>
                <w:lang w:eastAsia="pl-PL" w:bidi="pl-PL"/>
              </w:rPr>
            </w:pPr>
            <w:r w:rsidRPr="00655FC7">
              <w:rPr>
                <w:sz w:val="18"/>
                <w:szCs w:val="18"/>
              </w:rPr>
              <w:t>Urząd Miejski w Tarnogrodzie</w:t>
            </w:r>
          </w:p>
        </w:tc>
        <w:tc>
          <w:tcPr>
            <w:tcW w:w="1276" w:type="dxa"/>
            <w:vAlign w:val="center"/>
          </w:tcPr>
          <w:p w14:paraId="1EA115BF" w14:textId="77777777" w:rsidR="00D155AA" w:rsidRPr="00655FC7" w:rsidRDefault="00D155AA" w:rsidP="00827748">
            <w:pPr>
              <w:suppressLineNumbers/>
              <w:spacing w:line="240" w:lineRule="auto"/>
              <w:ind w:firstLine="0"/>
              <w:jc w:val="center"/>
              <w:rPr>
                <w:rFonts w:eastAsia="Times New Roman" w:cstheme="minorHAnsi"/>
                <w:sz w:val="18"/>
                <w:szCs w:val="18"/>
                <w:lang w:eastAsia="pl-PL" w:bidi="pl-PL"/>
              </w:rPr>
            </w:pPr>
            <w:r w:rsidRPr="00655FC7">
              <w:rPr>
                <w:sz w:val="18"/>
                <w:szCs w:val="18"/>
              </w:rPr>
              <w:t>rekreacyjna</w:t>
            </w:r>
          </w:p>
        </w:tc>
        <w:tc>
          <w:tcPr>
            <w:tcW w:w="1701" w:type="dxa"/>
            <w:vAlign w:val="center"/>
          </w:tcPr>
          <w:p w14:paraId="24CBFB49" w14:textId="77777777" w:rsidR="00D155AA" w:rsidRPr="00655FC7" w:rsidRDefault="00D155AA" w:rsidP="00827748">
            <w:pPr>
              <w:suppressLineNumbers/>
              <w:spacing w:line="240" w:lineRule="auto"/>
              <w:ind w:firstLine="0"/>
              <w:jc w:val="center"/>
              <w:rPr>
                <w:rFonts w:eastAsia="Times New Roman" w:cstheme="minorHAnsi"/>
                <w:sz w:val="18"/>
                <w:szCs w:val="18"/>
                <w:lang w:eastAsia="pl-PL" w:bidi="pl-PL"/>
              </w:rPr>
            </w:pPr>
            <w:r w:rsidRPr="00655FC7">
              <w:rPr>
                <w:sz w:val="18"/>
                <w:szCs w:val="18"/>
              </w:rPr>
              <w:t>układ chodników, fontanna, nasadzenia planowane (lipa warszawska)</w:t>
            </w:r>
          </w:p>
        </w:tc>
        <w:tc>
          <w:tcPr>
            <w:tcW w:w="1559" w:type="dxa"/>
            <w:vAlign w:val="center"/>
          </w:tcPr>
          <w:p w14:paraId="4073E128" w14:textId="77777777" w:rsidR="00D155AA" w:rsidRPr="00655FC7" w:rsidRDefault="00D155AA" w:rsidP="00827748">
            <w:pPr>
              <w:suppressLineNumbers/>
              <w:spacing w:line="240" w:lineRule="auto"/>
              <w:ind w:firstLine="0"/>
              <w:jc w:val="center"/>
              <w:rPr>
                <w:rFonts w:eastAsia="Times New Roman" w:cstheme="minorHAnsi"/>
                <w:sz w:val="18"/>
                <w:szCs w:val="18"/>
                <w:lang w:eastAsia="pl-PL" w:bidi="pl-PL"/>
              </w:rPr>
            </w:pPr>
            <w:r w:rsidRPr="00655FC7">
              <w:rPr>
                <w:sz w:val="18"/>
                <w:szCs w:val="18"/>
              </w:rPr>
              <w:t>brak</w:t>
            </w:r>
          </w:p>
        </w:tc>
      </w:tr>
    </w:tbl>
    <w:p w14:paraId="44C8A76D" w14:textId="77777777" w:rsidR="00D155AA" w:rsidRPr="00655FC7" w:rsidRDefault="00D155AA" w:rsidP="00D155AA">
      <w:pPr>
        <w:pStyle w:val="Cytat"/>
      </w:pPr>
      <w:r w:rsidRPr="00655FC7">
        <w:t>źródło: Informacje udostępnione przez Urząd Miejski w Tarnogrodzie</w:t>
      </w:r>
    </w:p>
    <w:p w14:paraId="60CBC8E7" w14:textId="77777777" w:rsidR="00D155AA" w:rsidRPr="00655FC7" w:rsidRDefault="00D155AA" w:rsidP="00D155AA">
      <w:pPr>
        <w:tabs>
          <w:tab w:val="left" w:pos="3119"/>
        </w:tabs>
        <w:spacing w:line="240" w:lineRule="auto"/>
        <w:jc w:val="center"/>
        <w:rPr>
          <w:rFonts w:cstheme="minorHAnsi"/>
          <w:color w:val="auto"/>
          <w:szCs w:val="24"/>
        </w:rPr>
      </w:pPr>
    </w:p>
    <w:p w14:paraId="229FD7CB" w14:textId="7B994ED6" w:rsidR="00D155AA" w:rsidRPr="00655FC7" w:rsidRDefault="009F71E2" w:rsidP="009F71E2">
      <w:pPr>
        <w:rPr>
          <w:color w:val="auto"/>
          <w:lang w:eastAsia="pl-PL"/>
        </w:rPr>
      </w:pPr>
      <w:r w:rsidRPr="00655FC7">
        <w:rPr>
          <w:color w:val="auto"/>
          <w:lang w:eastAsia="pl-PL"/>
        </w:rPr>
        <w:t xml:space="preserve">W kwestii obszarów zieleni miejskiej na terenie miasta pod uwagę należy wziąć jego specyficzną charakterystykę. Chcąc ująć zieleń zgodnie z definicją planistyczną, jako obszary zaprojektowane i zarządzane przez miasto, poza Parkiem miejskim, brak jest na tym terenie takich obszarów, czy infrastruktury obiektów opartych na przyrodzie (nature-based solutions). </w:t>
      </w:r>
      <w:r w:rsidR="00631C14" w:rsidRPr="00655FC7">
        <w:rPr>
          <w:color w:val="auto"/>
          <w:lang w:eastAsia="pl-PL"/>
        </w:rPr>
        <w:t>Centrum Tarnogrodu okalają jednak wały, cieki oraz liczne zbiorniki wodne. Tereny takie mogą odznaczać się zatem jeszcze wyższymi walorami przyrodniczymi, ze względu na brak ścisłej kontroli nad nimi. Należy dążyć do tego, aby jak najwięcej terenów zieleni pozostawiać bez dodatkowego urządzania.</w:t>
      </w:r>
    </w:p>
    <w:p w14:paraId="601780F4" w14:textId="0DE3D6D1" w:rsidR="009F71E2" w:rsidRPr="00655FC7" w:rsidRDefault="003D70AB" w:rsidP="009F71E2">
      <w:pPr>
        <w:rPr>
          <w:color w:val="auto"/>
          <w:lang w:eastAsia="pl-PL"/>
        </w:rPr>
      </w:pPr>
      <w:r w:rsidRPr="00655FC7">
        <w:rPr>
          <w:color w:val="auto"/>
          <w:lang w:eastAsia="pl-PL"/>
        </w:rPr>
        <w:t>Jedyną propozycją utworzenia obiektu zieleni przedstawioną obecne przez władze miasta jest utworzenie zielonej ściany/ogrodu wertykalnego na terenie działki 1249/2, obręb Tarnogród.</w:t>
      </w:r>
    </w:p>
    <w:p w14:paraId="481B2AB6" w14:textId="77777777" w:rsidR="003D70AB" w:rsidRPr="00655FC7" w:rsidRDefault="003D70AB" w:rsidP="009F71E2">
      <w:pPr>
        <w:rPr>
          <w:color w:val="auto"/>
          <w:lang w:eastAsia="pl-PL"/>
        </w:rPr>
      </w:pPr>
    </w:p>
    <w:p w14:paraId="69264695" w14:textId="31D849DB" w:rsidR="00D155AA" w:rsidRPr="00655FC7" w:rsidRDefault="00D155AA" w:rsidP="00D155AA">
      <w:pPr>
        <w:pStyle w:val="Styltabela"/>
      </w:pPr>
      <w:bookmarkStart w:id="154" w:name="_Toc178846324"/>
      <w:r w:rsidRPr="00655FC7">
        <w:rPr>
          <w:rFonts w:eastAsiaTheme="minorEastAsia"/>
        </w:rPr>
        <w:t xml:space="preserve">Tabela </w:t>
      </w:r>
      <w:r w:rsidR="00E833A9">
        <w:rPr>
          <w:rFonts w:eastAsiaTheme="minorEastAsia"/>
        </w:rPr>
        <w:fldChar w:fldCharType="begin"/>
      </w:r>
      <w:r w:rsidR="00E833A9">
        <w:rPr>
          <w:rFonts w:eastAsiaTheme="minorEastAsia"/>
        </w:rPr>
        <w:instrText xml:space="preserve"> SEQ Tabela \* ARABIC </w:instrText>
      </w:r>
      <w:r w:rsidR="00E833A9">
        <w:rPr>
          <w:rFonts w:eastAsiaTheme="minorEastAsia"/>
        </w:rPr>
        <w:fldChar w:fldCharType="separate"/>
      </w:r>
      <w:r w:rsidR="00A654D8">
        <w:rPr>
          <w:rFonts w:eastAsiaTheme="minorEastAsia"/>
          <w:noProof/>
        </w:rPr>
        <w:t>18</w:t>
      </w:r>
      <w:r w:rsidR="00E833A9">
        <w:rPr>
          <w:rFonts w:eastAsiaTheme="minorEastAsia"/>
        </w:rPr>
        <w:fldChar w:fldCharType="end"/>
      </w:r>
      <w:r w:rsidRPr="00655FC7">
        <w:rPr>
          <w:rFonts w:eastAsiaTheme="minorEastAsia"/>
        </w:rPr>
        <w:t>.</w:t>
      </w:r>
      <w:r w:rsidRPr="00655FC7">
        <w:rPr>
          <w:rFonts w:eastAsia="Calibri"/>
        </w:rPr>
        <w:t xml:space="preserve"> Obszary w przestrzeni miejskiej i gminnej, które mogą zostać przeznaczone na tereny zieleni.</w:t>
      </w:r>
      <w:bookmarkEnd w:id="154"/>
    </w:p>
    <w:tbl>
      <w:tblPr>
        <w:tblW w:w="9072" w:type="dxa"/>
        <w:jc w:val="center"/>
        <w:tblBorders>
          <w:top w:val="single" w:sz="8" w:space="0" w:color="757918" w:themeColor="accent3" w:themeShade="BF"/>
          <w:left w:val="single" w:sz="8" w:space="0" w:color="757918" w:themeColor="accent3" w:themeShade="BF"/>
          <w:bottom w:val="single" w:sz="8" w:space="0" w:color="757918" w:themeColor="accent3" w:themeShade="BF"/>
          <w:right w:val="single" w:sz="8" w:space="0" w:color="757918" w:themeColor="accent3" w:themeShade="BF"/>
          <w:insideH w:val="single" w:sz="8" w:space="0" w:color="757918" w:themeColor="accent3" w:themeShade="BF"/>
          <w:insideV w:val="single" w:sz="8" w:space="0" w:color="757918" w:themeColor="accent3" w:themeShade="BF"/>
        </w:tblBorders>
        <w:tblLayout w:type="fixed"/>
        <w:tblCellMar>
          <w:top w:w="55" w:type="dxa"/>
          <w:left w:w="55" w:type="dxa"/>
          <w:bottom w:w="55" w:type="dxa"/>
          <w:right w:w="55" w:type="dxa"/>
        </w:tblCellMar>
        <w:tblLook w:val="0000" w:firstRow="0" w:lastRow="0" w:firstColumn="0" w:lastColumn="0" w:noHBand="0" w:noVBand="0"/>
      </w:tblPr>
      <w:tblGrid>
        <w:gridCol w:w="1135"/>
        <w:gridCol w:w="2694"/>
        <w:gridCol w:w="1842"/>
        <w:gridCol w:w="1560"/>
        <w:gridCol w:w="1841"/>
      </w:tblGrid>
      <w:tr w:rsidR="009F71E2" w:rsidRPr="00655FC7" w14:paraId="067281B5" w14:textId="77777777" w:rsidTr="00631C14">
        <w:trPr>
          <w:trHeight w:val="20"/>
          <w:tblHeader/>
          <w:jc w:val="center"/>
        </w:trPr>
        <w:tc>
          <w:tcPr>
            <w:tcW w:w="1135" w:type="dxa"/>
            <w:shd w:val="clear" w:color="auto" w:fill="D9DF62" w:themeFill="accent3" w:themeFillTint="99"/>
            <w:vAlign w:val="center"/>
          </w:tcPr>
          <w:p w14:paraId="7C6EB909" w14:textId="62D48BCC" w:rsidR="00D155AA" w:rsidRPr="00655FC7" w:rsidRDefault="00D155AA" w:rsidP="00827748">
            <w:pPr>
              <w:suppressLineNumbers/>
              <w:suppressAutoHyphens/>
              <w:spacing w:line="240" w:lineRule="auto"/>
              <w:ind w:firstLine="0"/>
              <w:jc w:val="center"/>
              <w:rPr>
                <w:rFonts w:eastAsia="Times New Roman" w:cstheme="minorHAnsi"/>
                <w:b/>
                <w:color w:val="auto"/>
                <w:sz w:val="18"/>
                <w:szCs w:val="18"/>
                <w:lang w:eastAsia="pl-PL" w:bidi="pl-PL"/>
              </w:rPr>
            </w:pPr>
            <w:r w:rsidRPr="00655FC7">
              <w:rPr>
                <w:rFonts w:eastAsia="Times New Roman" w:cstheme="minorHAnsi"/>
                <w:b/>
                <w:color w:val="auto"/>
                <w:sz w:val="18"/>
                <w:szCs w:val="18"/>
                <w:lang w:eastAsia="pl-PL" w:bidi="pl-PL"/>
              </w:rPr>
              <w:t>Lokalizacja obszaru</w:t>
            </w:r>
          </w:p>
        </w:tc>
        <w:tc>
          <w:tcPr>
            <w:tcW w:w="2694" w:type="dxa"/>
            <w:shd w:val="clear" w:color="auto" w:fill="D9DF62" w:themeFill="accent3" w:themeFillTint="99"/>
            <w:vAlign w:val="center"/>
          </w:tcPr>
          <w:p w14:paraId="3EBD9896" w14:textId="77777777" w:rsidR="00D155AA" w:rsidRPr="00655FC7" w:rsidRDefault="00D155AA" w:rsidP="00827748">
            <w:pPr>
              <w:suppressLineNumbers/>
              <w:suppressAutoHyphens/>
              <w:spacing w:line="240" w:lineRule="auto"/>
              <w:ind w:firstLine="0"/>
              <w:jc w:val="center"/>
              <w:rPr>
                <w:rFonts w:eastAsia="Times New Roman" w:cstheme="minorHAnsi"/>
                <w:b/>
                <w:color w:val="auto"/>
                <w:sz w:val="18"/>
                <w:szCs w:val="18"/>
                <w:lang w:eastAsia="pl-PL" w:bidi="pl-PL"/>
              </w:rPr>
            </w:pPr>
            <w:r w:rsidRPr="00655FC7">
              <w:rPr>
                <w:rFonts w:eastAsia="Times New Roman" w:cstheme="minorHAnsi"/>
                <w:b/>
                <w:color w:val="auto"/>
                <w:sz w:val="18"/>
                <w:szCs w:val="18"/>
                <w:lang w:eastAsia="pl-PL" w:bidi="pl-PL"/>
              </w:rPr>
              <w:t>Obecne przeznaczenie, funkcja terenu</w:t>
            </w:r>
          </w:p>
        </w:tc>
        <w:tc>
          <w:tcPr>
            <w:tcW w:w="1842" w:type="dxa"/>
            <w:shd w:val="clear" w:color="auto" w:fill="D9DF62" w:themeFill="accent3" w:themeFillTint="99"/>
            <w:vAlign w:val="center"/>
          </w:tcPr>
          <w:p w14:paraId="0A939853" w14:textId="3FE287B8" w:rsidR="00D155AA" w:rsidRPr="00655FC7" w:rsidRDefault="00631C14" w:rsidP="00827748">
            <w:pPr>
              <w:suppressLineNumbers/>
              <w:suppressAutoHyphens/>
              <w:spacing w:line="240" w:lineRule="auto"/>
              <w:ind w:firstLine="0"/>
              <w:jc w:val="center"/>
              <w:rPr>
                <w:rFonts w:eastAsia="Times New Roman" w:cstheme="minorHAnsi"/>
                <w:b/>
                <w:color w:val="auto"/>
                <w:sz w:val="18"/>
                <w:szCs w:val="18"/>
                <w:lang w:eastAsia="pl-PL" w:bidi="pl-PL"/>
              </w:rPr>
            </w:pPr>
            <w:r w:rsidRPr="00655FC7">
              <w:rPr>
                <w:rFonts w:eastAsia="Times New Roman" w:cstheme="minorHAnsi"/>
                <w:b/>
                <w:color w:val="auto"/>
                <w:sz w:val="18"/>
                <w:szCs w:val="18"/>
                <w:lang w:eastAsia="pl-PL" w:bidi="pl-PL"/>
              </w:rPr>
              <w:t>Preferowany rodzaj zieleni do zastosowania</w:t>
            </w:r>
          </w:p>
        </w:tc>
        <w:tc>
          <w:tcPr>
            <w:tcW w:w="1560" w:type="dxa"/>
            <w:shd w:val="clear" w:color="auto" w:fill="D9DF62" w:themeFill="accent3" w:themeFillTint="99"/>
            <w:vAlign w:val="center"/>
          </w:tcPr>
          <w:p w14:paraId="5B4755DB" w14:textId="24EBD75B" w:rsidR="00D155AA" w:rsidRPr="00655FC7" w:rsidRDefault="00D155AA" w:rsidP="00827748">
            <w:pPr>
              <w:suppressLineNumbers/>
              <w:suppressAutoHyphens/>
              <w:spacing w:line="240" w:lineRule="auto"/>
              <w:ind w:firstLine="0"/>
              <w:jc w:val="center"/>
              <w:rPr>
                <w:rFonts w:eastAsia="Times New Roman" w:cstheme="minorHAnsi"/>
                <w:b/>
                <w:color w:val="auto"/>
                <w:sz w:val="18"/>
                <w:szCs w:val="18"/>
                <w:lang w:eastAsia="pl-PL" w:bidi="pl-PL"/>
              </w:rPr>
            </w:pPr>
            <w:r w:rsidRPr="00655FC7">
              <w:rPr>
                <w:rFonts w:eastAsia="Times New Roman" w:cstheme="minorHAnsi"/>
                <w:b/>
                <w:color w:val="auto"/>
                <w:sz w:val="18"/>
                <w:szCs w:val="18"/>
                <w:lang w:eastAsia="pl-PL" w:bidi="pl-PL"/>
              </w:rPr>
              <w:t>Przyszłe funkcje terenu zielonego</w:t>
            </w:r>
          </w:p>
        </w:tc>
        <w:tc>
          <w:tcPr>
            <w:tcW w:w="1841" w:type="dxa"/>
            <w:shd w:val="clear" w:color="auto" w:fill="D9DF62" w:themeFill="accent3" w:themeFillTint="99"/>
            <w:vAlign w:val="center"/>
          </w:tcPr>
          <w:p w14:paraId="5AB5AB1E" w14:textId="77777777" w:rsidR="00D155AA" w:rsidRPr="00655FC7" w:rsidRDefault="00D155AA" w:rsidP="00827748">
            <w:pPr>
              <w:suppressLineNumbers/>
              <w:suppressAutoHyphens/>
              <w:spacing w:line="240" w:lineRule="auto"/>
              <w:ind w:firstLine="0"/>
              <w:jc w:val="center"/>
              <w:rPr>
                <w:rFonts w:eastAsia="Times New Roman" w:cstheme="minorHAnsi"/>
                <w:b/>
                <w:color w:val="auto"/>
                <w:sz w:val="18"/>
                <w:szCs w:val="18"/>
                <w:lang w:eastAsia="pl-PL" w:bidi="pl-PL"/>
              </w:rPr>
            </w:pPr>
            <w:r w:rsidRPr="00655FC7">
              <w:rPr>
                <w:rFonts w:eastAsia="Times New Roman" w:cstheme="minorHAnsi"/>
                <w:b/>
                <w:color w:val="auto"/>
                <w:sz w:val="18"/>
                <w:szCs w:val="18"/>
                <w:lang w:eastAsia="pl-PL" w:bidi="pl-PL"/>
              </w:rPr>
              <w:t>Proponowany sposób zagospodarowania, rodzaj nasadzeń</w:t>
            </w:r>
          </w:p>
        </w:tc>
      </w:tr>
      <w:tr w:rsidR="00631C14" w:rsidRPr="00655FC7" w14:paraId="17DBBEBB" w14:textId="77777777" w:rsidTr="00631C14">
        <w:trPr>
          <w:trHeight w:val="20"/>
          <w:jc w:val="center"/>
        </w:trPr>
        <w:tc>
          <w:tcPr>
            <w:tcW w:w="1135" w:type="dxa"/>
            <w:vAlign w:val="center"/>
          </w:tcPr>
          <w:p w14:paraId="71E6AE21" w14:textId="27966E9F" w:rsidR="00631C14" w:rsidRPr="00655FC7" w:rsidRDefault="00631C14" w:rsidP="00631C14">
            <w:pPr>
              <w:suppressLineNumbers/>
              <w:spacing w:line="240" w:lineRule="auto"/>
              <w:ind w:firstLine="0"/>
              <w:jc w:val="center"/>
              <w:rPr>
                <w:rFonts w:eastAsia="Times New Roman" w:cstheme="minorHAnsi"/>
                <w:color w:val="auto"/>
                <w:sz w:val="18"/>
                <w:szCs w:val="18"/>
                <w:lang w:eastAsia="pl-PL" w:bidi="pl-PL"/>
              </w:rPr>
            </w:pPr>
            <w:r w:rsidRPr="00655FC7">
              <w:rPr>
                <w:sz w:val="18"/>
                <w:szCs w:val="18"/>
              </w:rPr>
              <w:t>1249/2</w:t>
            </w:r>
          </w:p>
        </w:tc>
        <w:tc>
          <w:tcPr>
            <w:tcW w:w="2694" w:type="dxa"/>
            <w:vAlign w:val="center"/>
          </w:tcPr>
          <w:p w14:paraId="39B31CBA" w14:textId="511EA15A" w:rsidR="00631C14" w:rsidRPr="00655FC7" w:rsidRDefault="00631C14" w:rsidP="00631C14">
            <w:pPr>
              <w:suppressLineNumbers/>
              <w:spacing w:line="240" w:lineRule="auto"/>
              <w:ind w:firstLine="0"/>
              <w:jc w:val="center"/>
              <w:rPr>
                <w:rFonts w:eastAsia="Times New Roman" w:cstheme="minorHAnsi"/>
                <w:color w:val="auto"/>
                <w:sz w:val="18"/>
                <w:szCs w:val="18"/>
                <w:lang w:eastAsia="pl-PL" w:bidi="pl-PL"/>
              </w:rPr>
            </w:pPr>
            <w:r w:rsidRPr="00655FC7">
              <w:rPr>
                <w:sz w:val="18"/>
                <w:szCs w:val="18"/>
              </w:rPr>
              <w:t>Wg MPZ - Teren dróg publicznych - ciągi komunikacji pieszej, place</w:t>
            </w:r>
          </w:p>
        </w:tc>
        <w:tc>
          <w:tcPr>
            <w:tcW w:w="1842" w:type="dxa"/>
            <w:vAlign w:val="center"/>
          </w:tcPr>
          <w:p w14:paraId="2761E569" w14:textId="1F20E080" w:rsidR="00631C14" w:rsidRPr="00655FC7" w:rsidRDefault="00631C14" w:rsidP="00631C14">
            <w:pPr>
              <w:suppressLineNumbers/>
              <w:spacing w:line="240" w:lineRule="auto"/>
              <w:ind w:firstLine="0"/>
              <w:jc w:val="center"/>
              <w:rPr>
                <w:rFonts w:eastAsia="Times New Roman" w:cstheme="minorHAnsi"/>
                <w:color w:val="auto"/>
                <w:sz w:val="18"/>
                <w:szCs w:val="18"/>
                <w:lang w:eastAsia="pl-PL" w:bidi="pl-PL"/>
              </w:rPr>
            </w:pPr>
            <w:r w:rsidRPr="00655FC7">
              <w:rPr>
                <w:sz w:val="18"/>
                <w:szCs w:val="18"/>
              </w:rPr>
              <w:t>Zielona ściana/ogród wertykalny</w:t>
            </w:r>
          </w:p>
        </w:tc>
        <w:tc>
          <w:tcPr>
            <w:tcW w:w="1560" w:type="dxa"/>
            <w:vAlign w:val="center"/>
          </w:tcPr>
          <w:p w14:paraId="71AABED0" w14:textId="4B514A11" w:rsidR="00631C14" w:rsidRPr="00655FC7" w:rsidRDefault="00631C14" w:rsidP="00631C14">
            <w:pPr>
              <w:suppressLineNumbers/>
              <w:spacing w:line="240" w:lineRule="auto"/>
              <w:ind w:firstLine="0"/>
              <w:jc w:val="center"/>
              <w:rPr>
                <w:rFonts w:eastAsia="Times New Roman" w:cstheme="minorHAnsi"/>
                <w:color w:val="auto"/>
                <w:sz w:val="18"/>
                <w:szCs w:val="18"/>
                <w:lang w:eastAsia="pl-PL" w:bidi="pl-PL"/>
              </w:rPr>
            </w:pPr>
            <w:r w:rsidRPr="00655FC7">
              <w:rPr>
                <w:sz w:val="18"/>
                <w:szCs w:val="18"/>
              </w:rPr>
              <w:t>Rekreacyjna i ochronna</w:t>
            </w:r>
          </w:p>
        </w:tc>
        <w:tc>
          <w:tcPr>
            <w:tcW w:w="1841" w:type="dxa"/>
            <w:vAlign w:val="center"/>
          </w:tcPr>
          <w:p w14:paraId="3E673151" w14:textId="08935787" w:rsidR="00631C14" w:rsidRPr="00655FC7" w:rsidRDefault="00631C14" w:rsidP="00631C14">
            <w:pPr>
              <w:suppressLineNumbers/>
              <w:spacing w:line="240" w:lineRule="auto"/>
              <w:ind w:firstLine="0"/>
              <w:jc w:val="center"/>
              <w:rPr>
                <w:rFonts w:eastAsia="Times New Roman" w:cstheme="minorHAnsi"/>
                <w:color w:val="auto"/>
                <w:sz w:val="18"/>
                <w:szCs w:val="18"/>
                <w:lang w:eastAsia="pl-PL" w:bidi="pl-PL"/>
              </w:rPr>
            </w:pPr>
            <w:r w:rsidRPr="00655FC7">
              <w:rPr>
                <w:sz w:val="18"/>
                <w:szCs w:val="18"/>
              </w:rPr>
              <w:t>Trawy, krzewy niskie</w:t>
            </w:r>
          </w:p>
        </w:tc>
      </w:tr>
    </w:tbl>
    <w:p w14:paraId="6430B84A" w14:textId="50C7B95A" w:rsidR="00D155AA" w:rsidRPr="00655FC7" w:rsidRDefault="00D155AA" w:rsidP="00D155AA">
      <w:pPr>
        <w:pStyle w:val="Cytat"/>
      </w:pPr>
      <w:r w:rsidRPr="00655FC7">
        <w:t xml:space="preserve">Źródło: Urząd </w:t>
      </w:r>
      <w:r w:rsidR="003D70AB" w:rsidRPr="00655FC7">
        <w:t>Miejski w Tarnogrodzie</w:t>
      </w:r>
    </w:p>
    <w:p w14:paraId="0DC43CB7" w14:textId="77777777" w:rsidR="00D155AA" w:rsidRPr="00655FC7" w:rsidRDefault="00D155AA" w:rsidP="00D155AA">
      <w:pPr>
        <w:pStyle w:val="Nagwek3"/>
      </w:pPr>
      <w:bookmarkStart w:id="155" w:name="_Toc177732058"/>
      <w:r w:rsidRPr="00655FC7">
        <w:lastRenderedPageBreak/>
        <w:t>Gatunki inwazyjne</w:t>
      </w:r>
      <w:bookmarkEnd w:id="155"/>
    </w:p>
    <w:p w14:paraId="3C5A01D6" w14:textId="3FD0FFFD" w:rsidR="00D155AA" w:rsidRPr="00655FC7" w:rsidRDefault="00D155AA" w:rsidP="00D155AA">
      <w:pPr>
        <w:rPr>
          <w:rFonts w:cstheme="minorHAnsi"/>
        </w:rPr>
      </w:pPr>
      <w:r w:rsidRPr="00655FC7">
        <w:rPr>
          <w:rFonts w:cstheme="minorHAnsi"/>
        </w:rPr>
        <w:t>Wobec zachodzących zmian klimatu bardzo istotnym zagadnieniem są gatunki obce i</w:t>
      </w:r>
      <w:r w:rsidR="00BB3923" w:rsidRPr="00655FC7">
        <w:rPr>
          <w:rFonts w:cstheme="minorHAnsi"/>
        </w:rPr>
        <w:t xml:space="preserve"> </w:t>
      </w:r>
      <w:r w:rsidRPr="00655FC7">
        <w:rPr>
          <w:rFonts w:cstheme="minorHAnsi"/>
        </w:rPr>
        <w:t xml:space="preserve">inwazyjne. Inwazyjne gatunki obce (IGO) to rośliny, zwierzęta, patogeny i inne organizmy, które nie są rodzime dla ekosystemów i mogą powodować szkody w środowisku lub gospodarce, lub też negatywnie oddziaływać na zdrowie człowieka. W szczególności IGO oddziałują negatywnie na różnorodność biologiczną, w tym na zmniejszenie populacji lub eliminowanie gatunków rodzimych, poprzez konkurencję pokarmową, drapieżnictwo lub </w:t>
      </w:r>
      <w:r w:rsidRPr="00655FC7">
        <w:rPr>
          <w:rFonts w:cstheme="minorHAnsi"/>
          <w:color w:val="auto"/>
        </w:rPr>
        <w:t>przekazywanie patogenów oraz zakłócanie funkcjonowania ekosystemów</w:t>
      </w:r>
      <w:r w:rsidRPr="00655FC7">
        <w:rPr>
          <w:rFonts w:cstheme="minorHAnsi"/>
          <w:color w:val="auto"/>
          <w:vertAlign w:val="superscript"/>
        </w:rPr>
        <w:footnoteReference w:id="29"/>
      </w:r>
      <w:r w:rsidRPr="00655FC7">
        <w:rPr>
          <w:rFonts w:cstheme="minorHAnsi"/>
          <w:color w:val="auto"/>
        </w:rPr>
        <w:t xml:space="preserve">. </w:t>
      </w:r>
      <w:bookmarkEnd w:id="149"/>
      <w:r w:rsidRPr="00655FC7">
        <w:rPr>
          <w:rFonts w:cstheme="minorHAnsi"/>
          <w:color w:val="auto"/>
        </w:rPr>
        <w:t xml:space="preserve">Na stronie </w:t>
      </w:r>
      <w:hyperlink r:id="rId76" w:history="1">
        <w:r w:rsidRPr="00655FC7">
          <w:rPr>
            <w:rFonts w:cstheme="minorHAnsi"/>
            <w:color w:val="auto"/>
            <w:u w:val="single"/>
          </w:rPr>
          <w:t>https://geoserwis.gdos.gov.pl/mapy/</w:t>
        </w:r>
      </w:hyperlink>
      <w:r w:rsidRPr="00655FC7">
        <w:rPr>
          <w:rFonts w:cstheme="minorHAnsi"/>
          <w:color w:val="auto"/>
        </w:rPr>
        <w:t xml:space="preserve"> publikowane </w:t>
      </w:r>
      <w:r w:rsidRPr="00655FC7">
        <w:rPr>
          <w:rFonts w:cstheme="minorHAnsi"/>
        </w:rPr>
        <w:t>są dane o zasięgu występowania inwazyjnych gatunków obcych (dane pozyskane w ramach projektu POIS.02.04.00-00-0100/16 pn. Opracowanie zasad kontroli i zwalczania inwazyjnych gatunków obcych wraz z przeprowadzeniem pilotażowych działań i edukacją społeczną) – na terenie Miasta Tarnogród nie oznaczono Inwazyjnych Gatunków Obcych.</w:t>
      </w:r>
    </w:p>
    <w:p w14:paraId="640541E9" w14:textId="77777777" w:rsidR="00D155AA" w:rsidRPr="00655FC7" w:rsidRDefault="00D155AA" w:rsidP="00D155AA">
      <w:pPr>
        <w:rPr>
          <w:rFonts w:cstheme="minorHAnsi"/>
        </w:rPr>
      </w:pPr>
    </w:p>
    <w:p w14:paraId="38BE7950" w14:textId="77777777" w:rsidR="00D155AA" w:rsidRPr="00655FC7" w:rsidRDefault="00D155AA" w:rsidP="00D155AA">
      <w:pPr>
        <w:rPr>
          <w:rFonts w:cstheme="minorHAnsi"/>
        </w:rPr>
      </w:pPr>
      <w:r w:rsidRPr="00655FC7">
        <w:rPr>
          <w:rFonts w:cstheme="minorHAnsi"/>
        </w:rPr>
        <w:t>Zgodnie z Ustawą z dnia 11 sierpnia 2021 r. o gatunkach obcych (Dz. U. 2022 r. poz. 2375) stwierdzenie obecności IGO w środowisku stwarzającego zagrożenie dla Unii Europejskiej lub Polski należy niezwłocznie zgłosić wójtowi, burmistrzowi albo prezydentowi miasta, właściwemu ze względu na miejsce stwierdzenia obecności tego IGO w środowisku. Sposób zgłaszania i postępowania ze zgłoszeniem opisany jest szczegółowo w Rozdziale 5 wspomnianej Ustawy o gatunkach obcych.</w:t>
      </w:r>
    </w:p>
    <w:p w14:paraId="7E40BA97" w14:textId="77777777" w:rsidR="00D155AA" w:rsidRPr="00655FC7" w:rsidRDefault="00D155AA" w:rsidP="00D155AA">
      <w:pPr>
        <w:rPr>
          <w:rFonts w:cstheme="minorHAnsi"/>
        </w:rPr>
      </w:pPr>
    </w:p>
    <w:p w14:paraId="14432C78" w14:textId="77777777" w:rsidR="00D155AA" w:rsidRPr="00655FC7" w:rsidRDefault="00D155AA" w:rsidP="00D155AA">
      <w:pPr>
        <w:pStyle w:val="Nagwek3"/>
      </w:pPr>
      <w:bookmarkStart w:id="156" w:name="_Toc177732059"/>
      <w:r w:rsidRPr="00655FC7">
        <w:t>Rolnictwo i uprawy</w:t>
      </w:r>
      <w:bookmarkEnd w:id="156"/>
    </w:p>
    <w:p w14:paraId="700DA393" w14:textId="358AE83A" w:rsidR="008F2B93" w:rsidRDefault="00D155AA" w:rsidP="00D155AA">
      <w:pPr>
        <w:rPr>
          <w:rFonts w:cstheme="minorHAnsi"/>
          <w:lang w:eastAsia="pl-PL"/>
        </w:rPr>
      </w:pPr>
      <w:r w:rsidRPr="00655FC7">
        <w:rPr>
          <w:rFonts w:cstheme="minorHAnsi"/>
          <w:lang w:eastAsia="pl-PL"/>
        </w:rPr>
        <w:t>Zgodnie z danymi Starostwa Powiatowego w Biłgoraju, na terenie Miasta Tarnogród znajduje się łącznie 924 ha użytków rolnych, z</w:t>
      </w:r>
      <w:r w:rsidR="00BB3923" w:rsidRPr="00655FC7">
        <w:rPr>
          <w:rFonts w:cstheme="minorHAnsi"/>
          <w:lang w:eastAsia="pl-PL"/>
        </w:rPr>
        <w:t xml:space="preserve"> </w:t>
      </w:r>
      <w:r w:rsidRPr="00655FC7">
        <w:rPr>
          <w:rFonts w:cstheme="minorHAnsi"/>
          <w:lang w:eastAsia="pl-PL"/>
        </w:rPr>
        <w:t xml:space="preserve">czego 615 ha to grunty orne (tabela poniżej). </w:t>
      </w:r>
    </w:p>
    <w:p w14:paraId="2CFBCC78" w14:textId="77777777" w:rsidR="008F2B93" w:rsidRDefault="008F2B93">
      <w:pPr>
        <w:spacing w:after="200"/>
        <w:ind w:firstLine="0"/>
        <w:jc w:val="left"/>
        <w:rPr>
          <w:rFonts w:cstheme="minorHAnsi"/>
          <w:lang w:eastAsia="pl-PL"/>
        </w:rPr>
      </w:pPr>
      <w:r>
        <w:rPr>
          <w:rFonts w:cstheme="minorHAnsi"/>
          <w:lang w:eastAsia="pl-PL"/>
        </w:rPr>
        <w:br w:type="page"/>
      </w:r>
    </w:p>
    <w:p w14:paraId="50C8CB17" w14:textId="6DA8369F" w:rsidR="00D155AA" w:rsidRPr="00655FC7" w:rsidRDefault="00D155AA" w:rsidP="00D155AA">
      <w:pPr>
        <w:spacing w:line="240" w:lineRule="auto"/>
        <w:rPr>
          <w:rFonts w:eastAsiaTheme="minorEastAsia" w:cstheme="minorHAnsi"/>
          <w:b/>
          <w:bCs/>
          <w:color w:val="auto"/>
          <w:sz w:val="20"/>
          <w:szCs w:val="18"/>
          <w:lang w:eastAsia="pl-PL"/>
        </w:rPr>
      </w:pPr>
      <w:bookmarkStart w:id="157" w:name="_Toc178846325"/>
      <w:r w:rsidRPr="00655FC7">
        <w:rPr>
          <w:rFonts w:eastAsiaTheme="minorEastAsia" w:cstheme="minorHAnsi"/>
          <w:b/>
          <w:bCs/>
          <w:color w:val="auto"/>
          <w:sz w:val="20"/>
          <w:szCs w:val="18"/>
          <w:lang w:eastAsia="pl-PL"/>
        </w:rPr>
        <w:lastRenderedPageBreak/>
        <w:t xml:space="preserve">Tabela </w:t>
      </w:r>
      <w:r w:rsidR="00E833A9">
        <w:rPr>
          <w:rFonts w:eastAsiaTheme="minorEastAsia" w:cstheme="minorHAnsi"/>
          <w:b/>
          <w:bCs/>
          <w:color w:val="auto"/>
          <w:sz w:val="20"/>
          <w:szCs w:val="18"/>
          <w:lang w:eastAsia="pl-PL"/>
        </w:rPr>
        <w:fldChar w:fldCharType="begin"/>
      </w:r>
      <w:r w:rsidR="00E833A9">
        <w:rPr>
          <w:rFonts w:eastAsiaTheme="minorEastAsia" w:cstheme="minorHAnsi"/>
          <w:b/>
          <w:bCs/>
          <w:color w:val="auto"/>
          <w:sz w:val="20"/>
          <w:szCs w:val="18"/>
          <w:lang w:eastAsia="pl-PL"/>
        </w:rPr>
        <w:instrText xml:space="preserve"> SEQ Tabela \* ARABIC </w:instrText>
      </w:r>
      <w:r w:rsidR="00E833A9">
        <w:rPr>
          <w:rFonts w:eastAsiaTheme="minorEastAsia" w:cstheme="minorHAnsi"/>
          <w:b/>
          <w:bCs/>
          <w:color w:val="auto"/>
          <w:sz w:val="20"/>
          <w:szCs w:val="18"/>
          <w:lang w:eastAsia="pl-PL"/>
        </w:rPr>
        <w:fldChar w:fldCharType="separate"/>
      </w:r>
      <w:r w:rsidR="00A654D8">
        <w:rPr>
          <w:rFonts w:eastAsiaTheme="minorEastAsia" w:cstheme="minorHAnsi"/>
          <w:b/>
          <w:bCs/>
          <w:noProof/>
          <w:color w:val="auto"/>
          <w:sz w:val="20"/>
          <w:szCs w:val="18"/>
          <w:lang w:eastAsia="pl-PL"/>
        </w:rPr>
        <w:t>19</w:t>
      </w:r>
      <w:r w:rsidR="00E833A9">
        <w:rPr>
          <w:rFonts w:eastAsiaTheme="minorEastAsia" w:cstheme="minorHAnsi"/>
          <w:b/>
          <w:bCs/>
          <w:color w:val="auto"/>
          <w:sz w:val="20"/>
          <w:szCs w:val="18"/>
          <w:lang w:eastAsia="pl-PL"/>
        </w:rPr>
        <w:fldChar w:fldCharType="end"/>
      </w:r>
      <w:r w:rsidRPr="00655FC7">
        <w:rPr>
          <w:rFonts w:eastAsiaTheme="minorEastAsia" w:cstheme="minorHAnsi"/>
          <w:b/>
          <w:bCs/>
          <w:color w:val="auto"/>
          <w:sz w:val="20"/>
          <w:szCs w:val="18"/>
          <w:lang w:eastAsia="pl-PL"/>
        </w:rPr>
        <w:t>. Kierunki wykorzystania gruntów rolnych na terenie Miasta.</w:t>
      </w:r>
      <w:bookmarkEnd w:id="157"/>
    </w:p>
    <w:tbl>
      <w:tblPr>
        <w:tblStyle w:val="Tabela-Siatka"/>
        <w:tblW w:w="9072" w:type="dxa"/>
        <w:jc w:val="center"/>
        <w:tblLook w:val="04A0" w:firstRow="1" w:lastRow="0" w:firstColumn="1" w:lastColumn="0" w:noHBand="0" w:noVBand="1"/>
      </w:tblPr>
      <w:tblGrid>
        <w:gridCol w:w="3441"/>
        <w:gridCol w:w="1616"/>
        <w:gridCol w:w="1765"/>
        <w:gridCol w:w="831"/>
        <w:gridCol w:w="459"/>
        <w:gridCol w:w="960"/>
      </w:tblGrid>
      <w:tr w:rsidR="00D155AA" w:rsidRPr="00655FC7" w14:paraId="69A7FC4B" w14:textId="77777777" w:rsidTr="00BB3923">
        <w:trPr>
          <w:trHeight w:val="435"/>
          <w:jc w:val="center"/>
        </w:trPr>
        <w:tc>
          <w:tcPr>
            <w:tcW w:w="7653" w:type="dxa"/>
            <w:gridSpan w:val="4"/>
            <w:tcBorders>
              <w:bottom w:val="single" w:sz="4" w:space="0" w:color="auto"/>
              <w:right w:val="nil"/>
            </w:tcBorders>
            <w:shd w:val="clear" w:color="auto" w:fill="33440F" w:themeFill="text2" w:themeFillShade="BF"/>
            <w:vAlign w:val="center"/>
            <w:hideMark/>
          </w:tcPr>
          <w:p w14:paraId="42240E6B" w14:textId="77777777" w:rsidR="00D155AA" w:rsidRPr="00655FC7" w:rsidRDefault="00D155AA" w:rsidP="00827748">
            <w:pPr>
              <w:ind w:firstLine="0"/>
              <w:jc w:val="center"/>
              <w:rPr>
                <w:rFonts w:ascii="Calibri" w:hAnsi="Calibri" w:cs="Calibri"/>
                <w:b/>
                <w:bCs/>
                <w:color w:val="auto"/>
                <w:sz w:val="18"/>
                <w:szCs w:val="18"/>
                <w:lang w:eastAsia="pl-PL"/>
              </w:rPr>
            </w:pPr>
            <w:r w:rsidRPr="00655FC7">
              <w:rPr>
                <w:rFonts w:ascii="Calibri" w:hAnsi="Calibri" w:cs="Calibri"/>
                <w:b/>
                <w:bCs/>
                <w:color w:val="auto"/>
                <w:sz w:val="18"/>
                <w:szCs w:val="18"/>
                <w:lang w:eastAsia="pl-PL"/>
              </w:rPr>
              <w:t>Powierzchnia ogólna gruntów</w:t>
            </w:r>
          </w:p>
        </w:tc>
        <w:tc>
          <w:tcPr>
            <w:tcW w:w="459" w:type="dxa"/>
            <w:tcBorders>
              <w:left w:val="nil"/>
              <w:bottom w:val="single" w:sz="4" w:space="0" w:color="auto"/>
              <w:right w:val="nil"/>
            </w:tcBorders>
            <w:shd w:val="clear" w:color="auto" w:fill="33440F" w:themeFill="text2" w:themeFillShade="BF"/>
            <w:vAlign w:val="center"/>
            <w:hideMark/>
          </w:tcPr>
          <w:p w14:paraId="7C49E946"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b/>
                <w:bCs/>
                <w:color w:val="auto"/>
                <w:sz w:val="18"/>
                <w:szCs w:val="18"/>
                <w:lang w:eastAsia="pl-PL"/>
              </w:rPr>
              <w:t>ha</w:t>
            </w:r>
          </w:p>
        </w:tc>
        <w:tc>
          <w:tcPr>
            <w:tcW w:w="960" w:type="dxa"/>
            <w:tcBorders>
              <w:left w:val="nil"/>
              <w:bottom w:val="single" w:sz="4" w:space="0" w:color="auto"/>
            </w:tcBorders>
            <w:shd w:val="clear" w:color="auto" w:fill="33440F" w:themeFill="text2" w:themeFillShade="BF"/>
            <w:noWrap/>
            <w:vAlign w:val="center"/>
            <w:hideMark/>
          </w:tcPr>
          <w:p w14:paraId="3A870A6E" w14:textId="77777777" w:rsidR="00D155AA" w:rsidRPr="00655FC7" w:rsidRDefault="00D155AA" w:rsidP="00827748">
            <w:pPr>
              <w:ind w:firstLine="0"/>
              <w:jc w:val="center"/>
              <w:rPr>
                <w:rFonts w:ascii="Calibri" w:hAnsi="Calibri" w:cs="Calibri"/>
                <w:b/>
                <w:bCs/>
                <w:color w:val="auto"/>
                <w:sz w:val="18"/>
                <w:szCs w:val="18"/>
                <w:lang w:eastAsia="pl-PL"/>
              </w:rPr>
            </w:pPr>
            <w:r w:rsidRPr="00655FC7">
              <w:rPr>
                <w:rFonts w:ascii="Calibri" w:hAnsi="Calibri" w:cs="Calibri"/>
                <w:b/>
                <w:bCs/>
                <w:color w:val="auto"/>
                <w:sz w:val="18"/>
                <w:szCs w:val="18"/>
                <w:lang w:eastAsia="pl-PL"/>
              </w:rPr>
              <w:t>1069</w:t>
            </w:r>
          </w:p>
        </w:tc>
      </w:tr>
      <w:tr w:rsidR="00D155AA" w:rsidRPr="00655FC7" w14:paraId="33FD22FA" w14:textId="77777777" w:rsidTr="00827748">
        <w:trPr>
          <w:trHeight w:val="283"/>
          <w:jc w:val="center"/>
        </w:trPr>
        <w:tc>
          <w:tcPr>
            <w:tcW w:w="3441" w:type="dxa"/>
            <w:vMerge w:val="restart"/>
            <w:tcBorders>
              <w:bottom w:val="single" w:sz="4" w:space="0" w:color="C3D69B" w:themeColor="accent6"/>
              <w:right w:val="single" w:sz="4" w:space="0" w:color="C3D69B" w:themeColor="accent6"/>
            </w:tcBorders>
            <w:shd w:val="clear" w:color="auto" w:fill="E6EED6" w:themeFill="accent6" w:themeFillTint="66"/>
            <w:vAlign w:val="center"/>
            <w:hideMark/>
          </w:tcPr>
          <w:p w14:paraId="6C86BD62" w14:textId="77777777" w:rsidR="00D155AA" w:rsidRPr="00655FC7" w:rsidRDefault="00D155AA" w:rsidP="00827748">
            <w:pPr>
              <w:ind w:firstLine="0"/>
              <w:jc w:val="center"/>
              <w:rPr>
                <w:rFonts w:ascii="Calibri" w:hAnsi="Calibri" w:cs="Calibri"/>
                <w:b/>
                <w:bCs/>
                <w:color w:val="auto"/>
                <w:sz w:val="18"/>
                <w:szCs w:val="18"/>
                <w:lang w:eastAsia="pl-PL"/>
              </w:rPr>
            </w:pPr>
            <w:r w:rsidRPr="00655FC7">
              <w:rPr>
                <w:rFonts w:ascii="Calibri" w:hAnsi="Calibri" w:cs="Calibri"/>
                <w:b/>
                <w:bCs/>
                <w:color w:val="auto"/>
                <w:sz w:val="18"/>
                <w:szCs w:val="18"/>
                <w:lang w:eastAsia="pl-PL"/>
              </w:rPr>
              <w:t>1. Grunty rolne</w:t>
            </w:r>
          </w:p>
        </w:tc>
        <w:tc>
          <w:tcPr>
            <w:tcW w:w="1616" w:type="dxa"/>
            <w:vMerge w:val="restart"/>
            <w:tcBorders>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081C4746"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Użytki rolne</w:t>
            </w:r>
          </w:p>
        </w:tc>
        <w:tc>
          <w:tcPr>
            <w:tcW w:w="1765" w:type="dxa"/>
            <w:tcBorders>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3FE706D8"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grunty orne</w:t>
            </w:r>
          </w:p>
        </w:tc>
        <w:tc>
          <w:tcPr>
            <w:tcW w:w="831" w:type="dxa"/>
            <w:tcBorders>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1CFE7213"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R</w:t>
            </w:r>
          </w:p>
        </w:tc>
        <w:tc>
          <w:tcPr>
            <w:tcW w:w="459" w:type="dxa"/>
            <w:vMerge w:val="restart"/>
            <w:tcBorders>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686B0211"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ha</w:t>
            </w:r>
          </w:p>
        </w:tc>
        <w:tc>
          <w:tcPr>
            <w:tcW w:w="0" w:type="auto"/>
            <w:tcBorders>
              <w:left w:val="single" w:sz="4" w:space="0" w:color="C3D69B" w:themeColor="accent6"/>
              <w:bottom w:val="single" w:sz="4" w:space="0" w:color="C3D69B" w:themeColor="accent6"/>
            </w:tcBorders>
            <w:shd w:val="clear" w:color="auto" w:fill="E6EED6" w:themeFill="accent6" w:themeFillTint="66"/>
            <w:noWrap/>
            <w:vAlign w:val="center"/>
            <w:hideMark/>
          </w:tcPr>
          <w:p w14:paraId="6C3B24BC"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615</w:t>
            </w:r>
          </w:p>
        </w:tc>
      </w:tr>
      <w:tr w:rsidR="00D155AA" w:rsidRPr="00655FC7" w14:paraId="7992945B" w14:textId="77777777" w:rsidTr="00827748">
        <w:trPr>
          <w:trHeight w:val="283"/>
          <w:jc w:val="center"/>
        </w:trPr>
        <w:tc>
          <w:tcPr>
            <w:tcW w:w="0" w:type="auto"/>
            <w:vMerge/>
            <w:tcBorders>
              <w:top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1133B334" w14:textId="77777777" w:rsidR="00D155AA" w:rsidRPr="00655FC7" w:rsidRDefault="00D155AA" w:rsidP="00827748">
            <w:pPr>
              <w:ind w:firstLine="0"/>
              <w:jc w:val="center"/>
              <w:rPr>
                <w:rFonts w:ascii="Calibri" w:hAnsi="Calibri" w:cs="Calibri"/>
                <w:b/>
                <w:bCs/>
                <w:color w:val="auto"/>
                <w:sz w:val="18"/>
                <w:szCs w:val="18"/>
                <w:lang w:eastAsia="pl-PL"/>
              </w:rPr>
            </w:pP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076E9854" w14:textId="77777777" w:rsidR="00D155AA" w:rsidRPr="00655FC7" w:rsidRDefault="00D155AA" w:rsidP="00827748">
            <w:pPr>
              <w:ind w:firstLine="0"/>
              <w:jc w:val="center"/>
              <w:rPr>
                <w:rFonts w:ascii="Calibri" w:hAnsi="Calibri" w:cs="Calibri"/>
                <w:color w:val="auto"/>
                <w:sz w:val="18"/>
                <w:szCs w:val="18"/>
                <w:lang w:eastAsia="pl-PL"/>
              </w:rPr>
            </w:pPr>
          </w:p>
        </w:tc>
        <w:tc>
          <w:tcPr>
            <w:tcW w:w="1765"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38D6781A"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łąki trwałe</w:t>
            </w:r>
          </w:p>
        </w:tc>
        <w:tc>
          <w:tcPr>
            <w:tcW w:w="831"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16CA5005"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Ł</w:t>
            </w: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6A6C89BC" w14:textId="77777777" w:rsidR="00D155AA" w:rsidRPr="00655FC7" w:rsidRDefault="00D155AA" w:rsidP="00827748">
            <w:pPr>
              <w:ind w:firstLine="0"/>
              <w:jc w:val="center"/>
              <w:rPr>
                <w:rFonts w:ascii="Calibri" w:hAnsi="Calibri" w:cs="Calibri"/>
                <w:color w:val="auto"/>
                <w:sz w:val="18"/>
                <w:szCs w:val="18"/>
                <w:lang w:eastAsia="pl-PL"/>
              </w:rPr>
            </w:pPr>
          </w:p>
        </w:tc>
        <w:tc>
          <w:tcPr>
            <w:tcW w:w="0" w:type="auto"/>
            <w:tcBorders>
              <w:top w:val="single" w:sz="4" w:space="0" w:color="C3D69B" w:themeColor="accent6"/>
              <w:left w:val="single" w:sz="4" w:space="0" w:color="C3D69B" w:themeColor="accent6"/>
              <w:bottom w:val="single" w:sz="4" w:space="0" w:color="C3D69B" w:themeColor="accent6"/>
            </w:tcBorders>
            <w:shd w:val="clear" w:color="auto" w:fill="E6EED6" w:themeFill="accent6" w:themeFillTint="66"/>
            <w:noWrap/>
            <w:vAlign w:val="center"/>
            <w:hideMark/>
          </w:tcPr>
          <w:p w14:paraId="60ECDACB"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51</w:t>
            </w:r>
          </w:p>
        </w:tc>
      </w:tr>
      <w:tr w:rsidR="00D155AA" w:rsidRPr="00655FC7" w14:paraId="05C3CF7B" w14:textId="77777777" w:rsidTr="00827748">
        <w:trPr>
          <w:trHeight w:val="283"/>
          <w:jc w:val="center"/>
        </w:trPr>
        <w:tc>
          <w:tcPr>
            <w:tcW w:w="0" w:type="auto"/>
            <w:vMerge/>
            <w:tcBorders>
              <w:top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07525582" w14:textId="77777777" w:rsidR="00D155AA" w:rsidRPr="00655FC7" w:rsidRDefault="00D155AA" w:rsidP="00827748">
            <w:pPr>
              <w:ind w:firstLine="0"/>
              <w:jc w:val="center"/>
              <w:rPr>
                <w:rFonts w:ascii="Calibri" w:hAnsi="Calibri" w:cs="Calibri"/>
                <w:b/>
                <w:bCs/>
                <w:color w:val="auto"/>
                <w:sz w:val="18"/>
                <w:szCs w:val="18"/>
                <w:lang w:eastAsia="pl-PL"/>
              </w:rPr>
            </w:pP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7CA705CF" w14:textId="77777777" w:rsidR="00D155AA" w:rsidRPr="00655FC7" w:rsidRDefault="00D155AA" w:rsidP="00827748">
            <w:pPr>
              <w:ind w:firstLine="0"/>
              <w:jc w:val="center"/>
              <w:rPr>
                <w:rFonts w:ascii="Calibri" w:hAnsi="Calibri" w:cs="Calibri"/>
                <w:color w:val="auto"/>
                <w:sz w:val="18"/>
                <w:szCs w:val="18"/>
                <w:lang w:eastAsia="pl-PL"/>
              </w:rPr>
            </w:pPr>
          </w:p>
        </w:tc>
        <w:tc>
          <w:tcPr>
            <w:tcW w:w="1765"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2E96CF23"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pastwiska trwałe</w:t>
            </w:r>
          </w:p>
        </w:tc>
        <w:tc>
          <w:tcPr>
            <w:tcW w:w="831"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6A952BC8"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Ps</w:t>
            </w: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77BD8F17" w14:textId="77777777" w:rsidR="00D155AA" w:rsidRPr="00655FC7" w:rsidRDefault="00D155AA" w:rsidP="00827748">
            <w:pPr>
              <w:ind w:firstLine="0"/>
              <w:jc w:val="center"/>
              <w:rPr>
                <w:rFonts w:ascii="Calibri" w:hAnsi="Calibri" w:cs="Calibri"/>
                <w:color w:val="auto"/>
                <w:sz w:val="18"/>
                <w:szCs w:val="18"/>
                <w:lang w:eastAsia="pl-PL"/>
              </w:rPr>
            </w:pPr>
          </w:p>
        </w:tc>
        <w:tc>
          <w:tcPr>
            <w:tcW w:w="0" w:type="auto"/>
            <w:tcBorders>
              <w:top w:val="single" w:sz="4" w:space="0" w:color="C3D69B" w:themeColor="accent6"/>
              <w:left w:val="single" w:sz="4" w:space="0" w:color="C3D69B" w:themeColor="accent6"/>
              <w:bottom w:val="single" w:sz="4" w:space="0" w:color="C3D69B" w:themeColor="accent6"/>
            </w:tcBorders>
            <w:shd w:val="clear" w:color="auto" w:fill="E6EED6" w:themeFill="accent6" w:themeFillTint="66"/>
            <w:noWrap/>
            <w:vAlign w:val="center"/>
            <w:hideMark/>
          </w:tcPr>
          <w:p w14:paraId="3E2753BA"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131</w:t>
            </w:r>
          </w:p>
        </w:tc>
      </w:tr>
      <w:tr w:rsidR="00D155AA" w:rsidRPr="00655FC7" w14:paraId="7531BE49" w14:textId="77777777" w:rsidTr="00827748">
        <w:trPr>
          <w:trHeight w:val="283"/>
          <w:jc w:val="center"/>
        </w:trPr>
        <w:tc>
          <w:tcPr>
            <w:tcW w:w="0" w:type="auto"/>
            <w:vMerge/>
            <w:tcBorders>
              <w:top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43FB4B0B" w14:textId="77777777" w:rsidR="00D155AA" w:rsidRPr="00655FC7" w:rsidRDefault="00D155AA" w:rsidP="00827748">
            <w:pPr>
              <w:ind w:firstLine="0"/>
              <w:jc w:val="center"/>
              <w:rPr>
                <w:rFonts w:ascii="Calibri" w:hAnsi="Calibri" w:cs="Calibri"/>
                <w:b/>
                <w:bCs/>
                <w:color w:val="auto"/>
                <w:sz w:val="18"/>
                <w:szCs w:val="18"/>
                <w:lang w:eastAsia="pl-PL"/>
              </w:rPr>
            </w:pP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1A7AC907" w14:textId="77777777" w:rsidR="00D155AA" w:rsidRPr="00655FC7" w:rsidRDefault="00D155AA" w:rsidP="00827748">
            <w:pPr>
              <w:ind w:firstLine="0"/>
              <w:jc w:val="center"/>
              <w:rPr>
                <w:rFonts w:ascii="Calibri" w:hAnsi="Calibri" w:cs="Calibri"/>
                <w:color w:val="auto"/>
                <w:sz w:val="18"/>
                <w:szCs w:val="18"/>
                <w:lang w:eastAsia="pl-PL"/>
              </w:rPr>
            </w:pPr>
          </w:p>
        </w:tc>
        <w:tc>
          <w:tcPr>
            <w:tcW w:w="1765"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737ED7D3"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sady</w:t>
            </w:r>
          </w:p>
        </w:tc>
        <w:tc>
          <w:tcPr>
            <w:tcW w:w="831"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642AA207"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S</w:t>
            </w: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5296C16E" w14:textId="77777777" w:rsidR="00D155AA" w:rsidRPr="00655FC7" w:rsidRDefault="00D155AA" w:rsidP="00827748">
            <w:pPr>
              <w:ind w:firstLine="0"/>
              <w:jc w:val="center"/>
              <w:rPr>
                <w:rFonts w:ascii="Calibri" w:hAnsi="Calibri" w:cs="Calibri"/>
                <w:color w:val="auto"/>
                <w:sz w:val="18"/>
                <w:szCs w:val="18"/>
                <w:lang w:eastAsia="pl-PL"/>
              </w:rPr>
            </w:pPr>
          </w:p>
        </w:tc>
        <w:tc>
          <w:tcPr>
            <w:tcW w:w="0" w:type="auto"/>
            <w:tcBorders>
              <w:top w:val="single" w:sz="4" w:space="0" w:color="C3D69B" w:themeColor="accent6"/>
              <w:left w:val="single" w:sz="4" w:space="0" w:color="C3D69B" w:themeColor="accent6"/>
              <w:bottom w:val="single" w:sz="4" w:space="0" w:color="C3D69B" w:themeColor="accent6"/>
            </w:tcBorders>
            <w:shd w:val="clear" w:color="auto" w:fill="E6EED6" w:themeFill="accent6" w:themeFillTint="66"/>
            <w:noWrap/>
            <w:vAlign w:val="center"/>
            <w:hideMark/>
          </w:tcPr>
          <w:p w14:paraId="7C877F76"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4</w:t>
            </w:r>
          </w:p>
        </w:tc>
      </w:tr>
      <w:tr w:rsidR="00D155AA" w:rsidRPr="00655FC7" w14:paraId="23C90665" w14:textId="77777777" w:rsidTr="00827748">
        <w:trPr>
          <w:trHeight w:val="283"/>
          <w:jc w:val="center"/>
        </w:trPr>
        <w:tc>
          <w:tcPr>
            <w:tcW w:w="0" w:type="auto"/>
            <w:vMerge/>
            <w:tcBorders>
              <w:top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105DF06E" w14:textId="77777777" w:rsidR="00D155AA" w:rsidRPr="00655FC7" w:rsidRDefault="00D155AA" w:rsidP="00827748">
            <w:pPr>
              <w:ind w:firstLine="0"/>
              <w:jc w:val="center"/>
              <w:rPr>
                <w:rFonts w:ascii="Calibri" w:hAnsi="Calibri" w:cs="Calibri"/>
                <w:b/>
                <w:bCs/>
                <w:color w:val="auto"/>
                <w:sz w:val="18"/>
                <w:szCs w:val="18"/>
                <w:lang w:eastAsia="pl-PL"/>
              </w:rPr>
            </w:pP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7EDD73D0" w14:textId="77777777" w:rsidR="00D155AA" w:rsidRPr="00655FC7" w:rsidRDefault="00D155AA" w:rsidP="00827748">
            <w:pPr>
              <w:ind w:firstLine="0"/>
              <w:jc w:val="center"/>
              <w:rPr>
                <w:rFonts w:ascii="Calibri" w:hAnsi="Calibri" w:cs="Calibri"/>
                <w:color w:val="auto"/>
                <w:sz w:val="18"/>
                <w:szCs w:val="18"/>
                <w:lang w:eastAsia="pl-PL"/>
              </w:rPr>
            </w:pPr>
          </w:p>
        </w:tc>
        <w:tc>
          <w:tcPr>
            <w:tcW w:w="1765"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10B0FA30"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grunty rolne zabudowane</w:t>
            </w:r>
          </w:p>
        </w:tc>
        <w:tc>
          <w:tcPr>
            <w:tcW w:w="831"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707AAE38"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Br</w:t>
            </w: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2D7A8FAF" w14:textId="77777777" w:rsidR="00D155AA" w:rsidRPr="00655FC7" w:rsidRDefault="00D155AA" w:rsidP="00827748">
            <w:pPr>
              <w:ind w:firstLine="0"/>
              <w:jc w:val="center"/>
              <w:rPr>
                <w:rFonts w:ascii="Calibri" w:hAnsi="Calibri" w:cs="Calibri"/>
                <w:color w:val="auto"/>
                <w:sz w:val="18"/>
                <w:szCs w:val="18"/>
                <w:lang w:eastAsia="pl-PL"/>
              </w:rPr>
            </w:pPr>
          </w:p>
        </w:tc>
        <w:tc>
          <w:tcPr>
            <w:tcW w:w="0" w:type="auto"/>
            <w:tcBorders>
              <w:top w:val="single" w:sz="4" w:space="0" w:color="C3D69B" w:themeColor="accent6"/>
              <w:left w:val="single" w:sz="4" w:space="0" w:color="C3D69B" w:themeColor="accent6"/>
              <w:bottom w:val="single" w:sz="4" w:space="0" w:color="C3D69B" w:themeColor="accent6"/>
            </w:tcBorders>
            <w:shd w:val="clear" w:color="auto" w:fill="E6EED6" w:themeFill="accent6" w:themeFillTint="66"/>
            <w:noWrap/>
            <w:vAlign w:val="center"/>
            <w:hideMark/>
          </w:tcPr>
          <w:p w14:paraId="51E6F16F"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76</w:t>
            </w:r>
          </w:p>
        </w:tc>
      </w:tr>
      <w:tr w:rsidR="00D155AA" w:rsidRPr="00655FC7" w14:paraId="4900C591" w14:textId="77777777" w:rsidTr="00827748">
        <w:trPr>
          <w:trHeight w:val="283"/>
          <w:jc w:val="center"/>
        </w:trPr>
        <w:tc>
          <w:tcPr>
            <w:tcW w:w="0" w:type="auto"/>
            <w:vMerge/>
            <w:tcBorders>
              <w:top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720706B6" w14:textId="77777777" w:rsidR="00D155AA" w:rsidRPr="00655FC7" w:rsidRDefault="00D155AA" w:rsidP="00827748">
            <w:pPr>
              <w:ind w:firstLine="0"/>
              <w:jc w:val="center"/>
              <w:rPr>
                <w:rFonts w:ascii="Calibri" w:hAnsi="Calibri" w:cs="Calibri"/>
                <w:b/>
                <w:bCs/>
                <w:color w:val="auto"/>
                <w:sz w:val="18"/>
                <w:szCs w:val="18"/>
                <w:lang w:eastAsia="pl-PL"/>
              </w:rPr>
            </w:pP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129972E6" w14:textId="77777777" w:rsidR="00D155AA" w:rsidRPr="00655FC7" w:rsidRDefault="00D155AA" w:rsidP="00827748">
            <w:pPr>
              <w:ind w:firstLine="0"/>
              <w:jc w:val="center"/>
              <w:rPr>
                <w:rFonts w:ascii="Calibri" w:hAnsi="Calibri" w:cs="Calibri"/>
                <w:color w:val="auto"/>
                <w:sz w:val="18"/>
                <w:szCs w:val="18"/>
                <w:lang w:eastAsia="pl-PL"/>
              </w:rPr>
            </w:pPr>
          </w:p>
        </w:tc>
        <w:tc>
          <w:tcPr>
            <w:tcW w:w="1765"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23D9A1EC"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grunty zadrzewione i zakrzewione na użytkach rolnych</w:t>
            </w:r>
          </w:p>
        </w:tc>
        <w:tc>
          <w:tcPr>
            <w:tcW w:w="831"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6F258F55"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Lzr</w:t>
            </w: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0EF89D5A" w14:textId="77777777" w:rsidR="00D155AA" w:rsidRPr="00655FC7" w:rsidRDefault="00D155AA" w:rsidP="00827748">
            <w:pPr>
              <w:ind w:firstLine="0"/>
              <w:jc w:val="center"/>
              <w:rPr>
                <w:rFonts w:ascii="Calibri" w:hAnsi="Calibri" w:cs="Calibri"/>
                <w:color w:val="auto"/>
                <w:sz w:val="18"/>
                <w:szCs w:val="18"/>
                <w:lang w:eastAsia="pl-PL"/>
              </w:rPr>
            </w:pPr>
          </w:p>
        </w:tc>
        <w:tc>
          <w:tcPr>
            <w:tcW w:w="0" w:type="auto"/>
            <w:tcBorders>
              <w:top w:val="single" w:sz="4" w:space="0" w:color="C3D69B" w:themeColor="accent6"/>
              <w:left w:val="single" w:sz="4" w:space="0" w:color="C3D69B" w:themeColor="accent6"/>
              <w:bottom w:val="single" w:sz="4" w:space="0" w:color="C3D69B" w:themeColor="accent6"/>
            </w:tcBorders>
            <w:shd w:val="clear" w:color="auto" w:fill="E6EED6" w:themeFill="accent6" w:themeFillTint="66"/>
            <w:noWrap/>
            <w:vAlign w:val="center"/>
            <w:hideMark/>
          </w:tcPr>
          <w:p w14:paraId="72B947B4"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37</w:t>
            </w:r>
          </w:p>
        </w:tc>
      </w:tr>
      <w:tr w:rsidR="00D155AA" w:rsidRPr="00655FC7" w14:paraId="0AC34E15" w14:textId="77777777" w:rsidTr="00827748">
        <w:trPr>
          <w:trHeight w:val="283"/>
          <w:jc w:val="center"/>
        </w:trPr>
        <w:tc>
          <w:tcPr>
            <w:tcW w:w="0" w:type="auto"/>
            <w:vMerge/>
            <w:tcBorders>
              <w:top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3DA82B36" w14:textId="77777777" w:rsidR="00D155AA" w:rsidRPr="00655FC7" w:rsidRDefault="00D155AA" w:rsidP="00827748">
            <w:pPr>
              <w:ind w:firstLine="0"/>
              <w:jc w:val="center"/>
              <w:rPr>
                <w:rFonts w:ascii="Calibri" w:hAnsi="Calibri" w:cs="Calibri"/>
                <w:b/>
                <w:bCs/>
                <w:color w:val="auto"/>
                <w:sz w:val="18"/>
                <w:szCs w:val="18"/>
                <w:lang w:eastAsia="pl-PL"/>
              </w:rPr>
            </w:pP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778E80CB" w14:textId="77777777" w:rsidR="00D155AA" w:rsidRPr="00655FC7" w:rsidRDefault="00D155AA" w:rsidP="00827748">
            <w:pPr>
              <w:ind w:firstLine="0"/>
              <w:jc w:val="center"/>
              <w:rPr>
                <w:rFonts w:ascii="Calibri" w:hAnsi="Calibri" w:cs="Calibri"/>
                <w:color w:val="auto"/>
                <w:sz w:val="18"/>
                <w:szCs w:val="18"/>
                <w:lang w:eastAsia="pl-PL"/>
              </w:rPr>
            </w:pPr>
          </w:p>
        </w:tc>
        <w:tc>
          <w:tcPr>
            <w:tcW w:w="1765"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30EFE535"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grunty pod stawami</w:t>
            </w:r>
          </w:p>
        </w:tc>
        <w:tc>
          <w:tcPr>
            <w:tcW w:w="831"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7E38E6A9"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Wsr</w:t>
            </w: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67F5DB60" w14:textId="77777777" w:rsidR="00D155AA" w:rsidRPr="00655FC7" w:rsidRDefault="00D155AA" w:rsidP="00827748">
            <w:pPr>
              <w:ind w:firstLine="0"/>
              <w:jc w:val="center"/>
              <w:rPr>
                <w:rFonts w:ascii="Calibri" w:hAnsi="Calibri" w:cs="Calibri"/>
                <w:color w:val="auto"/>
                <w:sz w:val="18"/>
                <w:szCs w:val="18"/>
                <w:lang w:eastAsia="pl-PL"/>
              </w:rPr>
            </w:pPr>
          </w:p>
        </w:tc>
        <w:tc>
          <w:tcPr>
            <w:tcW w:w="0" w:type="auto"/>
            <w:tcBorders>
              <w:top w:val="single" w:sz="4" w:space="0" w:color="C3D69B" w:themeColor="accent6"/>
              <w:left w:val="single" w:sz="4" w:space="0" w:color="C3D69B" w:themeColor="accent6"/>
              <w:bottom w:val="single" w:sz="4" w:space="0" w:color="C3D69B" w:themeColor="accent6"/>
            </w:tcBorders>
            <w:shd w:val="clear" w:color="auto" w:fill="E6EED6" w:themeFill="accent6" w:themeFillTint="66"/>
            <w:noWrap/>
            <w:vAlign w:val="center"/>
            <w:hideMark/>
          </w:tcPr>
          <w:p w14:paraId="5DEDE6FD"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4</w:t>
            </w:r>
          </w:p>
        </w:tc>
      </w:tr>
      <w:tr w:rsidR="00D155AA" w:rsidRPr="00655FC7" w14:paraId="474EEB1A" w14:textId="77777777" w:rsidTr="00827748">
        <w:trPr>
          <w:trHeight w:val="283"/>
          <w:jc w:val="center"/>
        </w:trPr>
        <w:tc>
          <w:tcPr>
            <w:tcW w:w="0" w:type="auto"/>
            <w:vMerge/>
            <w:tcBorders>
              <w:top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01972AC3" w14:textId="77777777" w:rsidR="00D155AA" w:rsidRPr="00655FC7" w:rsidRDefault="00D155AA" w:rsidP="00827748">
            <w:pPr>
              <w:ind w:firstLine="0"/>
              <w:jc w:val="center"/>
              <w:rPr>
                <w:rFonts w:ascii="Calibri" w:hAnsi="Calibri" w:cs="Calibri"/>
                <w:b/>
                <w:bCs/>
                <w:color w:val="auto"/>
                <w:sz w:val="18"/>
                <w:szCs w:val="18"/>
                <w:lang w:eastAsia="pl-PL"/>
              </w:rPr>
            </w:pP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1F5037FC" w14:textId="77777777" w:rsidR="00D155AA" w:rsidRPr="00655FC7" w:rsidRDefault="00D155AA" w:rsidP="00827748">
            <w:pPr>
              <w:ind w:firstLine="0"/>
              <w:jc w:val="center"/>
              <w:rPr>
                <w:rFonts w:ascii="Calibri" w:hAnsi="Calibri" w:cs="Calibri"/>
                <w:color w:val="auto"/>
                <w:sz w:val="18"/>
                <w:szCs w:val="18"/>
                <w:lang w:eastAsia="pl-PL"/>
              </w:rPr>
            </w:pPr>
          </w:p>
        </w:tc>
        <w:tc>
          <w:tcPr>
            <w:tcW w:w="1765"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63807A6A"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grunty pod rowami</w:t>
            </w:r>
          </w:p>
        </w:tc>
        <w:tc>
          <w:tcPr>
            <w:tcW w:w="831"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52E51EDE"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W</w:t>
            </w: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3ADE1173" w14:textId="77777777" w:rsidR="00D155AA" w:rsidRPr="00655FC7" w:rsidRDefault="00D155AA" w:rsidP="00827748">
            <w:pPr>
              <w:ind w:firstLine="0"/>
              <w:jc w:val="center"/>
              <w:rPr>
                <w:rFonts w:ascii="Calibri" w:hAnsi="Calibri" w:cs="Calibri"/>
                <w:color w:val="auto"/>
                <w:sz w:val="18"/>
                <w:szCs w:val="18"/>
                <w:lang w:eastAsia="pl-PL"/>
              </w:rPr>
            </w:pPr>
          </w:p>
        </w:tc>
        <w:tc>
          <w:tcPr>
            <w:tcW w:w="0" w:type="auto"/>
            <w:tcBorders>
              <w:top w:val="single" w:sz="4" w:space="0" w:color="C3D69B" w:themeColor="accent6"/>
              <w:left w:val="single" w:sz="4" w:space="0" w:color="C3D69B" w:themeColor="accent6"/>
              <w:bottom w:val="single" w:sz="4" w:space="0" w:color="C3D69B" w:themeColor="accent6"/>
            </w:tcBorders>
            <w:shd w:val="clear" w:color="auto" w:fill="E6EED6" w:themeFill="accent6" w:themeFillTint="66"/>
            <w:noWrap/>
            <w:vAlign w:val="center"/>
            <w:hideMark/>
          </w:tcPr>
          <w:p w14:paraId="74504AB5"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3</w:t>
            </w:r>
          </w:p>
        </w:tc>
      </w:tr>
      <w:tr w:rsidR="00D155AA" w:rsidRPr="00655FC7" w14:paraId="017DDFF4" w14:textId="77777777" w:rsidTr="00827748">
        <w:trPr>
          <w:trHeight w:val="283"/>
          <w:jc w:val="center"/>
        </w:trPr>
        <w:tc>
          <w:tcPr>
            <w:tcW w:w="0" w:type="auto"/>
            <w:vMerge/>
            <w:tcBorders>
              <w:top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399E2D45" w14:textId="77777777" w:rsidR="00D155AA" w:rsidRPr="00655FC7" w:rsidRDefault="00D155AA" w:rsidP="00827748">
            <w:pPr>
              <w:ind w:firstLine="0"/>
              <w:jc w:val="center"/>
              <w:rPr>
                <w:rFonts w:ascii="Calibri" w:hAnsi="Calibri" w:cs="Calibri"/>
                <w:b/>
                <w:bCs/>
                <w:color w:val="auto"/>
                <w:sz w:val="18"/>
                <w:szCs w:val="18"/>
                <w:lang w:eastAsia="pl-PL"/>
              </w:rPr>
            </w:pPr>
          </w:p>
        </w:tc>
        <w:tc>
          <w:tcPr>
            <w:tcW w:w="3381" w:type="dxa"/>
            <w:gridSpan w:val="2"/>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043B8E55"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Nieużytki</w:t>
            </w:r>
          </w:p>
        </w:tc>
        <w:tc>
          <w:tcPr>
            <w:tcW w:w="831"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7BCFF352"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N</w:t>
            </w: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73B68394" w14:textId="77777777" w:rsidR="00D155AA" w:rsidRPr="00655FC7" w:rsidRDefault="00D155AA" w:rsidP="00827748">
            <w:pPr>
              <w:ind w:firstLine="0"/>
              <w:jc w:val="center"/>
              <w:rPr>
                <w:rFonts w:ascii="Calibri" w:hAnsi="Calibri" w:cs="Calibri"/>
                <w:color w:val="auto"/>
                <w:sz w:val="18"/>
                <w:szCs w:val="18"/>
                <w:lang w:eastAsia="pl-PL"/>
              </w:rPr>
            </w:pPr>
          </w:p>
        </w:tc>
        <w:tc>
          <w:tcPr>
            <w:tcW w:w="0" w:type="auto"/>
            <w:tcBorders>
              <w:top w:val="single" w:sz="4" w:space="0" w:color="C3D69B" w:themeColor="accent6"/>
              <w:left w:val="single" w:sz="4" w:space="0" w:color="C3D69B" w:themeColor="accent6"/>
              <w:bottom w:val="single" w:sz="4" w:space="0" w:color="C3D69B" w:themeColor="accent6"/>
            </w:tcBorders>
            <w:shd w:val="clear" w:color="auto" w:fill="E6EED6" w:themeFill="accent6" w:themeFillTint="66"/>
            <w:noWrap/>
            <w:vAlign w:val="center"/>
            <w:hideMark/>
          </w:tcPr>
          <w:p w14:paraId="3BE2A918"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3</w:t>
            </w:r>
          </w:p>
        </w:tc>
      </w:tr>
      <w:tr w:rsidR="00D155AA" w:rsidRPr="00655FC7" w14:paraId="533C4589" w14:textId="77777777" w:rsidTr="00827748">
        <w:trPr>
          <w:trHeight w:val="283"/>
          <w:jc w:val="center"/>
        </w:trPr>
        <w:tc>
          <w:tcPr>
            <w:tcW w:w="0" w:type="auto"/>
            <w:vMerge/>
            <w:tcBorders>
              <w:top w:val="single" w:sz="4" w:space="0" w:color="C3D69B" w:themeColor="accent6"/>
              <w:bottom w:val="single" w:sz="4" w:space="0" w:color="auto"/>
              <w:right w:val="single" w:sz="4" w:space="0" w:color="C3D69B" w:themeColor="accent6"/>
            </w:tcBorders>
            <w:shd w:val="clear" w:color="auto" w:fill="E6EED6" w:themeFill="accent6" w:themeFillTint="66"/>
            <w:vAlign w:val="center"/>
            <w:hideMark/>
          </w:tcPr>
          <w:p w14:paraId="55054C23" w14:textId="77777777" w:rsidR="00D155AA" w:rsidRPr="00655FC7" w:rsidRDefault="00D155AA" w:rsidP="00827748">
            <w:pPr>
              <w:ind w:firstLine="0"/>
              <w:jc w:val="center"/>
              <w:rPr>
                <w:rFonts w:ascii="Calibri" w:hAnsi="Calibri" w:cs="Calibri"/>
                <w:b/>
                <w:bCs/>
                <w:color w:val="auto"/>
                <w:sz w:val="18"/>
                <w:szCs w:val="18"/>
                <w:lang w:eastAsia="pl-PL"/>
              </w:rPr>
            </w:pPr>
          </w:p>
        </w:tc>
        <w:tc>
          <w:tcPr>
            <w:tcW w:w="3381" w:type="dxa"/>
            <w:gridSpan w:val="2"/>
            <w:tcBorders>
              <w:top w:val="single" w:sz="4" w:space="0" w:color="C3D69B" w:themeColor="accent6"/>
              <w:left w:val="single" w:sz="4" w:space="0" w:color="C3D69B" w:themeColor="accent6"/>
              <w:bottom w:val="single" w:sz="4" w:space="0" w:color="auto"/>
              <w:right w:val="single" w:sz="4" w:space="0" w:color="C3D69B" w:themeColor="accent6"/>
            </w:tcBorders>
            <w:shd w:val="clear" w:color="auto" w:fill="E6EED6" w:themeFill="accent6" w:themeFillTint="66"/>
            <w:vAlign w:val="center"/>
            <w:hideMark/>
          </w:tcPr>
          <w:p w14:paraId="4746B2E8" w14:textId="77777777" w:rsidR="00D155AA" w:rsidRPr="00655FC7" w:rsidRDefault="00D155AA" w:rsidP="00827748">
            <w:pPr>
              <w:ind w:firstLine="0"/>
              <w:jc w:val="center"/>
              <w:rPr>
                <w:rFonts w:ascii="Calibri" w:hAnsi="Calibri" w:cs="Calibri"/>
                <w:b/>
                <w:bCs/>
                <w:color w:val="auto"/>
                <w:sz w:val="18"/>
                <w:szCs w:val="18"/>
                <w:lang w:eastAsia="pl-PL"/>
              </w:rPr>
            </w:pPr>
            <w:r w:rsidRPr="00655FC7">
              <w:rPr>
                <w:rFonts w:ascii="Calibri" w:hAnsi="Calibri" w:cs="Calibri"/>
                <w:b/>
                <w:bCs/>
                <w:color w:val="auto"/>
                <w:sz w:val="18"/>
                <w:szCs w:val="18"/>
                <w:lang w:eastAsia="pl-PL"/>
              </w:rPr>
              <w:t>Razem</w:t>
            </w:r>
          </w:p>
        </w:tc>
        <w:tc>
          <w:tcPr>
            <w:tcW w:w="831" w:type="dxa"/>
            <w:tcBorders>
              <w:top w:val="single" w:sz="4" w:space="0" w:color="C3D69B" w:themeColor="accent6"/>
              <w:left w:val="single" w:sz="4" w:space="0" w:color="C3D69B" w:themeColor="accent6"/>
              <w:bottom w:val="single" w:sz="4" w:space="0" w:color="auto"/>
              <w:right w:val="single" w:sz="4" w:space="0" w:color="C3D69B" w:themeColor="accent6"/>
            </w:tcBorders>
            <w:shd w:val="clear" w:color="auto" w:fill="E6EED6" w:themeFill="accent6" w:themeFillTint="66"/>
            <w:vAlign w:val="center"/>
            <w:hideMark/>
          </w:tcPr>
          <w:p w14:paraId="7E4A4B90" w14:textId="77777777" w:rsidR="00D155AA" w:rsidRPr="00655FC7" w:rsidRDefault="00D155AA" w:rsidP="00827748">
            <w:pPr>
              <w:ind w:firstLine="0"/>
              <w:jc w:val="center"/>
              <w:rPr>
                <w:rFonts w:ascii="Calibri" w:hAnsi="Calibri" w:cs="Calibri"/>
                <w:color w:val="auto"/>
                <w:sz w:val="18"/>
                <w:szCs w:val="18"/>
                <w:lang w:eastAsia="pl-PL"/>
              </w:rPr>
            </w:pPr>
          </w:p>
        </w:tc>
        <w:tc>
          <w:tcPr>
            <w:tcW w:w="459" w:type="dxa"/>
            <w:tcBorders>
              <w:top w:val="single" w:sz="4" w:space="0" w:color="C3D69B" w:themeColor="accent6"/>
              <w:left w:val="single" w:sz="4" w:space="0" w:color="C3D69B" w:themeColor="accent6"/>
              <w:bottom w:val="single" w:sz="4" w:space="0" w:color="auto"/>
              <w:right w:val="single" w:sz="4" w:space="0" w:color="C3D69B" w:themeColor="accent6"/>
            </w:tcBorders>
            <w:shd w:val="clear" w:color="auto" w:fill="E6EED6" w:themeFill="accent6" w:themeFillTint="66"/>
            <w:vAlign w:val="center"/>
            <w:hideMark/>
          </w:tcPr>
          <w:p w14:paraId="0341D8FD"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ha</w:t>
            </w:r>
          </w:p>
        </w:tc>
        <w:tc>
          <w:tcPr>
            <w:tcW w:w="0" w:type="auto"/>
            <w:tcBorders>
              <w:top w:val="single" w:sz="4" w:space="0" w:color="C3D69B" w:themeColor="accent6"/>
              <w:left w:val="single" w:sz="4" w:space="0" w:color="C3D69B" w:themeColor="accent6"/>
              <w:bottom w:val="single" w:sz="4" w:space="0" w:color="auto"/>
            </w:tcBorders>
            <w:shd w:val="clear" w:color="auto" w:fill="E6EED6" w:themeFill="accent6" w:themeFillTint="66"/>
            <w:noWrap/>
            <w:vAlign w:val="center"/>
            <w:hideMark/>
          </w:tcPr>
          <w:p w14:paraId="102E1730" w14:textId="77777777" w:rsidR="00D155AA" w:rsidRPr="00655FC7" w:rsidRDefault="00D155AA" w:rsidP="00827748">
            <w:pPr>
              <w:ind w:firstLine="0"/>
              <w:jc w:val="center"/>
              <w:rPr>
                <w:rFonts w:ascii="Calibri" w:hAnsi="Calibri" w:cs="Calibri"/>
                <w:b/>
                <w:bCs/>
                <w:color w:val="auto"/>
                <w:sz w:val="18"/>
                <w:szCs w:val="18"/>
                <w:lang w:eastAsia="pl-PL"/>
              </w:rPr>
            </w:pPr>
            <w:r w:rsidRPr="00655FC7">
              <w:rPr>
                <w:rFonts w:ascii="Calibri" w:hAnsi="Calibri" w:cs="Calibri"/>
                <w:b/>
                <w:bCs/>
                <w:color w:val="auto"/>
                <w:sz w:val="18"/>
                <w:szCs w:val="18"/>
                <w:lang w:eastAsia="pl-PL"/>
              </w:rPr>
              <w:t>924</w:t>
            </w:r>
          </w:p>
        </w:tc>
      </w:tr>
      <w:tr w:rsidR="00D155AA" w:rsidRPr="00655FC7" w14:paraId="4EEBEDF5" w14:textId="77777777" w:rsidTr="00827748">
        <w:trPr>
          <w:trHeight w:val="283"/>
          <w:jc w:val="center"/>
        </w:trPr>
        <w:tc>
          <w:tcPr>
            <w:tcW w:w="3441" w:type="dxa"/>
            <w:vMerge w:val="restart"/>
            <w:tcBorders>
              <w:bottom w:val="single" w:sz="4" w:space="0" w:color="E6EED6" w:themeColor="accent6" w:themeTint="66"/>
              <w:right w:val="single" w:sz="4" w:space="0" w:color="E6EED6" w:themeColor="accent6" w:themeTint="66"/>
            </w:tcBorders>
            <w:shd w:val="clear" w:color="auto" w:fill="C3D69B" w:themeFill="accent6"/>
            <w:vAlign w:val="center"/>
            <w:hideMark/>
          </w:tcPr>
          <w:p w14:paraId="4A4472FC" w14:textId="77777777" w:rsidR="00D155AA" w:rsidRPr="00655FC7" w:rsidRDefault="00D155AA" w:rsidP="00827748">
            <w:pPr>
              <w:ind w:firstLine="0"/>
              <w:jc w:val="center"/>
              <w:rPr>
                <w:rFonts w:ascii="Calibri" w:hAnsi="Calibri" w:cs="Calibri"/>
                <w:b/>
                <w:bCs/>
                <w:color w:val="auto"/>
                <w:sz w:val="18"/>
                <w:szCs w:val="18"/>
                <w:lang w:eastAsia="pl-PL"/>
              </w:rPr>
            </w:pPr>
            <w:r w:rsidRPr="00655FC7">
              <w:rPr>
                <w:rFonts w:ascii="Calibri" w:hAnsi="Calibri" w:cs="Calibri"/>
                <w:b/>
                <w:bCs/>
                <w:color w:val="auto"/>
                <w:sz w:val="18"/>
                <w:szCs w:val="18"/>
                <w:lang w:eastAsia="pl-PL"/>
              </w:rPr>
              <w:t>2. Grunty leśne oraz zadrzewione i zakrzewione</w:t>
            </w:r>
          </w:p>
        </w:tc>
        <w:tc>
          <w:tcPr>
            <w:tcW w:w="3381" w:type="dxa"/>
            <w:gridSpan w:val="2"/>
            <w:tcBorders>
              <w:left w:val="single" w:sz="4" w:space="0" w:color="E6EED6" w:themeColor="accent6" w:themeTint="66"/>
              <w:bottom w:val="single" w:sz="4" w:space="0" w:color="E6EED6" w:themeColor="accent6" w:themeTint="66"/>
              <w:right w:val="single" w:sz="4" w:space="0" w:color="E6EED6" w:themeColor="accent6" w:themeTint="66"/>
            </w:tcBorders>
            <w:shd w:val="clear" w:color="auto" w:fill="C3D69B" w:themeFill="accent6"/>
            <w:vAlign w:val="center"/>
            <w:hideMark/>
          </w:tcPr>
          <w:p w14:paraId="3EFBFBB3"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lasy</w:t>
            </w:r>
          </w:p>
        </w:tc>
        <w:tc>
          <w:tcPr>
            <w:tcW w:w="831" w:type="dxa"/>
            <w:tcBorders>
              <w:left w:val="single" w:sz="4" w:space="0" w:color="E6EED6" w:themeColor="accent6" w:themeTint="66"/>
              <w:bottom w:val="single" w:sz="4" w:space="0" w:color="E6EED6" w:themeColor="accent6" w:themeTint="66"/>
              <w:right w:val="single" w:sz="4" w:space="0" w:color="E6EED6" w:themeColor="accent6" w:themeTint="66"/>
            </w:tcBorders>
            <w:shd w:val="clear" w:color="auto" w:fill="C3D69B" w:themeFill="accent6"/>
            <w:vAlign w:val="center"/>
            <w:hideMark/>
          </w:tcPr>
          <w:p w14:paraId="63F3C6CF"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Ls</w:t>
            </w:r>
          </w:p>
        </w:tc>
        <w:tc>
          <w:tcPr>
            <w:tcW w:w="459" w:type="dxa"/>
            <w:vMerge w:val="restart"/>
            <w:tcBorders>
              <w:left w:val="single" w:sz="4" w:space="0" w:color="E6EED6" w:themeColor="accent6" w:themeTint="66"/>
              <w:bottom w:val="single" w:sz="4" w:space="0" w:color="E6EED6" w:themeColor="accent6" w:themeTint="66"/>
              <w:right w:val="single" w:sz="4" w:space="0" w:color="E6EED6" w:themeColor="accent6" w:themeTint="66"/>
            </w:tcBorders>
            <w:shd w:val="clear" w:color="auto" w:fill="C3D69B" w:themeFill="accent6"/>
            <w:vAlign w:val="center"/>
            <w:hideMark/>
          </w:tcPr>
          <w:p w14:paraId="1A1EE9AA"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ha</w:t>
            </w:r>
          </w:p>
        </w:tc>
        <w:tc>
          <w:tcPr>
            <w:tcW w:w="0" w:type="auto"/>
            <w:tcBorders>
              <w:left w:val="single" w:sz="4" w:space="0" w:color="E6EED6" w:themeColor="accent6" w:themeTint="66"/>
              <w:bottom w:val="single" w:sz="4" w:space="0" w:color="E6EED6" w:themeColor="accent6" w:themeTint="66"/>
            </w:tcBorders>
            <w:shd w:val="clear" w:color="auto" w:fill="C3D69B" w:themeFill="accent6"/>
            <w:noWrap/>
            <w:vAlign w:val="center"/>
            <w:hideMark/>
          </w:tcPr>
          <w:p w14:paraId="2EF6D8E7"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1</w:t>
            </w:r>
          </w:p>
        </w:tc>
      </w:tr>
      <w:tr w:rsidR="00D155AA" w:rsidRPr="00655FC7" w14:paraId="31830E7C" w14:textId="77777777" w:rsidTr="00827748">
        <w:trPr>
          <w:trHeight w:val="283"/>
          <w:jc w:val="center"/>
        </w:trPr>
        <w:tc>
          <w:tcPr>
            <w:tcW w:w="0" w:type="auto"/>
            <w:vMerge/>
            <w:tcBorders>
              <w:top w:val="single" w:sz="4" w:space="0" w:color="E6EED6" w:themeColor="accent6" w:themeTint="66"/>
              <w:bottom w:val="single" w:sz="4" w:space="0" w:color="E6EED6" w:themeColor="accent6" w:themeTint="66"/>
              <w:right w:val="single" w:sz="4" w:space="0" w:color="E6EED6" w:themeColor="accent6" w:themeTint="66"/>
            </w:tcBorders>
            <w:shd w:val="clear" w:color="auto" w:fill="C3D69B" w:themeFill="accent6"/>
            <w:vAlign w:val="center"/>
            <w:hideMark/>
          </w:tcPr>
          <w:p w14:paraId="4C14BA40" w14:textId="77777777" w:rsidR="00D155AA" w:rsidRPr="00655FC7" w:rsidRDefault="00D155AA" w:rsidP="00827748">
            <w:pPr>
              <w:ind w:firstLine="0"/>
              <w:jc w:val="center"/>
              <w:rPr>
                <w:rFonts w:ascii="Calibri" w:hAnsi="Calibri" w:cs="Calibri"/>
                <w:color w:val="auto"/>
                <w:sz w:val="18"/>
                <w:szCs w:val="18"/>
                <w:lang w:eastAsia="pl-PL"/>
              </w:rPr>
            </w:pPr>
          </w:p>
        </w:tc>
        <w:tc>
          <w:tcPr>
            <w:tcW w:w="3381" w:type="dxa"/>
            <w:gridSpan w:val="2"/>
            <w:tcBorders>
              <w:top w:val="single" w:sz="4" w:space="0" w:color="E6EED6" w:themeColor="accent6" w:themeTint="66"/>
              <w:left w:val="single" w:sz="4" w:space="0" w:color="E6EED6" w:themeColor="accent6" w:themeTint="66"/>
              <w:bottom w:val="single" w:sz="4" w:space="0" w:color="E6EED6" w:themeColor="accent6" w:themeTint="66"/>
              <w:right w:val="single" w:sz="4" w:space="0" w:color="E6EED6" w:themeColor="accent6" w:themeTint="66"/>
            </w:tcBorders>
            <w:shd w:val="clear" w:color="auto" w:fill="C3D69B" w:themeFill="accent6"/>
            <w:vAlign w:val="center"/>
            <w:hideMark/>
          </w:tcPr>
          <w:p w14:paraId="523A18D1"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grunty zadrzewione i zakrzewione</w:t>
            </w:r>
          </w:p>
        </w:tc>
        <w:tc>
          <w:tcPr>
            <w:tcW w:w="831" w:type="dxa"/>
            <w:tcBorders>
              <w:top w:val="single" w:sz="4" w:space="0" w:color="E6EED6" w:themeColor="accent6" w:themeTint="66"/>
              <w:left w:val="single" w:sz="4" w:space="0" w:color="E6EED6" w:themeColor="accent6" w:themeTint="66"/>
              <w:bottom w:val="single" w:sz="4" w:space="0" w:color="E6EED6" w:themeColor="accent6" w:themeTint="66"/>
              <w:right w:val="single" w:sz="4" w:space="0" w:color="E6EED6" w:themeColor="accent6" w:themeTint="66"/>
            </w:tcBorders>
            <w:shd w:val="clear" w:color="auto" w:fill="C3D69B" w:themeFill="accent6"/>
            <w:vAlign w:val="center"/>
            <w:hideMark/>
          </w:tcPr>
          <w:p w14:paraId="19D6F587"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Lz</w:t>
            </w:r>
          </w:p>
        </w:tc>
        <w:tc>
          <w:tcPr>
            <w:tcW w:w="0" w:type="auto"/>
            <w:vMerge/>
            <w:tcBorders>
              <w:top w:val="single" w:sz="4" w:space="0" w:color="E6EED6" w:themeColor="accent6" w:themeTint="66"/>
              <w:left w:val="single" w:sz="4" w:space="0" w:color="E6EED6" w:themeColor="accent6" w:themeTint="66"/>
              <w:bottom w:val="single" w:sz="4" w:space="0" w:color="E6EED6" w:themeColor="accent6" w:themeTint="66"/>
              <w:right w:val="single" w:sz="4" w:space="0" w:color="E6EED6" w:themeColor="accent6" w:themeTint="66"/>
            </w:tcBorders>
            <w:shd w:val="clear" w:color="auto" w:fill="C3D69B" w:themeFill="accent6"/>
            <w:vAlign w:val="center"/>
            <w:hideMark/>
          </w:tcPr>
          <w:p w14:paraId="6695E939" w14:textId="77777777" w:rsidR="00D155AA" w:rsidRPr="00655FC7" w:rsidRDefault="00D155AA" w:rsidP="00827748">
            <w:pPr>
              <w:ind w:firstLine="0"/>
              <w:jc w:val="center"/>
              <w:rPr>
                <w:rFonts w:ascii="Calibri" w:hAnsi="Calibri" w:cs="Calibri"/>
                <w:color w:val="auto"/>
                <w:sz w:val="18"/>
                <w:szCs w:val="18"/>
                <w:lang w:eastAsia="pl-PL"/>
              </w:rPr>
            </w:pPr>
          </w:p>
        </w:tc>
        <w:tc>
          <w:tcPr>
            <w:tcW w:w="0" w:type="auto"/>
            <w:tcBorders>
              <w:top w:val="single" w:sz="4" w:space="0" w:color="E6EED6" w:themeColor="accent6" w:themeTint="66"/>
              <w:left w:val="single" w:sz="4" w:space="0" w:color="E6EED6" w:themeColor="accent6" w:themeTint="66"/>
              <w:bottom w:val="single" w:sz="4" w:space="0" w:color="E6EED6" w:themeColor="accent6" w:themeTint="66"/>
            </w:tcBorders>
            <w:shd w:val="clear" w:color="auto" w:fill="C3D69B" w:themeFill="accent6"/>
            <w:noWrap/>
            <w:vAlign w:val="center"/>
            <w:hideMark/>
          </w:tcPr>
          <w:p w14:paraId="20211DDB"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0</w:t>
            </w:r>
          </w:p>
        </w:tc>
      </w:tr>
      <w:tr w:rsidR="00D155AA" w:rsidRPr="00655FC7" w14:paraId="5630380D" w14:textId="77777777" w:rsidTr="00827748">
        <w:trPr>
          <w:trHeight w:val="283"/>
          <w:jc w:val="center"/>
        </w:trPr>
        <w:tc>
          <w:tcPr>
            <w:tcW w:w="0" w:type="auto"/>
            <w:vMerge/>
            <w:tcBorders>
              <w:top w:val="single" w:sz="4" w:space="0" w:color="E6EED6" w:themeColor="accent6" w:themeTint="66"/>
              <w:bottom w:val="single" w:sz="4" w:space="0" w:color="E6EED6" w:themeColor="accent6" w:themeTint="66"/>
              <w:right w:val="single" w:sz="4" w:space="0" w:color="E6EED6" w:themeColor="accent6" w:themeTint="66"/>
            </w:tcBorders>
            <w:shd w:val="clear" w:color="auto" w:fill="C3D69B" w:themeFill="accent6"/>
            <w:vAlign w:val="center"/>
            <w:hideMark/>
          </w:tcPr>
          <w:p w14:paraId="0BCF802B" w14:textId="77777777" w:rsidR="00D155AA" w:rsidRPr="00655FC7" w:rsidRDefault="00D155AA" w:rsidP="00827748">
            <w:pPr>
              <w:ind w:firstLine="0"/>
              <w:jc w:val="center"/>
              <w:rPr>
                <w:rFonts w:ascii="Calibri" w:hAnsi="Calibri" w:cs="Calibri"/>
                <w:color w:val="auto"/>
                <w:sz w:val="18"/>
                <w:szCs w:val="18"/>
                <w:lang w:eastAsia="pl-PL"/>
              </w:rPr>
            </w:pPr>
          </w:p>
        </w:tc>
        <w:tc>
          <w:tcPr>
            <w:tcW w:w="3381" w:type="dxa"/>
            <w:gridSpan w:val="2"/>
            <w:tcBorders>
              <w:top w:val="single" w:sz="4" w:space="0" w:color="E6EED6" w:themeColor="accent6" w:themeTint="66"/>
              <w:left w:val="single" w:sz="4" w:space="0" w:color="E6EED6" w:themeColor="accent6" w:themeTint="66"/>
              <w:bottom w:val="single" w:sz="4" w:space="0" w:color="E6EED6" w:themeColor="accent6" w:themeTint="66"/>
              <w:right w:val="single" w:sz="4" w:space="0" w:color="E6EED6" w:themeColor="accent6" w:themeTint="66"/>
            </w:tcBorders>
            <w:shd w:val="clear" w:color="auto" w:fill="C3D69B" w:themeFill="accent6"/>
            <w:vAlign w:val="center"/>
            <w:hideMark/>
          </w:tcPr>
          <w:p w14:paraId="3274B249"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grunty pod rowami</w:t>
            </w:r>
          </w:p>
        </w:tc>
        <w:tc>
          <w:tcPr>
            <w:tcW w:w="831" w:type="dxa"/>
            <w:tcBorders>
              <w:top w:val="single" w:sz="4" w:space="0" w:color="E6EED6" w:themeColor="accent6" w:themeTint="66"/>
              <w:left w:val="single" w:sz="4" w:space="0" w:color="E6EED6" w:themeColor="accent6" w:themeTint="66"/>
              <w:bottom w:val="single" w:sz="4" w:space="0" w:color="E6EED6" w:themeColor="accent6" w:themeTint="66"/>
              <w:right w:val="single" w:sz="4" w:space="0" w:color="E6EED6" w:themeColor="accent6" w:themeTint="66"/>
            </w:tcBorders>
            <w:shd w:val="clear" w:color="auto" w:fill="C3D69B" w:themeFill="accent6"/>
            <w:vAlign w:val="center"/>
            <w:hideMark/>
          </w:tcPr>
          <w:p w14:paraId="41E86AFE"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W</w:t>
            </w:r>
          </w:p>
        </w:tc>
        <w:tc>
          <w:tcPr>
            <w:tcW w:w="0" w:type="auto"/>
            <w:vMerge/>
            <w:tcBorders>
              <w:top w:val="single" w:sz="4" w:space="0" w:color="E6EED6" w:themeColor="accent6" w:themeTint="66"/>
              <w:left w:val="single" w:sz="4" w:space="0" w:color="E6EED6" w:themeColor="accent6" w:themeTint="66"/>
              <w:bottom w:val="single" w:sz="4" w:space="0" w:color="E6EED6" w:themeColor="accent6" w:themeTint="66"/>
              <w:right w:val="single" w:sz="4" w:space="0" w:color="E6EED6" w:themeColor="accent6" w:themeTint="66"/>
            </w:tcBorders>
            <w:shd w:val="clear" w:color="auto" w:fill="C3D69B" w:themeFill="accent6"/>
            <w:vAlign w:val="center"/>
            <w:hideMark/>
          </w:tcPr>
          <w:p w14:paraId="0C5D6F43" w14:textId="77777777" w:rsidR="00D155AA" w:rsidRPr="00655FC7" w:rsidRDefault="00D155AA" w:rsidP="00827748">
            <w:pPr>
              <w:ind w:firstLine="0"/>
              <w:jc w:val="center"/>
              <w:rPr>
                <w:rFonts w:ascii="Calibri" w:hAnsi="Calibri" w:cs="Calibri"/>
                <w:color w:val="auto"/>
                <w:sz w:val="18"/>
                <w:szCs w:val="18"/>
                <w:lang w:eastAsia="pl-PL"/>
              </w:rPr>
            </w:pPr>
          </w:p>
        </w:tc>
        <w:tc>
          <w:tcPr>
            <w:tcW w:w="0" w:type="auto"/>
            <w:tcBorders>
              <w:top w:val="single" w:sz="4" w:space="0" w:color="E6EED6" w:themeColor="accent6" w:themeTint="66"/>
              <w:left w:val="single" w:sz="4" w:space="0" w:color="E6EED6" w:themeColor="accent6" w:themeTint="66"/>
              <w:bottom w:val="single" w:sz="4" w:space="0" w:color="E6EED6" w:themeColor="accent6" w:themeTint="66"/>
            </w:tcBorders>
            <w:shd w:val="clear" w:color="auto" w:fill="C3D69B" w:themeFill="accent6"/>
            <w:noWrap/>
            <w:vAlign w:val="center"/>
            <w:hideMark/>
          </w:tcPr>
          <w:p w14:paraId="778220C6"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0</w:t>
            </w:r>
          </w:p>
        </w:tc>
      </w:tr>
      <w:tr w:rsidR="00D155AA" w:rsidRPr="00655FC7" w14:paraId="68BD3113" w14:textId="77777777" w:rsidTr="00827748">
        <w:trPr>
          <w:trHeight w:val="283"/>
          <w:jc w:val="center"/>
        </w:trPr>
        <w:tc>
          <w:tcPr>
            <w:tcW w:w="0" w:type="auto"/>
            <w:vMerge/>
            <w:tcBorders>
              <w:top w:val="single" w:sz="4" w:space="0" w:color="E6EED6" w:themeColor="accent6" w:themeTint="66"/>
              <w:bottom w:val="single" w:sz="4" w:space="0" w:color="auto"/>
              <w:right w:val="single" w:sz="4" w:space="0" w:color="E6EED6" w:themeColor="accent6" w:themeTint="66"/>
            </w:tcBorders>
            <w:shd w:val="clear" w:color="auto" w:fill="C3D69B" w:themeFill="accent6"/>
            <w:vAlign w:val="center"/>
            <w:hideMark/>
          </w:tcPr>
          <w:p w14:paraId="12E328C3" w14:textId="77777777" w:rsidR="00D155AA" w:rsidRPr="00655FC7" w:rsidRDefault="00D155AA" w:rsidP="00827748">
            <w:pPr>
              <w:ind w:firstLine="0"/>
              <w:jc w:val="center"/>
              <w:rPr>
                <w:rFonts w:ascii="Calibri" w:hAnsi="Calibri" w:cs="Calibri"/>
                <w:color w:val="auto"/>
                <w:sz w:val="18"/>
                <w:szCs w:val="18"/>
                <w:lang w:eastAsia="pl-PL"/>
              </w:rPr>
            </w:pPr>
          </w:p>
        </w:tc>
        <w:tc>
          <w:tcPr>
            <w:tcW w:w="3381" w:type="dxa"/>
            <w:gridSpan w:val="2"/>
            <w:tcBorders>
              <w:top w:val="single" w:sz="4" w:space="0" w:color="E6EED6" w:themeColor="accent6" w:themeTint="66"/>
              <w:left w:val="single" w:sz="4" w:space="0" w:color="E6EED6" w:themeColor="accent6" w:themeTint="66"/>
              <w:bottom w:val="single" w:sz="4" w:space="0" w:color="auto"/>
              <w:right w:val="single" w:sz="4" w:space="0" w:color="E6EED6" w:themeColor="accent6" w:themeTint="66"/>
            </w:tcBorders>
            <w:shd w:val="clear" w:color="auto" w:fill="C3D69B" w:themeFill="accent6"/>
            <w:vAlign w:val="center"/>
            <w:hideMark/>
          </w:tcPr>
          <w:p w14:paraId="2F9F72BE" w14:textId="77777777" w:rsidR="00D155AA" w:rsidRPr="00655FC7" w:rsidRDefault="00D155AA" w:rsidP="00827748">
            <w:pPr>
              <w:ind w:firstLine="0"/>
              <w:jc w:val="center"/>
              <w:rPr>
                <w:rFonts w:ascii="Calibri" w:hAnsi="Calibri" w:cs="Calibri"/>
                <w:b/>
                <w:bCs/>
                <w:color w:val="auto"/>
                <w:sz w:val="18"/>
                <w:szCs w:val="18"/>
                <w:lang w:eastAsia="pl-PL"/>
              </w:rPr>
            </w:pPr>
            <w:r w:rsidRPr="00655FC7">
              <w:rPr>
                <w:rFonts w:ascii="Calibri" w:hAnsi="Calibri" w:cs="Calibri"/>
                <w:b/>
                <w:bCs/>
                <w:color w:val="auto"/>
                <w:sz w:val="18"/>
                <w:szCs w:val="18"/>
                <w:lang w:eastAsia="pl-PL"/>
              </w:rPr>
              <w:t>Razem</w:t>
            </w:r>
          </w:p>
        </w:tc>
        <w:tc>
          <w:tcPr>
            <w:tcW w:w="831" w:type="dxa"/>
            <w:tcBorders>
              <w:top w:val="single" w:sz="4" w:space="0" w:color="E6EED6" w:themeColor="accent6" w:themeTint="66"/>
              <w:left w:val="single" w:sz="4" w:space="0" w:color="E6EED6" w:themeColor="accent6" w:themeTint="66"/>
              <w:bottom w:val="single" w:sz="4" w:space="0" w:color="auto"/>
              <w:right w:val="single" w:sz="4" w:space="0" w:color="E6EED6" w:themeColor="accent6" w:themeTint="66"/>
            </w:tcBorders>
            <w:shd w:val="clear" w:color="auto" w:fill="C3D69B" w:themeFill="accent6"/>
            <w:vAlign w:val="center"/>
            <w:hideMark/>
          </w:tcPr>
          <w:p w14:paraId="1301BBD1" w14:textId="77777777" w:rsidR="00D155AA" w:rsidRPr="00655FC7" w:rsidRDefault="00D155AA" w:rsidP="00827748">
            <w:pPr>
              <w:ind w:firstLine="0"/>
              <w:jc w:val="center"/>
              <w:rPr>
                <w:rFonts w:ascii="Calibri" w:hAnsi="Calibri" w:cs="Calibri"/>
                <w:color w:val="auto"/>
                <w:sz w:val="18"/>
                <w:szCs w:val="18"/>
                <w:lang w:eastAsia="pl-PL"/>
              </w:rPr>
            </w:pPr>
          </w:p>
        </w:tc>
        <w:tc>
          <w:tcPr>
            <w:tcW w:w="459" w:type="dxa"/>
            <w:tcBorders>
              <w:top w:val="single" w:sz="4" w:space="0" w:color="E6EED6" w:themeColor="accent6" w:themeTint="66"/>
              <w:left w:val="single" w:sz="4" w:space="0" w:color="E6EED6" w:themeColor="accent6" w:themeTint="66"/>
              <w:bottom w:val="single" w:sz="4" w:space="0" w:color="auto"/>
              <w:right w:val="single" w:sz="4" w:space="0" w:color="E6EED6" w:themeColor="accent6" w:themeTint="66"/>
            </w:tcBorders>
            <w:shd w:val="clear" w:color="auto" w:fill="C3D69B" w:themeFill="accent6"/>
            <w:vAlign w:val="center"/>
            <w:hideMark/>
          </w:tcPr>
          <w:p w14:paraId="448EFDC5"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ha</w:t>
            </w:r>
          </w:p>
        </w:tc>
        <w:tc>
          <w:tcPr>
            <w:tcW w:w="0" w:type="auto"/>
            <w:tcBorders>
              <w:top w:val="single" w:sz="4" w:space="0" w:color="E6EED6" w:themeColor="accent6" w:themeTint="66"/>
              <w:left w:val="single" w:sz="4" w:space="0" w:color="E6EED6" w:themeColor="accent6" w:themeTint="66"/>
              <w:bottom w:val="single" w:sz="4" w:space="0" w:color="auto"/>
            </w:tcBorders>
            <w:shd w:val="clear" w:color="auto" w:fill="C3D69B" w:themeFill="accent6"/>
            <w:noWrap/>
            <w:vAlign w:val="center"/>
            <w:hideMark/>
          </w:tcPr>
          <w:p w14:paraId="3CAA34ED" w14:textId="77777777" w:rsidR="00D155AA" w:rsidRPr="00655FC7" w:rsidRDefault="00D155AA" w:rsidP="00827748">
            <w:pPr>
              <w:ind w:firstLine="0"/>
              <w:jc w:val="center"/>
              <w:rPr>
                <w:rFonts w:ascii="Calibri" w:hAnsi="Calibri" w:cs="Calibri"/>
                <w:b/>
                <w:bCs/>
                <w:color w:val="auto"/>
                <w:sz w:val="18"/>
                <w:szCs w:val="18"/>
                <w:lang w:eastAsia="pl-PL"/>
              </w:rPr>
            </w:pPr>
            <w:r w:rsidRPr="00655FC7">
              <w:rPr>
                <w:rFonts w:ascii="Calibri" w:hAnsi="Calibri" w:cs="Calibri"/>
                <w:b/>
                <w:bCs/>
                <w:color w:val="auto"/>
                <w:sz w:val="18"/>
                <w:szCs w:val="18"/>
                <w:lang w:eastAsia="pl-PL"/>
              </w:rPr>
              <w:t>1</w:t>
            </w:r>
          </w:p>
        </w:tc>
      </w:tr>
      <w:tr w:rsidR="00D155AA" w:rsidRPr="00655FC7" w14:paraId="005A55AD" w14:textId="77777777" w:rsidTr="00827748">
        <w:trPr>
          <w:trHeight w:val="283"/>
          <w:jc w:val="center"/>
        </w:trPr>
        <w:tc>
          <w:tcPr>
            <w:tcW w:w="3441" w:type="dxa"/>
            <w:vMerge w:val="restart"/>
            <w:tcBorders>
              <w:bottom w:val="single" w:sz="4" w:space="0" w:color="C3D69B" w:themeColor="accent6"/>
              <w:right w:val="single" w:sz="4" w:space="0" w:color="C3D69B" w:themeColor="accent6"/>
            </w:tcBorders>
            <w:shd w:val="clear" w:color="auto" w:fill="E6EED6" w:themeFill="accent6" w:themeFillTint="66"/>
            <w:vAlign w:val="center"/>
            <w:hideMark/>
          </w:tcPr>
          <w:p w14:paraId="3D10A2F5" w14:textId="77777777" w:rsidR="00D155AA" w:rsidRPr="00655FC7" w:rsidRDefault="00D155AA" w:rsidP="00827748">
            <w:pPr>
              <w:ind w:firstLine="0"/>
              <w:jc w:val="center"/>
              <w:rPr>
                <w:rFonts w:ascii="Calibri" w:hAnsi="Calibri" w:cs="Calibri"/>
                <w:b/>
                <w:bCs/>
                <w:color w:val="auto"/>
                <w:sz w:val="18"/>
                <w:szCs w:val="18"/>
                <w:lang w:eastAsia="pl-PL"/>
              </w:rPr>
            </w:pPr>
            <w:r w:rsidRPr="00655FC7">
              <w:rPr>
                <w:rFonts w:ascii="Calibri" w:hAnsi="Calibri" w:cs="Calibri"/>
                <w:b/>
                <w:bCs/>
                <w:color w:val="auto"/>
                <w:sz w:val="18"/>
                <w:szCs w:val="18"/>
                <w:lang w:eastAsia="pl-PL"/>
              </w:rPr>
              <w:t>3. Grunty zabudowane i zurbanizowane</w:t>
            </w:r>
          </w:p>
        </w:tc>
        <w:tc>
          <w:tcPr>
            <w:tcW w:w="3381" w:type="dxa"/>
            <w:gridSpan w:val="2"/>
            <w:tcBorders>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424870EA"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tereny mieszkaniowe</w:t>
            </w:r>
          </w:p>
        </w:tc>
        <w:tc>
          <w:tcPr>
            <w:tcW w:w="831" w:type="dxa"/>
            <w:tcBorders>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702087AA"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B</w:t>
            </w:r>
          </w:p>
        </w:tc>
        <w:tc>
          <w:tcPr>
            <w:tcW w:w="459" w:type="dxa"/>
            <w:vMerge w:val="restart"/>
            <w:tcBorders>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2B01699D"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ha</w:t>
            </w:r>
          </w:p>
        </w:tc>
        <w:tc>
          <w:tcPr>
            <w:tcW w:w="0" w:type="auto"/>
            <w:tcBorders>
              <w:left w:val="single" w:sz="4" w:space="0" w:color="C3D69B" w:themeColor="accent6"/>
              <w:bottom w:val="single" w:sz="4" w:space="0" w:color="C3D69B" w:themeColor="accent6"/>
            </w:tcBorders>
            <w:shd w:val="clear" w:color="auto" w:fill="E6EED6" w:themeFill="accent6" w:themeFillTint="66"/>
            <w:noWrap/>
            <w:vAlign w:val="center"/>
            <w:hideMark/>
          </w:tcPr>
          <w:p w14:paraId="703D7264"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42</w:t>
            </w:r>
          </w:p>
        </w:tc>
      </w:tr>
      <w:tr w:rsidR="00D155AA" w:rsidRPr="00655FC7" w14:paraId="29695585" w14:textId="77777777" w:rsidTr="00827748">
        <w:trPr>
          <w:trHeight w:val="283"/>
          <w:jc w:val="center"/>
        </w:trPr>
        <w:tc>
          <w:tcPr>
            <w:tcW w:w="0" w:type="auto"/>
            <w:vMerge/>
            <w:tcBorders>
              <w:top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24957E54" w14:textId="77777777" w:rsidR="00D155AA" w:rsidRPr="00655FC7" w:rsidRDefault="00D155AA" w:rsidP="00827748">
            <w:pPr>
              <w:ind w:firstLine="0"/>
              <w:jc w:val="center"/>
              <w:rPr>
                <w:rFonts w:ascii="Calibri" w:hAnsi="Calibri" w:cs="Calibri"/>
                <w:b/>
                <w:bCs/>
                <w:color w:val="auto"/>
                <w:sz w:val="18"/>
                <w:szCs w:val="18"/>
                <w:lang w:eastAsia="pl-PL"/>
              </w:rPr>
            </w:pPr>
          </w:p>
        </w:tc>
        <w:tc>
          <w:tcPr>
            <w:tcW w:w="3381" w:type="dxa"/>
            <w:gridSpan w:val="2"/>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161C2400"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tereny przemysłowe</w:t>
            </w:r>
          </w:p>
        </w:tc>
        <w:tc>
          <w:tcPr>
            <w:tcW w:w="831"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509DE0CD"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Ba</w:t>
            </w: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53C5F947" w14:textId="77777777" w:rsidR="00D155AA" w:rsidRPr="00655FC7" w:rsidRDefault="00D155AA" w:rsidP="00827748">
            <w:pPr>
              <w:ind w:firstLine="0"/>
              <w:jc w:val="center"/>
              <w:rPr>
                <w:rFonts w:ascii="Calibri" w:hAnsi="Calibri" w:cs="Calibri"/>
                <w:color w:val="auto"/>
                <w:sz w:val="18"/>
                <w:szCs w:val="18"/>
                <w:lang w:eastAsia="pl-PL"/>
              </w:rPr>
            </w:pPr>
          </w:p>
        </w:tc>
        <w:tc>
          <w:tcPr>
            <w:tcW w:w="0" w:type="auto"/>
            <w:tcBorders>
              <w:top w:val="single" w:sz="4" w:space="0" w:color="C3D69B" w:themeColor="accent6"/>
              <w:left w:val="single" w:sz="4" w:space="0" w:color="C3D69B" w:themeColor="accent6"/>
              <w:bottom w:val="single" w:sz="4" w:space="0" w:color="C3D69B" w:themeColor="accent6"/>
            </w:tcBorders>
            <w:shd w:val="clear" w:color="auto" w:fill="E6EED6" w:themeFill="accent6" w:themeFillTint="66"/>
            <w:noWrap/>
            <w:vAlign w:val="center"/>
            <w:hideMark/>
          </w:tcPr>
          <w:p w14:paraId="6CF90CB4"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3</w:t>
            </w:r>
          </w:p>
        </w:tc>
      </w:tr>
      <w:tr w:rsidR="00D155AA" w:rsidRPr="00655FC7" w14:paraId="7A57A9BF" w14:textId="77777777" w:rsidTr="00827748">
        <w:trPr>
          <w:trHeight w:val="283"/>
          <w:jc w:val="center"/>
        </w:trPr>
        <w:tc>
          <w:tcPr>
            <w:tcW w:w="0" w:type="auto"/>
            <w:vMerge/>
            <w:tcBorders>
              <w:top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49029A2B" w14:textId="77777777" w:rsidR="00D155AA" w:rsidRPr="00655FC7" w:rsidRDefault="00D155AA" w:rsidP="00827748">
            <w:pPr>
              <w:ind w:firstLine="0"/>
              <w:jc w:val="center"/>
              <w:rPr>
                <w:rFonts w:ascii="Calibri" w:hAnsi="Calibri" w:cs="Calibri"/>
                <w:b/>
                <w:bCs/>
                <w:color w:val="auto"/>
                <w:sz w:val="18"/>
                <w:szCs w:val="18"/>
                <w:lang w:eastAsia="pl-PL"/>
              </w:rPr>
            </w:pPr>
          </w:p>
        </w:tc>
        <w:tc>
          <w:tcPr>
            <w:tcW w:w="3381" w:type="dxa"/>
            <w:gridSpan w:val="2"/>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03E14F12"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inne tereny zabudowane</w:t>
            </w:r>
          </w:p>
        </w:tc>
        <w:tc>
          <w:tcPr>
            <w:tcW w:w="831"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75A32B25"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Bi</w:t>
            </w: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0FBB20D5" w14:textId="77777777" w:rsidR="00D155AA" w:rsidRPr="00655FC7" w:rsidRDefault="00D155AA" w:rsidP="00827748">
            <w:pPr>
              <w:ind w:firstLine="0"/>
              <w:jc w:val="center"/>
              <w:rPr>
                <w:rFonts w:ascii="Calibri" w:hAnsi="Calibri" w:cs="Calibri"/>
                <w:color w:val="auto"/>
                <w:sz w:val="18"/>
                <w:szCs w:val="18"/>
                <w:lang w:eastAsia="pl-PL"/>
              </w:rPr>
            </w:pPr>
          </w:p>
        </w:tc>
        <w:tc>
          <w:tcPr>
            <w:tcW w:w="0" w:type="auto"/>
            <w:tcBorders>
              <w:top w:val="single" w:sz="4" w:space="0" w:color="C3D69B" w:themeColor="accent6"/>
              <w:left w:val="single" w:sz="4" w:space="0" w:color="C3D69B" w:themeColor="accent6"/>
              <w:bottom w:val="single" w:sz="4" w:space="0" w:color="C3D69B" w:themeColor="accent6"/>
            </w:tcBorders>
            <w:shd w:val="clear" w:color="auto" w:fill="E6EED6" w:themeFill="accent6" w:themeFillTint="66"/>
            <w:noWrap/>
            <w:vAlign w:val="center"/>
            <w:hideMark/>
          </w:tcPr>
          <w:p w14:paraId="18E73E8F"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27</w:t>
            </w:r>
          </w:p>
        </w:tc>
      </w:tr>
      <w:tr w:rsidR="00D155AA" w:rsidRPr="00655FC7" w14:paraId="1DE7DA43" w14:textId="77777777" w:rsidTr="00827748">
        <w:trPr>
          <w:trHeight w:val="283"/>
          <w:jc w:val="center"/>
        </w:trPr>
        <w:tc>
          <w:tcPr>
            <w:tcW w:w="0" w:type="auto"/>
            <w:vMerge/>
            <w:tcBorders>
              <w:top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1017EE43" w14:textId="77777777" w:rsidR="00D155AA" w:rsidRPr="00655FC7" w:rsidRDefault="00D155AA" w:rsidP="00827748">
            <w:pPr>
              <w:ind w:firstLine="0"/>
              <w:jc w:val="center"/>
              <w:rPr>
                <w:rFonts w:ascii="Calibri" w:hAnsi="Calibri" w:cs="Calibri"/>
                <w:b/>
                <w:bCs/>
                <w:color w:val="auto"/>
                <w:sz w:val="18"/>
                <w:szCs w:val="18"/>
                <w:lang w:eastAsia="pl-PL"/>
              </w:rPr>
            </w:pPr>
          </w:p>
        </w:tc>
        <w:tc>
          <w:tcPr>
            <w:tcW w:w="3381" w:type="dxa"/>
            <w:gridSpan w:val="2"/>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011C4D25"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zurbanizowane tereny niezabud. lub w trakcie zabudowy</w:t>
            </w:r>
          </w:p>
        </w:tc>
        <w:tc>
          <w:tcPr>
            <w:tcW w:w="831"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35C83EE3"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Bp</w:t>
            </w: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5E215804" w14:textId="77777777" w:rsidR="00D155AA" w:rsidRPr="00655FC7" w:rsidRDefault="00D155AA" w:rsidP="00827748">
            <w:pPr>
              <w:ind w:firstLine="0"/>
              <w:jc w:val="center"/>
              <w:rPr>
                <w:rFonts w:ascii="Calibri" w:hAnsi="Calibri" w:cs="Calibri"/>
                <w:color w:val="auto"/>
                <w:sz w:val="18"/>
                <w:szCs w:val="18"/>
                <w:lang w:eastAsia="pl-PL"/>
              </w:rPr>
            </w:pPr>
          </w:p>
        </w:tc>
        <w:tc>
          <w:tcPr>
            <w:tcW w:w="0" w:type="auto"/>
            <w:tcBorders>
              <w:top w:val="single" w:sz="4" w:space="0" w:color="C3D69B" w:themeColor="accent6"/>
              <w:left w:val="single" w:sz="4" w:space="0" w:color="C3D69B" w:themeColor="accent6"/>
              <w:bottom w:val="single" w:sz="4" w:space="0" w:color="C3D69B" w:themeColor="accent6"/>
            </w:tcBorders>
            <w:shd w:val="clear" w:color="auto" w:fill="E6EED6" w:themeFill="accent6" w:themeFillTint="66"/>
            <w:noWrap/>
            <w:vAlign w:val="center"/>
            <w:hideMark/>
          </w:tcPr>
          <w:p w14:paraId="403A76AE"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1</w:t>
            </w:r>
          </w:p>
        </w:tc>
      </w:tr>
      <w:tr w:rsidR="00D155AA" w:rsidRPr="00655FC7" w14:paraId="5FA5CBDE" w14:textId="77777777" w:rsidTr="00827748">
        <w:trPr>
          <w:trHeight w:val="283"/>
          <w:jc w:val="center"/>
        </w:trPr>
        <w:tc>
          <w:tcPr>
            <w:tcW w:w="0" w:type="auto"/>
            <w:vMerge/>
            <w:tcBorders>
              <w:top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62AD0924" w14:textId="77777777" w:rsidR="00D155AA" w:rsidRPr="00655FC7" w:rsidRDefault="00D155AA" w:rsidP="00827748">
            <w:pPr>
              <w:ind w:firstLine="0"/>
              <w:jc w:val="center"/>
              <w:rPr>
                <w:rFonts w:ascii="Calibri" w:hAnsi="Calibri" w:cs="Calibri"/>
                <w:b/>
                <w:bCs/>
                <w:color w:val="auto"/>
                <w:sz w:val="18"/>
                <w:szCs w:val="18"/>
                <w:lang w:eastAsia="pl-PL"/>
              </w:rPr>
            </w:pPr>
          </w:p>
        </w:tc>
        <w:tc>
          <w:tcPr>
            <w:tcW w:w="3381" w:type="dxa"/>
            <w:gridSpan w:val="2"/>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23448AE3"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tereny rekreacyjno-wypoczynkowe</w:t>
            </w:r>
          </w:p>
        </w:tc>
        <w:tc>
          <w:tcPr>
            <w:tcW w:w="831"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1790F405"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Bz</w:t>
            </w: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2EEE1738" w14:textId="77777777" w:rsidR="00D155AA" w:rsidRPr="00655FC7" w:rsidRDefault="00D155AA" w:rsidP="00827748">
            <w:pPr>
              <w:ind w:firstLine="0"/>
              <w:jc w:val="center"/>
              <w:rPr>
                <w:rFonts w:ascii="Calibri" w:hAnsi="Calibri" w:cs="Calibri"/>
                <w:color w:val="auto"/>
                <w:sz w:val="18"/>
                <w:szCs w:val="18"/>
                <w:lang w:eastAsia="pl-PL"/>
              </w:rPr>
            </w:pPr>
          </w:p>
        </w:tc>
        <w:tc>
          <w:tcPr>
            <w:tcW w:w="0" w:type="auto"/>
            <w:tcBorders>
              <w:top w:val="single" w:sz="4" w:space="0" w:color="C3D69B" w:themeColor="accent6"/>
              <w:left w:val="single" w:sz="4" w:space="0" w:color="C3D69B" w:themeColor="accent6"/>
              <w:bottom w:val="single" w:sz="4" w:space="0" w:color="C3D69B" w:themeColor="accent6"/>
            </w:tcBorders>
            <w:shd w:val="clear" w:color="auto" w:fill="E6EED6" w:themeFill="accent6" w:themeFillTint="66"/>
            <w:noWrap/>
            <w:vAlign w:val="center"/>
            <w:hideMark/>
          </w:tcPr>
          <w:p w14:paraId="7EFD8A0B"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3</w:t>
            </w:r>
          </w:p>
        </w:tc>
      </w:tr>
      <w:tr w:rsidR="00D155AA" w:rsidRPr="00655FC7" w14:paraId="71BD6D32" w14:textId="77777777" w:rsidTr="00827748">
        <w:trPr>
          <w:trHeight w:val="283"/>
          <w:jc w:val="center"/>
        </w:trPr>
        <w:tc>
          <w:tcPr>
            <w:tcW w:w="0" w:type="auto"/>
            <w:vMerge/>
            <w:tcBorders>
              <w:top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768AF7DC" w14:textId="77777777" w:rsidR="00D155AA" w:rsidRPr="00655FC7" w:rsidRDefault="00D155AA" w:rsidP="00827748">
            <w:pPr>
              <w:ind w:firstLine="0"/>
              <w:jc w:val="center"/>
              <w:rPr>
                <w:rFonts w:ascii="Calibri" w:hAnsi="Calibri" w:cs="Calibri"/>
                <w:b/>
                <w:bCs/>
                <w:color w:val="auto"/>
                <w:sz w:val="18"/>
                <w:szCs w:val="18"/>
                <w:lang w:eastAsia="pl-PL"/>
              </w:rPr>
            </w:pPr>
          </w:p>
        </w:tc>
        <w:tc>
          <w:tcPr>
            <w:tcW w:w="3381" w:type="dxa"/>
            <w:gridSpan w:val="2"/>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4C53A88F"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użytki kopalne</w:t>
            </w:r>
          </w:p>
        </w:tc>
        <w:tc>
          <w:tcPr>
            <w:tcW w:w="831"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407656AF"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K</w:t>
            </w: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16E83E29" w14:textId="77777777" w:rsidR="00D155AA" w:rsidRPr="00655FC7" w:rsidRDefault="00D155AA" w:rsidP="00827748">
            <w:pPr>
              <w:ind w:firstLine="0"/>
              <w:jc w:val="center"/>
              <w:rPr>
                <w:rFonts w:ascii="Calibri" w:hAnsi="Calibri" w:cs="Calibri"/>
                <w:color w:val="auto"/>
                <w:sz w:val="18"/>
                <w:szCs w:val="18"/>
                <w:lang w:eastAsia="pl-PL"/>
              </w:rPr>
            </w:pPr>
          </w:p>
        </w:tc>
        <w:tc>
          <w:tcPr>
            <w:tcW w:w="0" w:type="auto"/>
            <w:tcBorders>
              <w:top w:val="single" w:sz="4" w:space="0" w:color="C3D69B" w:themeColor="accent6"/>
              <w:left w:val="single" w:sz="4" w:space="0" w:color="C3D69B" w:themeColor="accent6"/>
              <w:bottom w:val="single" w:sz="4" w:space="0" w:color="C3D69B" w:themeColor="accent6"/>
            </w:tcBorders>
            <w:shd w:val="clear" w:color="auto" w:fill="E6EED6" w:themeFill="accent6" w:themeFillTint="66"/>
            <w:noWrap/>
            <w:vAlign w:val="center"/>
            <w:hideMark/>
          </w:tcPr>
          <w:p w14:paraId="66A5626A"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0</w:t>
            </w:r>
          </w:p>
        </w:tc>
      </w:tr>
      <w:tr w:rsidR="00D155AA" w:rsidRPr="00655FC7" w14:paraId="4649A291" w14:textId="77777777" w:rsidTr="00827748">
        <w:trPr>
          <w:trHeight w:val="283"/>
          <w:jc w:val="center"/>
        </w:trPr>
        <w:tc>
          <w:tcPr>
            <w:tcW w:w="0" w:type="auto"/>
            <w:vMerge/>
            <w:tcBorders>
              <w:top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0B131E90" w14:textId="77777777" w:rsidR="00D155AA" w:rsidRPr="00655FC7" w:rsidRDefault="00D155AA" w:rsidP="00827748">
            <w:pPr>
              <w:ind w:firstLine="0"/>
              <w:jc w:val="center"/>
              <w:rPr>
                <w:rFonts w:ascii="Calibri" w:hAnsi="Calibri" w:cs="Calibri"/>
                <w:b/>
                <w:bCs/>
                <w:color w:val="auto"/>
                <w:sz w:val="18"/>
                <w:szCs w:val="18"/>
                <w:lang w:eastAsia="pl-PL"/>
              </w:rPr>
            </w:pPr>
          </w:p>
        </w:tc>
        <w:tc>
          <w:tcPr>
            <w:tcW w:w="1616" w:type="dxa"/>
            <w:vMerge w:val="restart"/>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7788367A"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Tereny komunikacyjne</w:t>
            </w:r>
          </w:p>
        </w:tc>
        <w:tc>
          <w:tcPr>
            <w:tcW w:w="1765"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3F9EE10E"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drogi</w:t>
            </w:r>
          </w:p>
        </w:tc>
        <w:tc>
          <w:tcPr>
            <w:tcW w:w="831"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4D2C9DF1"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dr</w:t>
            </w: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43B407CF" w14:textId="77777777" w:rsidR="00D155AA" w:rsidRPr="00655FC7" w:rsidRDefault="00D155AA" w:rsidP="00827748">
            <w:pPr>
              <w:ind w:firstLine="0"/>
              <w:jc w:val="center"/>
              <w:rPr>
                <w:rFonts w:ascii="Calibri" w:hAnsi="Calibri" w:cs="Calibri"/>
                <w:color w:val="auto"/>
                <w:sz w:val="18"/>
                <w:szCs w:val="18"/>
                <w:lang w:eastAsia="pl-PL"/>
              </w:rPr>
            </w:pPr>
          </w:p>
        </w:tc>
        <w:tc>
          <w:tcPr>
            <w:tcW w:w="0" w:type="auto"/>
            <w:tcBorders>
              <w:top w:val="single" w:sz="4" w:space="0" w:color="C3D69B" w:themeColor="accent6"/>
              <w:left w:val="single" w:sz="4" w:space="0" w:color="C3D69B" w:themeColor="accent6"/>
              <w:bottom w:val="single" w:sz="4" w:space="0" w:color="C3D69B" w:themeColor="accent6"/>
            </w:tcBorders>
            <w:shd w:val="clear" w:color="auto" w:fill="E6EED6" w:themeFill="accent6" w:themeFillTint="66"/>
            <w:noWrap/>
            <w:vAlign w:val="center"/>
            <w:hideMark/>
          </w:tcPr>
          <w:p w14:paraId="6C9C6132"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63</w:t>
            </w:r>
          </w:p>
        </w:tc>
      </w:tr>
      <w:tr w:rsidR="00D155AA" w:rsidRPr="00655FC7" w14:paraId="769F41D7" w14:textId="77777777" w:rsidTr="00827748">
        <w:trPr>
          <w:trHeight w:val="283"/>
          <w:jc w:val="center"/>
        </w:trPr>
        <w:tc>
          <w:tcPr>
            <w:tcW w:w="0" w:type="auto"/>
            <w:vMerge/>
            <w:tcBorders>
              <w:top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11EE61A1" w14:textId="77777777" w:rsidR="00D155AA" w:rsidRPr="00655FC7" w:rsidRDefault="00D155AA" w:rsidP="00827748">
            <w:pPr>
              <w:ind w:firstLine="0"/>
              <w:jc w:val="center"/>
              <w:rPr>
                <w:rFonts w:ascii="Calibri" w:hAnsi="Calibri" w:cs="Calibri"/>
                <w:b/>
                <w:bCs/>
                <w:color w:val="auto"/>
                <w:sz w:val="18"/>
                <w:szCs w:val="18"/>
                <w:lang w:eastAsia="pl-PL"/>
              </w:rPr>
            </w:pP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012425E0" w14:textId="77777777" w:rsidR="00D155AA" w:rsidRPr="00655FC7" w:rsidRDefault="00D155AA" w:rsidP="00827748">
            <w:pPr>
              <w:ind w:firstLine="0"/>
              <w:jc w:val="center"/>
              <w:rPr>
                <w:rFonts w:ascii="Calibri" w:hAnsi="Calibri" w:cs="Calibri"/>
                <w:color w:val="auto"/>
                <w:sz w:val="18"/>
                <w:szCs w:val="18"/>
                <w:lang w:eastAsia="pl-PL"/>
              </w:rPr>
            </w:pPr>
          </w:p>
        </w:tc>
        <w:tc>
          <w:tcPr>
            <w:tcW w:w="1765"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62CDA152"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tereny kolejowe</w:t>
            </w:r>
          </w:p>
        </w:tc>
        <w:tc>
          <w:tcPr>
            <w:tcW w:w="831"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05B2A14F"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Tk</w:t>
            </w: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30E2FC76" w14:textId="77777777" w:rsidR="00D155AA" w:rsidRPr="00655FC7" w:rsidRDefault="00D155AA" w:rsidP="00827748">
            <w:pPr>
              <w:ind w:firstLine="0"/>
              <w:jc w:val="center"/>
              <w:rPr>
                <w:rFonts w:ascii="Calibri" w:hAnsi="Calibri" w:cs="Calibri"/>
                <w:color w:val="auto"/>
                <w:sz w:val="18"/>
                <w:szCs w:val="18"/>
                <w:lang w:eastAsia="pl-PL"/>
              </w:rPr>
            </w:pPr>
          </w:p>
        </w:tc>
        <w:tc>
          <w:tcPr>
            <w:tcW w:w="0" w:type="auto"/>
            <w:tcBorders>
              <w:top w:val="single" w:sz="4" w:space="0" w:color="C3D69B" w:themeColor="accent6"/>
              <w:left w:val="single" w:sz="4" w:space="0" w:color="C3D69B" w:themeColor="accent6"/>
              <w:bottom w:val="single" w:sz="4" w:space="0" w:color="C3D69B" w:themeColor="accent6"/>
            </w:tcBorders>
            <w:shd w:val="clear" w:color="auto" w:fill="E6EED6" w:themeFill="accent6" w:themeFillTint="66"/>
            <w:noWrap/>
            <w:vAlign w:val="center"/>
            <w:hideMark/>
          </w:tcPr>
          <w:p w14:paraId="0EFC0D84"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0</w:t>
            </w:r>
          </w:p>
        </w:tc>
      </w:tr>
      <w:tr w:rsidR="00D155AA" w:rsidRPr="00655FC7" w14:paraId="4F899892" w14:textId="77777777" w:rsidTr="00827748">
        <w:trPr>
          <w:trHeight w:val="283"/>
          <w:jc w:val="center"/>
        </w:trPr>
        <w:tc>
          <w:tcPr>
            <w:tcW w:w="0" w:type="auto"/>
            <w:vMerge/>
            <w:tcBorders>
              <w:top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56ADBA7B" w14:textId="77777777" w:rsidR="00D155AA" w:rsidRPr="00655FC7" w:rsidRDefault="00D155AA" w:rsidP="00827748">
            <w:pPr>
              <w:ind w:firstLine="0"/>
              <w:jc w:val="center"/>
              <w:rPr>
                <w:rFonts w:ascii="Calibri" w:hAnsi="Calibri" w:cs="Calibri"/>
                <w:b/>
                <w:bCs/>
                <w:color w:val="auto"/>
                <w:sz w:val="18"/>
                <w:szCs w:val="18"/>
                <w:lang w:eastAsia="pl-PL"/>
              </w:rPr>
            </w:pP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61D7F7BE" w14:textId="77777777" w:rsidR="00D155AA" w:rsidRPr="00655FC7" w:rsidRDefault="00D155AA" w:rsidP="00827748">
            <w:pPr>
              <w:ind w:firstLine="0"/>
              <w:jc w:val="center"/>
              <w:rPr>
                <w:rFonts w:ascii="Calibri" w:hAnsi="Calibri" w:cs="Calibri"/>
                <w:color w:val="auto"/>
                <w:sz w:val="18"/>
                <w:szCs w:val="18"/>
                <w:lang w:eastAsia="pl-PL"/>
              </w:rPr>
            </w:pPr>
          </w:p>
        </w:tc>
        <w:tc>
          <w:tcPr>
            <w:tcW w:w="1765"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354825EA"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inne tereny komunikacyjne</w:t>
            </w:r>
          </w:p>
        </w:tc>
        <w:tc>
          <w:tcPr>
            <w:tcW w:w="831"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2BE35F72"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Ti</w:t>
            </w: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4CD15F4C" w14:textId="77777777" w:rsidR="00D155AA" w:rsidRPr="00655FC7" w:rsidRDefault="00D155AA" w:rsidP="00827748">
            <w:pPr>
              <w:ind w:firstLine="0"/>
              <w:jc w:val="center"/>
              <w:rPr>
                <w:rFonts w:ascii="Calibri" w:hAnsi="Calibri" w:cs="Calibri"/>
                <w:color w:val="auto"/>
                <w:sz w:val="18"/>
                <w:szCs w:val="18"/>
                <w:lang w:eastAsia="pl-PL"/>
              </w:rPr>
            </w:pPr>
          </w:p>
        </w:tc>
        <w:tc>
          <w:tcPr>
            <w:tcW w:w="0" w:type="auto"/>
            <w:tcBorders>
              <w:top w:val="single" w:sz="4" w:space="0" w:color="C3D69B" w:themeColor="accent6"/>
              <w:left w:val="single" w:sz="4" w:space="0" w:color="C3D69B" w:themeColor="accent6"/>
              <w:bottom w:val="single" w:sz="4" w:space="0" w:color="C3D69B" w:themeColor="accent6"/>
            </w:tcBorders>
            <w:shd w:val="clear" w:color="auto" w:fill="E6EED6" w:themeFill="accent6" w:themeFillTint="66"/>
            <w:noWrap/>
            <w:vAlign w:val="center"/>
            <w:hideMark/>
          </w:tcPr>
          <w:p w14:paraId="1741BA02"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0</w:t>
            </w:r>
          </w:p>
        </w:tc>
      </w:tr>
      <w:tr w:rsidR="00D155AA" w:rsidRPr="00655FC7" w14:paraId="3BCD50E0" w14:textId="77777777" w:rsidTr="00827748">
        <w:trPr>
          <w:trHeight w:val="283"/>
          <w:jc w:val="center"/>
        </w:trPr>
        <w:tc>
          <w:tcPr>
            <w:tcW w:w="0" w:type="auto"/>
            <w:vMerge/>
            <w:tcBorders>
              <w:top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6CAEFB91" w14:textId="77777777" w:rsidR="00D155AA" w:rsidRPr="00655FC7" w:rsidRDefault="00D155AA" w:rsidP="00827748">
            <w:pPr>
              <w:ind w:firstLine="0"/>
              <w:jc w:val="center"/>
              <w:rPr>
                <w:rFonts w:ascii="Calibri" w:hAnsi="Calibri" w:cs="Calibri"/>
                <w:b/>
                <w:bCs/>
                <w:color w:val="auto"/>
                <w:sz w:val="18"/>
                <w:szCs w:val="18"/>
                <w:lang w:eastAsia="pl-PL"/>
              </w:rPr>
            </w:pP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0FF5E469" w14:textId="77777777" w:rsidR="00D155AA" w:rsidRPr="00655FC7" w:rsidRDefault="00D155AA" w:rsidP="00827748">
            <w:pPr>
              <w:ind w:firstLine="0"/>
              <w:jc w:val="center"/>
              <w:rPr>
                <w:rFonts w:ascii="Calibri" w:hAnsi="Calibri" w:cs="Calibri"/>
                <w:color w:val="auto"/>
                <w:sz w:val="18"/>
                <w:szCs w:val="18"/>
                <w:lang w:eastAsia="pl-PL"/>
              </w:rPr>
            </w:pPr>
          </w:p>
        </w:tc>
        <w:tc>
          <w:tcPr>
            <w:tcW w:w="1765"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67485800"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grunty przezn. pod budowę dróg pub. lub linii kolejowych</w:t>
            </w:r>
          </w:p>
        </w:tc>
        <w:tc>
          <w:tcPr>
            <w:tcW w:w="831" w:type="dxa"/>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5D64D941"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Tp</w:t>
            </w:r>
          </w:p>
        </w:tc>
        <w:tc>
          <w:tcPr>
            <w:tcW w:w="0" w:type="auto"/>
            <w:vMerge/>
            <w:tcBorders>
              <w:top w:val="single" w:sz="4" w:space="0" w:color="C3D69B" w:themeColor="accent6"/>
              <w:left w:val="single" w:sz="4" w:space="0" w:color="C3D69B" w:themeColor="accent6"/>
              <w:bottom w:val="single" w:sz="4" w:space="0" w:color="C3D69B" w:themeColor="accent6"/>
              <w:right w:val="single" w:sz="4" w:space="0" w:color="C3D69B" w:themeColor="accent6"/>
            </w:tcBorders>
            <w:shd w:val="clear" w:color="auto" w:fill="E6EED6" w:themeFill="accent6" w:themeFillTint="66"/>
            <w:vAlign w:val="center"/>
            <w:hideMark/>
          </w:tcPr>
          <w:p w14:paraId="00EF89FA" w14:textId="77777777" w:rsidR="00D155AA" w:rsidRPr="00655FC7" w:rsidRDefault="00D155AA" w:rsidP="00827748">
            <w:pPr>
              <w:ind w:firstLine="0"/>
              <w:jc w:val="center"/>
              <w:rPr>
                <w:rFonts w:ascii="Calibri" w:hAnsi="Calibri" w:cs="Calibri"/>
                <w:color w:val="auto"/>
                <w:sz w:val="18"/>
                <w:szCs w:val="18"/>
                <w:lang w:eastAsia="pl-PL"/>
              </w:rPr>
            </w:pPr>
          </w:p>
        </w:tc>
        <w:tc>
          <w:tcPr>
            <w:tcW w:w="0" w:type="auto"/>
            <w:tcBorders>
              <w:top w:val="single" w:sz="4" w:space="0" w:color="C3D69B" w:themeColor="accent6"/>
              <w:left w:val="single" w:sz="4" w:space="0" w:color="C3D69B" w:themeColor="accent6"/>
              <w:bottom w:val="single" w:sz="4" w:space="0" w:color="C3D69B" w:themeColor="accent6"/>
            </w:tcBorders>
            <w:shd w:val="clear" w:color="auto" w:fill="E6EED6" w:themeFill="accent6" w:themeFillTint="66"/>
            <w:noWrap/>
            <w:vAlign w:val="center"/>
            <w:hideMark/>
          </w:tcPr>
          <w:p w14:paraId="008CFCDD"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3</w:t>
            </w:r>
          </w:p>
        </w:tc>
      </w:tr>
      <w:tr w:rsidR="00D155AA" w:rsidRPr="00655FC7" w14:paraId="412CC943" w14:textId="77777777" w:rsidTr="00827748">
        <w:trPr>
          <w:trHeight w:val="283"/>
          <w:jc w:val="center"/>
        </w:trPr>
        <w:tc>
          <w:tcPr>
            <w:tcW w:w="0" w:type="auto"/>
            <w:vMerge/>
            <w:tcBorders>
              <w:top w:val="single" w:sz="4" w:space="0" w:color="C3D69B" w:themeColor="accent6"/>
              <w:bottom w:val="single" w:sz="4" w:space="0" w:color="auto"/>
              <w:right w:val="single" w:sz="4" w:space="0" w:color="C3D69B" w:themeColor="accent6"/>
            </w:tcBorders>
            <w:shd w:val="clear" w:color="auto" w:fill="E6EED6" w:themeFill="accent6" w:themeFillTint="66"/>
            <w:vAlign w:val="center"/>
            <w:hideMark/>
          </w:tcPr>
          <w:p w14:paraId="4EA47541" w14:textId="77777777" w:rsidR="00D155AA" w:rsidRPr="00655FC7" w:rsidRDefault="00D155AA" w:rsidP="00827748">
            <w:pPr>
              <w:ind w:firstLine="0"/>
              <w:jc w:val="center"/>
              <w:rPr>
                <w:rFonts w:ascii="Calibri" w:hAnsi="Calibri" w:cs="Calibri"/>
                <w:b/>
                <w:bCs/>
                <w:color w:val="auto"/>
                <w:sz w:val="18"/>
                <w:szCs w:val="18"/>
                <w:lang w:eastAsia="pl-PL"/>
              </w:rPr>
            </w:pPr>
          </w:p>
        </w:tc>
        <w:tc>
          <w:tcPr>
            <w:tcW w:w="3381" w:type="dxa"/>
            <w:gridSpan w:val="2"/>
            <w:tcBorders>
              <w:top w:val="single" w:sz="4" w:space="0" w:color="C3D69B" w:themeColor="accent6"/>
              <w:left w:val="single" w:sz="4" w:space="0" w:color="C3D69B" w:themeColor="accent6"/>
              <w:bottom w:val="single" w:sz="4" w:space="0" w:color="auto"/>
              <w:right w:val="single" w:sz="4" w:space="0" w:color="C3D69B" w:themeColor="accent6"/>
            </w:tcBorders>
            <w:shd w:val="clear" w:color="auto" w:fill="E6EED6" w:themeFill="accent6" w:themeFillTint="66"/>
            <w:vAlign w:val="center"/>
            <w:hideMark/>
          </w:tcPr>
          <w:p w14:paraId="163321F9" w14:textId="77777777" w:rsidR="00D155AA" w:rsidRPr="00655FC7" w:rsidRDefault="00D155AA" w:rsidP="00827748">
            <w:pPr>
              <w:ind w:firstLine="0"/>
              <w:jc w:val="center"/>
              <w:rPr>
                <w:rFonts w:ascii="Calibri" w:hAnsi="Calibri" w:cs="Calibri"/>
                <w:b/>
                <w:bCs/>
                <w:color w:val="auto"/>
                <w:sz w:val="18"/>
                <w:szCs w:val="18"/>
                <w:lang w:eastAsia="pl-PL"/>
              </w:rPr>
            </w:pPr>
            <w:r w:rsidRPr="00655FC7">
              <w:rPr>
                <w:rFonts w:ascii="Calibri" w:hAnsi="Calibri" w:cs="Calibri"/>
                <w:b/>
                <w:bCs/>
                <w:color w:val="auto"/>
                <w:sz w:val="18"/>
                <w:szCs w:val="18"/>
                <w:lang w:eastAsia="pl-PL"/>
              </w:rPr>
              <w:t>Razem</w:t>
            </w:r>
          </w:p>
        </w:tc>
        <w:tc>
          <w:tcPr>
            <w:tcW w:w="831" w:type="dxa"/>
            <w:tcBorders>
              <w:top w:val="single" w:sz="4" w:space="0" w:color="C3D69B" w:themeColor="accent6"/>
              <w:left w:val="single" w:sz="4" w:space="0" w:color="C3D69B" w:themeColor="accent6"/>
              <w:bottom w:val="single" w:sz="4" w:space="0" w:color="auto"/>
              <w:right w:val="single" w:sz="4" w:space="0" w:color="C3D69B" w:themeColor="accent6"/>
            </w:tcBorders>
            <w:shd w:val="clear" w:color="auto" w:fill="E6EED6" w:themeFill="accent6" w:themeFillTint="66"/>
            <w:vAlign w:val="center"/>
            <w:hideMark/>
          </w:tcPr>
          <w:p w14:paraId="42AAFB63" w14:textId="77777777" w:rsidR="00D155AA" w:rsidRPr="00655FC7" w:rsidRDefault="00D155AA" w:rsidP="00827748">
            <w:pPr>
              <w:ind w:firstLine="0"/>
              <w:jc w:val="center"/>
              <w:rPr>
                <w:rFonts w:ascii="Calibri" w:hAnsi="Calibri" w:cs="Calibri"/>
                <w:color w:val="auto"/>
                <w:sz w:val="18"/>
                <w:szCs w:val="18"/>
                <w:lang w:eastAsia="pl-PL"/>
              </w:rPr>
            </w:pPr>
          </w:p>
        </w:tc>
        <w:tc>
          <w:tcPr>
            <w:tcW w:w="459" w:type="dxa"/>
            <w:tcBorders>
              <w:top w:val="single" w:sz="4" w:space="0" w:color="C3D69B" w:themeColor="accent6"/>
              <w:left w:val="single" w:sz="4" w:space="0" w:color="C3D69B" w:themeColor="accent6"/>
              <w:bottom w:val="single" w:sz="4" w:space="0" w:color="auto"/>
              <w:right w:val="single" w:sz="4" w:space="0" w:color="C3D69B" w:themeColor="accent6"/>
            </w:tcBorders>
            <w:shd w:val="clear" w:color="auto" w:fill="E6EED6" w:themeFill="accent6" w:themeFillTint="66"/>
            <w:vAlign w:val="center"/>
            <w:hideMark/>
          </w:tcPr>
          <w:p w14:paraId="347AEC11"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ha</w:t>
            </w:r>
          </w:p>
        </w:tc>
        <w:tc>
          <w:tcPr>
            <w:tcW w:w="0" w:type="auto"/>
            <w:tcBorders>
              <w:top w:val="single" w:sz="4" w:space="0" w:color="C3D69B" w:themeColor="accent6"/>
              <w:left w:val="single" w:sz="4" w:space="0" w:color="C3D69B" w:themeColor="accent6"/>
              <w:bottom w:val="single" w:sz="4" w:space="0" w:color="auto"/>
            </w:tcBorders>
            <w:shd w:val="clear" w:color="auto" w:fill="E6EED6" w:themeFill="accent6" w:themeFillTint="66"/>
            <w:noWrap/>
            <w:vAlign w:val="center"/>
            <w:hideMark/>
          </w:tcPr>
          <w:p w14:paraId="6ABF1F9D" w14:textId="77777777" w:rsidR="00D155AA" w:rsidRPr="00655FC7" w:rsidRDefault="00D155AA" w:rsidP="00827748">
            <w:pPr>
              <w:ind w:firstLine="0"/>
              <w:jc w:val="center"/>
              <w:rPr>
                <w:rFonts w:ascii="Calibri" w:hAnsi="Calibri" w:cs="Calibri"/>
                <w:b/>
                <w:bCs/>
                <w:color w:val="auto"/>
                <w:sz w:val="18"/>
                <w:szCs w:val="18"/>
                <w:lang w:eastAsia="pl-PL"/>
              </w:rPr>
            </w:pPr>
            <w:r w:rsidRPr="00655FC7">
              <w:rPr>
                <w:rFonts w:ascii="Calibri" w:hAnsi="Calibri" w:cs="Calibri"/>
                <w:b/>
                <w:bCs/>
                <w:color w:val="auto"/>
                <w:sz w:val="18"/>
                <w:szCs w:val="18"/>
                <w:lang w:eastAsia="pl-PL"/>
              </w:rPr>
              <w:t>142</w:t>
            </w:r>
          </w:p>
        </w:tc>
      </w:tr>
      <w:tr w:rsidR="00D155AA" w:rsidRPr="00655FC7" w14:paraId="5B2D55EF" w14:textId="77777777" w:rsidTr="00827748">
        <w:trPr>
          <w:trHeight w:val="283"/>
          <w:jc w:val="center"/>
        </w:trPr>
        <w:tc>
          <w:tcPr>
            <w:tcW w:w="3441" w:type="dxa"/>
            <w:vMerge w:val="restart"/>
            <w:tcBorders>
              <w:bottom w:val="single" w:sz="4" w:space="0" w:color="E6EED6" w:themeColor="accent6" w:themeTint="66"/>
              <w:right w:val="single" w:sz="4" w:space="0" w:color="E6EED6" w:themeColor="accent6" w:themeTint="66"/>
            </w:tcBorders>
            <w:shd w:val="clear" w:color="auto" w:fill="C3D69B" w:themeFill="accent6"/>
            <w:vAlign w:val="center"/>
            <w:hideMark/>
          </w:tcPr>
          <w:p w14:paraId="6E31F983" w14:textId="77777777" w:rsidR="00D155AA" w:rsidRPr="00655FC7" w:rsidRDefault="00D155AA" w:rsidP="00827748">
            <w:pPr>
              <w:ind w:firstLine="0"/>
              <w:jc w:val="center"/>
              <w:rPr>
                <w:rFonts w:ascii="Calibri" w:hAnsi="Calibri" w:cs="Calibri"/>
                <w:b/>
                <w:bCs/>
                <w:color w:val="auto"/>
                <w:sz w:val="18"/>
                <w:szCs w:val="18"/>
                <w:lang w:eastAsia="pl-PL"/>
              </w:rPr>
            </w:pPr>
            <w:r w:rsidRPr="00655FC7">
              <w:rPr>
                <w:rFonts w:ascii="Calibri" w:hAnsi="Calibri" w:cs="Calibri"/>
                <w:b/>
                <w:bCs/>
                <w:color w:val="auto"/>
                <w:sz w:val="18"/>
                <w:szCs w:val="18"/>
                <w:lang w:eastAsia="pl-PL"/>
              </w:rPr>
              <w:t>4. Grunty pod wodami</w:t>
            </w:r>
          </w:p>
        </w:tc>
        <w:tc>
          <w:tcPr>
            <w:tcW w:w="3381" w:type="dxa"/>
            <w:gridSpan w:val="2"/>
            <w:tcBorders>
              <w:left w:val="single" w:sz="4" w:space="0" w:color="E6EED6" w:themeColor="accent6" w:themeTint="66"/>
              <w:bottom w:val="single" w:sz="4" w:space="0" w:color="E6EED6" w:themeColor="accent6" w:themeTint="66"/>
              <w:right w:val="single" w:sz="4" w:space="0" w:color="E6EED6" w:themeColor="accent6" w:themeTint="66"/>
            </w:tcBorders>
            <w:shd w:val="clear" w:color="auto" w:fill="C3D69B" w:themeFill="accent6"/>
            <w:vAlign w:val="center"/>
            <w:hideMark/>
          </w:tcPr>
          <w:p w14:paraId="0E3DFF31"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morskimi wewnętrznymi</w:t>
            </w:r>
          </w:p>
        </w:tc>
        <w:tc>
          <w:tcPr>
            <w:tcW w:w="831" w:type="dxa"/>
            <w:tcBorders>
              <w:left w:val="single" w:sz="4" w:space="0" w:color="E6EED6" w:themeColor="accent6" w:themeTint="66"/>
              <w:bottom w:val="single" w:sz="4" w:space="0" w:color="E6EED6" w:themeColor="accent6" w:themeTint="66"/>
              <w:right w:val="single" w:sz="4" w:space="0" w:color="E6EED6" w:themeColor="accent6" w:themeTint="66"/>
            </w:tcBorders>
            <w:shd w:val="clear" w:color="auto" w:fill="C3D69B" w:themeFill="accent6"/>
            <w:vAlign w:val="center"/>
            <w:hideMark/>
          </w:tcPr>
          <w:p w14:paraId="7B73C427"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Wm</w:t>
            </w:r>
          </w:p>
        </w:tc>
        <w:tc>
          <w:tcPr>
            <w:tcW w:w="459" w:type="dxa"/>
            <w:vMerge w:val="restart"/>
            <w:tcBorders>
              <w:left w:val="single" w:sz="4" w:space="0" w:color="E6EED6" w:themeColor="accent6" w:themeTint="66"/>
              <w:bottom w:val="single" w:sz="4" w:space="0" w:color="E6EED6" w:themeColor="accent6" w:themeTint="66"/>
              <w:right w:val="single" w:sz="4" w:space="0" w:color="E6EED6" w:themeColor="accent6" w:themeTint="66"/>
            </w:tcBorders>
            <w:shd w:val="clear" w:color="auto" w:fill="C3D69B" w:themeFill="accent6"/>
            <w:vAlign w:val="center"/>
            <w:hideMark/>
          </w:tcPr>
          <w:p w14:paraId="233905B4"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ha</w:t>
            </w:r>
          </w:p>
        </w:tc>
        <w:tc>
          <w:tcPr>
            <w:tcW w:w="0" w:type="auto"/>
            <w:tcBorders>
              <w:left w:val="single" w:sz="4" w:space="0" w:color="E6EED6" w:themeColor="accent6" w:themeTint="66"/>
              <w:bottom w:val="single" w:sz="4" w:space="0" w:color="E6EED6" w:themeColor="accent6" w:themeTint="66"/>
            </w:tcBorders>
            <w:shd w:val="clear" w:color="auto" w:fill="C3D69B" w:themeFill="accent6"/>
            <w:noWrap/>
            <w:vAlign w:val="center"/>
            <w:hideMark/>
          </w:tcPr>
          <w:p w14:paraId="5D9C95D8"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0</w:t>
            </w:r>
          </w:p>
        </w:tc>
      </w:tr>
      <w:tr w:rsidR="00D155AA" w:rsidRPr="00655FC7" w14:paraId="23362A03" w14:textId="77777777" w:rsidTr="00827748">
        <w:trPr>
          <w:trHeight w:val="283"/>
          <w:jc w:val="center"/>
        </w:trPr>
        <w:tc>
          <w:tcPr>
            <w:tcW w:w="0" w:type="auto"/>
            <w:vMerge/>
            <w:tcBorders>
              <w:top w:val="single" w:sz="4" w:space="0" w:color="E6EED6" w:themeColor="accent6" w:themeTint="66"/>
              <w:bottom w:val="single" w:sz="4" w:space="0" w:color="E6EED6" w:themeColor="accent6" w:themeTint="66"/>
              <w:right w:val="single" w:sz="4" w:space="0" w:color="E6EED6" w:themeColor="accent6" w:themeTint="66"/>
            </w:tcBorders>
            <w:shd w:val="clear" w:color="auto" w:fill="C3D69B" w:themeFill="accent6"/>
            <w:vAlign w:val="center"/>
            <w:hideMark/>
          </w:tcPr>
          <w:p w14:paraId="7546A330" w14:textId="77777777" w:rsidR="00D155AA" w:rsidRPr="00655FC7" w:rsidRDefault="00D155AA" w:rsidP="00827748">
            <w:pPr>
              <w:ind w:firstLine="0"/>
              <w:jc w:val="center"/>
              <w:rPr>
                <w:rFonts w:ascii="Calibri" w:hAnsi="Calibri" w:cs="Calibri"/>
                <w:b/>
                <w:bCs/>
                <w:color w:val="auto"/>
                <w:sz w:val="18"/>
                <w:szCs w:val="18"/>
                <w:lang w:eastAsia="pl-PL"/>
              </w:rPr>
            </w:pPr>
          </w:p>
        </w:tc>
        <w:tc>
          <w:tcPr>
            <w:tcW w:w="3381" w:type="dxa"/>
            <w:gridSpan w:val="2"/>
            <w:tcBorders>
              <w:top w:val="single" w:sz="4" w:space="0" w:color="E6EED6" w:themeColor="accent6" w:themeTint="66"/>
              <w:left w:val="single" w:sz="4" w:space="0" w:color="E6EED6" w:themeColor="accent6" w:themeTint="66"/>
              <w:bottom w:val="single" w:sz="4" w:space="0" w:color="E6EED6" w:themeColor="accent6" w:themeTint="66"/>
              <w:right w:val="single" w:sz="4" w:space="0" w:color="E6EED6" w:themeColor="accent6" w:themeTint="66"/>
            </w:tcBorders>
            <w:shd w:val="clear" w:color="auto" w:fill="C3D69B" w:themeFill="accent6"/>
            <w:vAlign w:val="center"/>
            <w:hideMark/>
          </w:tcPr>
          <w:p w14:paraId="31EF61D3"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powierzchniowymi płynącymi</w:t>
            </w:r>
          </w:p>
        </w:tc>
        <w:tc>
          <w:tcPr>
            <w:tcW w:w="831" w:type="dxa"/>
            <w:tcBorders>
              <w:top w:val="single" w:sz="4" w:space="0" w:color="E6EED6" w:themeColor="accent6" w:themeTint="66"/>
              <w:left w:val="single" w:sz="4" w:space="0" w:color="E6EED6" w:themeColor="accent6" w:themeTint="66"/>
              <w:bottom w:val="single" w:sz="4" w:space="0" w:color="E6EED6" w:themeColor="accent6" w:themeTint="66"/>
              <w:right w:val="single" w:sz="4" w:space="0" w:color="E6EED6" w:themeColor="accent6" w:themeTint="66"/>
            </w:tcBorders>
            <w:shd w:val="clear" w:color="auto" w:fill="C3D69B" w:themeFill="accent6"/>
            <w:vAlign w:val="center"/>
            <w:hideMark/>
          </w:tcPr>
          <w:p w14:paraId="47889905"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Wp</w:t>
            </w:r>
          </w:p>
        </w:tc>
        <w:tc>
          <w:tcPr>
            <w:tcW w:w="0" w:type="auto"/>
            <w:vMerge/>
            <w:tcBorders>
              <w:top w:val="single" w:sz="4" w:space="0" w:color="E6EED6" w:themeColor="accent6" w:themeTint="66"/>
              <w:left w:val="single" w:sz="4" w:space="0" w:color="E6EED6" w:themeColor="accent6" w:themeTint="66"/>
              <w:bottom w:val="single" w:sz="4" w:space="0" w:color="E6EED6" w:themeColor="accent6" w:themeTint="66"/>
              <w:right w:val="single" w:sz="4" w:space="0" w:color="E6EED6" w:themeColor="accent6" w:themeTint="66"/>
            </w:tcBorders>
            <w:shd w:val="clear" w:color="auto" w:fill="C3D69B" w:themeFill="accent6"/>
            <w:vAlign w:val="center"/>
            <w:hideMark/>
          </w:tcPr>
          <w:p w14:paraId="5E632596" w14:textId="77777777" w:rsidR="00D155AA" w:rsidRPr="00655FC7" w:rsidRDefault="00D155AA" w:rsidP="00827748">
            <w:pPr>
              <w:ind w:firstLine="0"/>
              <w:jc w:val="center"/>
              <w:rPr>
                <w:rFonts w:ascii="Calibri" w:hAnsi="Calibri" w:cs="Calibri"/>
                <w:color w:val="auto"/>
                <w:sz w:val="18"/>
                <w:szCs w:val="18"/>
                <w:lang w:eastAsia="pl-PL"/>
              </w:rPr>
            </w:pPr>
          </w:p>
        </w:tc>
        <w:tc>
          <w:tcPr>
            <w:tcW w:w="0" w:type="auto"/>
            <w:tcBorders>
              <w:top w:val="single" w:sz="4" w:space="0" w:color="E6EED6" w:themeColor="accent6" w:themeTint="66"/>
              <w:left w:val="single" w:sz="4" w:space="0" w:color="E6EED6" w:themeColor="accent6" w:themeTint="66"/>
              <w:bottom w:val="single" w:sz="4" w:space="0" w:color="E6EED6" w:themeColor="accent6" w:themeTint="66"/>
            </w:tcBorders>
            <w:shd w:val="clear" w:color="auto" w:fill="C3D69B" w:themeFill="accent6"/>
            <w:noWrap/>
            <w:vAlign w:val="center"/>
            <w:hideMark/>
          </w:tcPr>
          <w:p w14:paraId="1CA5E45B"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2</w:t>
            </w:r>
          </w:p>
        </w:tc>
      </w:tr>
      <w:tr w:rsidR="00D155AA" w:rsidRPr="00655FC7" w14:paraId="0CE0DEF4" w14:textId="77777777" w:rsidTr="00827748">
        <w:trPr>
          <w:trHeight w:val="283"/>
          <w:jc w:val="center"/>
        </w:trPr>
        <w:tc>
          <w:tcPr>
            <w:tcW w:w="0" w:type="auto"/>
            <w:vMerge/>
            <w:tcBorders>
              <w:top w:val="single" w:sz="4" w:space="0" w:color="E6EED6" w:themeColor="accent6" w:themeTint="66"/>
              <w:bottom w:val="single" w:sz="4" w:space="0" w:color="E6EED6" w:themeColor="accent6" w:themeTint="66"/>
              <w:right w:val="single" w:sz="4" w:space="0" w:color="E6EED6" w:themeColor="accent6" w:themeTint="66"/>
            </w:tcBorders>
            <w:shd w:val="clear" w:color="auto" w:fill="C3D69B" w:themeFill="accent6"/>
            <w:vAlign w:val="center"/>
            <w:hideMark/>
          </w:tcPr>
          <w:p w14:paraId="6FF67C58" w14:textId="77777777" w:rsidR="00D155AA" w:rsidRPr="00655FC7" w:rsidRDefault="00D155AA" w:rsidP="00827748">
            <w:pPr>
              <w:ind w:firstLine="0"/>
              <w:jc w:val="center"/>
              <w:rPr>
                <w:rFonts w:ascii="Calibri" w:hAnsi="Calibri" w:cs="Calibri"/>
                <w:b/>
                <w:bCs/>
                <w:color w:val="auto"/>
                <w:sz w:val="18"/>
                <w:szCs w:val="18"/>
                <w:lang w:eastAsia="pl-PL"/>
              </w:rPr>
            </w:pPr>
          </w:p>
        </w:tc>
        <w:tc>
          <w:tcPr>
            <w:tcW w:w="3381" w:type="dxa"/>
            <w:gridSpan w:val="2"/>
            <w:tcBorders>
              <w:top w:val="single" w:sz="4" w:space="0" w:color="E6EED6" w:themeColor="accent6" w:themeTint="66"/>
              <w:left w:val="single" w:sz="4" w:space="0" w:color="E6EED6" w:themeColor="accent6" w:themeTint="66"/>
              <w:bottom w:val="single" w:sz="4" w:space="0" w:color="E6EED6" w:themeColor="accent6" w:themeTint="66"/>
              <w:right w:val="single" w:sz="4" w:space="0" w:color="E6EED6" w:themeColor="accent6" w:themeTint="66"/>
            </w:tcBorders>
            <w:shd w:val="clear" w:color="auto" w:fill="C3D69B" w:themeFill="accent6"/>
            <w:vAlign w:val="center"/>
            <w:hideMark/>
          </w:tcPr>
          <w:p w14:paraId="5E0D3234"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powierzchniowymi stojącymi</w:t>
            </w:r>
          </w:p>
        </w:tc>
        <w:tc>
          <w:tcPr>
            <w:tcW w:w="831" w:type="dxa"/>
            <w:tcBorders>
              <w:top w:val="single" w:sz="4" w:space="0" w:color="E6EED6" w:themeColor="accent6" w:themeTint="66"/>
              <w:left w:val="single" w:sz="4" w:space="0" w:color="E6EED6" w:themeColor="accent6" w:themeTint="66"/>
              <w:bottom w:val="single" w:sz="4" w:space="0" w:color="E6EED6" w:themeColor="accent6" w:themeTint="66"/>
              <w:right w:val="single" w:sz="4" w:space="0" w:color="E6EED6" w:themeColor="accent6" w:themeTint="66"/>
            </w:tcBorders>
            <w:shd w:val="clear" w:color="auto" w:fill="C3D69B" w:themeFill="accent6"/>
            <w:vAlign w:val="center"/>
            <w:hideMark/>
          </w:tcPr>
          <w:p w14:paraId="3B4BE702"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Ws</w:t>
            </w:r>
          </w:p>
        </w:tc>
        <w:tc>
          <w:tcPr>
            <w:tcW w:w="0" w:type="auto"/>
            <w:vMerge/>
            <w:tcBorders>
              <w:top w:val="single" w:sz="4" w:space="0" w:color="E6EED6" w:themeColor="accent6" w:themeTint="66"/>
              <w:left w:val="single" w:sz="4" w:space="0" w:color="E6EED6" w:themeColor="accent6" w:themeTint="66"/>
              <w:bottom w:val="single" w:sz="4" w:space="0" w:color="E6EED6" w:themeColor="accent6" w:themeTint="66"/>
              <w:right w:val="single" w:sz="4" w:space="0" w:color="E6EED6" w:themeColor="accent6" w:themeTint="66"/>
            </w:tcBorders>
            <w:shd w:val="clear" w:color="auto" w:fill="C3D69B" w:themeFill="accent6"/>
            <w:vAlign w:val="center"/>
            <w:hideMark/>
          </w:tcPr>
          <w:p w14:paraId="69EA03B4" w14:textId="77777777" w:rsidR="00D155AA" w:rsidRPr="00655FC7" w:rsidRDefault="00D155AA" w:rsidP="00827748">
            <w:pPr>
              <w:ind w:firstLine="0"/>
              <w:jc w:val="center"/>
              <w:rPr>
                <w:rFonts w:ascii="Calibri" w:hAnsi="Calibri" w:cs="Calibri"/>
                <w:color w:val="auto"/>
                <w:sz w:val="18"/>
                <w:szCs w:val="18"/>
                <w:lang w:eastAsia="pl-PL"/>
              </w:rPr>
            </w:pPr>
          </w:p>
        </w:tc>
        <w:tc>
          <w:tcPr>
            <w:tcW w:w="0" w:type="auto"/>
            <w:tcBorders>
              <w:top w:val="single" w:sz="4" w:space="0" w:color="E6EED6" w:themeColor="accent6" w:themeTint="66"/>
              <w:left w:val="single" w:sz="4" w:space="0" w:color="E6EED6" w:themeColor="accent6" w:themeTint="66"/>
              <w:bottom w:val="single" w:sz="4" w:space="0" w:color="E6EED6" w:themeColor="accent6" w:themeTint="66"/>
            </w:tcBorders>
            <w:shd w:val="clear" w:color="auto" w:fill="C3D69B" w:themeFill="accent6"/>
            <w:noWrap/>
            <w:vAlign w:val="center"/>
            <w:hideMark/>
          </w:tcPr>
          <w:p w14:paraId="519CF146"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0</w:t>
            </w:r>
          </w:p>
        </w:tc>
      </w:tr>
      <w:tr w:rsidR="00D155AA" w:rsidRPr="00655FC7" w14:paraId="18591818" w14:textId="77777777" w:rsidTr="00827748">
        <w:trPr>
          <w:trHeight w:val="283"/>
          <w:jc w:val="center"/>
        </w:trPr>
        <w:tc>
          <w:tcPr>
            <w:tcW w:w="0" w:type="auto"/>
            <w:vMerge/>
            <w:tcBorders>
              <w:top w:val="single" w:sz="4" w:space="0" w:color="E6EED6" w:themeColor="accent6" w:themeTint="66"/>
              <w:bottom w:val="single" w:sz="4" w:space="0" w:color="auto"/>
              <w:right w:val="single" w:sz="4" w:space="0" w:color="E6EED6" w:themeColor="accent6" w:themeTint="66"/>
            </w:tcBorders>
            <w:shd w:val="clear" w:color="auto" w:fill="C3D69B" w:themeFill="accent6"/>
            <w:vAlign w:val="center"/>
            <w:hideMark/>
          </w:tcPr>
          <w:p w14:paraId="29D5E5EC" w14:textId="77777777" w:rsidR="00D155AA" w:rsidRPr="00655FC7" w:rsidRDefault="00D155AA" w:rsidP="00827748">
            <w:pPr>
              <w:ind w:firstLine="0"/>
              <w:jc w:val="center"/>
              <w:rPr>
                <w:rFonts w:ascii="Calibri" w:hAnsi="Calibri" w:cs="Calibri"/>
                <w:b/>
                <w:bCs/>
                <w:color w:val="auto"/>
                <w:sz w:val="18"/>
                <w:szCs w:val="18"/>
                <w:lang w:eastAsia="pl-PL"/>
              </w:rPr>
            </w:pPr>
          </w:p>
        </w:tc>
        <w:tc>
          <w:tcPr>
            <w:tcW w:w="3381" w:type="dxa"/>
            <w:gridSpan w:val="2"/>
            <w:tcBorders>
              <w:top w:val="single" w:sz="4" w:space="0" w:color="E6EED6" w:themeColor="accent6" w:themeTint="66"/>
              <w:left w:val="single" w:sz="4" w:space="0" w:color="E6EED6" w:themeColor="accent6" w:themeTint="66"/>
              <w:bottom w:val="single" w:sz="4" w:space="0" w:color="auto"/>
              <w:right w:val="single" w:sz="4" w:space="0" w:color="E6EED6" w:themeColor="accent6" w:themeTint="66"/>
            </w:tcBorders>
            <w:shd w:val="clear" w:color="auto" w:fill="C3D69B" w:themeFill="accent6"/>
            <w:vAlign w:val="center"/>
            <w:hideMark/>
          </w:tcPr>
          <w:p w14:paraId="0DE259D1" w14:textId="77777777" w:rsidR="00D155AA" w:rsidRPr="00655FC7" w:rsidRDefault="00D155AA" w:rsidP="00827748">
            <w:pPr>
              <w:ind w:firstLine="0"/>
              <w:jc w:val="center"/>
              <w:rPr>
                <w:rFonts w:ascii="Calibri" w:hAnsi="Calibri" w:cs="Calibri"/>
                <w:b/>
                <w:bCs/>
                <w:color w:val="auto"/>
                <w:sz w:val="18"/>
                <w:szCs w:val="18"/>
                <w:lang w:eastAsia="pl-PL"/>
              </w:rPr>
            </w:pPr>
            <w:r w:rsidRPr="00655FC7">
              <w:rPr>
                <w:rFonts w:ascii="Calibri" w:hAnsi="Calibri" w:cs="Calibri"/>
                <w:b/>
                <w:bCs/>
                <w:color w:val="auto"/>
                <w:sz w:val="18"/>
                <w:szCs w:val="18"/>
                <w:lang w:eastAsia="pl-PL"/>
              </w:rPr>
              <w:t>Razem</w:t>
            </w:r>
          </w:p>
        </w:tc>
        <w:tc>
          <w:tcPr>
            <w:tcW w:w="831" w:type="dxa"/>
            <w:tcBorders>
              <w:top w:val="single" w:sz="4" w:space="0" w:color="E6EED6" w:themeColor="accent6" w:themeTint="66"/>
              <w:left w:val="single" w:sz="4" w:space="0" w:color="E6EED6" w:themeColor="accent6" w:themeTint="66"/>
              <w:bottom w:val="single" w:sz="4" w:space="0" w:color="auto"/>
              <w:right w:val="single" w:sz="4" w:space="0" w:color="E6EED6" w:themeColor="accent6" w:themeTint="66"/>
            </w:tcBorders>
            <w:shd w:val="clear" w:color="auto" w:fill="C3D69B" w:themeFill="accent6"/>
            <w:vAlign w:val="center"/>
            <w:hideMark/>
          </w:tcPr>
          <w:p w14:paraId="3F9C5A8D" w14:textId="77777777" w:rsidR="00D155AA" w:rsidRPr="00655FC7" w:rsidRDefault="00D155AA" w:rsidP="00827748">
            <w:pPr>
              <w:ind w:firstLine="0"/>
              <w:jc w:val="center"/>
              <w:rPr>
                <w:rFonts w:ascii="Calibri" w:hAnsi="Calibri" w:cs="Calibri"/>
                <w:color w:val="auto"/>
                <w:sz w:val="18"/>
                <w:szCs w:val="18"/>
                <w:lang w:eastAsia="pl-PL"/>
              </w:rPr>
            </w:pPr>
          </w:p>
        </w:tc>
        <w:tc>
          <w:tcPr>
            <w:tcW w:w="459" w:type="dxa"/>
            <w:tcBorders>
              <w:top w:val="single" w:sz="4" w:space="0" w:color="E6EED6" w:themeColor="accent6" w:themeTint="66"/>
              <w:left w:val="single" w:sz="4" w:space="0" w:color="E6EED6" w:themeColor="accent6" w:themeTint="66"/>
              <w:bottom w:val="single" w:sz="4" w:space="0" w:color="auto"/>
              <w:right w:val="single" w:sz="4" w:space="0" w:color="E6EED6" w:themeColor="accent6" w:themeTint="66"/>
            </w:tcBorders>
            <w:shd w:val="clear" w:color="auto" w:fill="C3D69B" w:themeFill="accent6"/>
            <w:vAlign w:val="center"/>
            <w:hideMark/>
          </w:tcPr>
          <w:p w14:paraId="6C4AB2D4"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ha</w:t>
            </w:r>
          </w:p>
        </w:tc>
        <w:tc>
          <w:tcPr>
            <w:tcW w:w="0" w:type="auto"/>
            <w:tcBorders>
              <w:top w:val="single" w:sz="4" w:space="0" w:color="E6EED6" w:themeColor="accent6" w:themeTint="66"/>
              <w:left w:val="single" w:sz="4" w:space="0" w:color="E6EED6" w:themeColor="accent6" w:themeTint="66"/>
              <w:bottom w:val="single" w:sz="4" w:space="0" w:color="auto"/>
            </w:tcBorders>
            <w:shd w:val="clear" w:color="auto" w:fill="C3D69B" w:themeFill="accent6"/>
            <w:noWrap/>
            <w:vAlign w:val="center"/>
            <w:hideMark/>
          </w:tcPr>
          <w:p w14:paraId="08BB6688" w14:textId="77777777" w:rsidR="00D155AA" w:rsidRPr="00655FC7" w:rsidRDefault="00D155AA" w:rsidP="00827748">
            <w:pPr>
              <w:ind w:firstLine="0"/>
              <w:jc w:val="center"/>
              <w:rPr>
                <w:rFonts w:ascii="Calibri" w:hAnsi="Calibri" w:cs="Calibri"/>
                <w:b/>
                <w:bCs/>
                <w:color w:val="auto"/>
                <w:sz w:val="18"/>
                <w:szCs w:val="18"/>
                <w:lang w:eastAsia="pl-PL"/>
              </w:rPr>
            </w:pPr>
            <w:r w:rsidRPr="00655FC7">
              <w:rPr>
                <w:rFonts w:ascii="Calibri" w:hAnsi="Calibri" w:cs="Calibri"/>
                <w:b/>
                <w:bCs/>
                <w:color w:val="auto"/>
                <w:sz w:val="18"/>
                <w:szCs w:val="18"/>
                <w:lang w:eastAsia="pl-PL"/>
              </w:rPr>
              <w:t>2</w:t>
            </w:r>
          </w:p>
        </w:tc>
      </w:tr>
      <w:tr w:rsidR="00D155AA" w:rsidRPr="00655FC7" w14:paraId="749FD9F1" w14:textId="77777777" w:rsidTr="00827748">
        <w:trPr>
          <w:trHeight w:val="283"/>
          <w:jc w:val="center"/>
        </w:trPr>
        <w:tc>
          <w:tcPr>
            <w:tcW w:w="3441" w:type="dxa"/>
            <w:tcBorders>
              <w:right w:val="single" w:sz="4" w:space="0" w:color="C3D69B" w:themeColor="accent6"/>
            </w:tcBorders>
            <w:shd w:val="clear" w:color="auto" w:fill="E6EED6" w:themeFill="accent6" w:themeFillTint="66"/>
            <w:vAlign w:val="center"/>
            <w:hideMark/>
          </w:tcPr>
          <w:p w14:paraId="2CFE1C66" w14:textId="77777777" w:rsidR="00D155AA" w:rsidRPr="00655FC7" w:rsidRDefault="00D155AA" w:rsidP="00827748">
            <w:pPr>
              <w:ind w:firstLine="0"/>
              <w:jc w:val="center"/>
              <w:rPr>
                <w:rFonts w:ascii="Calibri" w:hAnsi="Calibri" w:cs="Calibri"/>
                <w:b/>
                <w:bCs/>
                <w:color w:val="auto"/>
                <w:sz w:val="18"/>
                <w:szCs w:val="18"/>
                <w:lang w:eastAsia="pl-PL"/>
              </w:rPr>
            </w:pPr>
            <w:r w:rsidRPr="00655FC7">
              <w:rPr>
                <w:rFonts w:ascii="Calibri" w:hAnsi="Calibri" w:cs="Calibri"/>
                <w:b/>
                <w:bCs/>
                <w:color w:val="auto"/>
                <w:sz w:val="18"/>
                <w:szCs w:val="18"/>
                <w:lang w:eastAsia="pl-PL"/>
              </w:rPr>
              <w:t>5. Tereny różne</w:t>
            </w:r>
          </w:p>
        </w:tc>
        <w:tc>
          <w:tcPr>
            <w:tcW w:w="3381" w:type="dxa"/>
            <w:gridSpan w:val="2"/>
            <w:tcBorders>
              <w:left w:val="single" w:sz="4" w:space="0" w:color="C3D69B" w:themeColor="accent6"/>
              <w:right w:val="single" w:sz="4" w:space="0" w:color="C3D69B" w:themeColor="accent6"/>
            </w:tcBorders>
            <w:shd w:val="clear" w:color="auto" w:fill="E6EED6" w:themeFill="accent6" w:themeFillTint="66"/>
            <w:vAlign w:val="center"/>
            <w:hideMark/>
          </w:tcPr>
          <w:p w14:paraId="2B943A11" w14:textId="77777777" w:rsidR="00D155AA" w:rsidRPr="00655FC7" w:rsidRDefault="00D155AA" w:rsidP="00827748">
            <w:pPr>
              <w:ind w:firstLine="0"/>
              <w:jc w:val="center"/>
              <w:rPr>
                <w:rFonts w:ascii="Calibri" w:hAnsi="Calibri" w:cs="Calibri"/>
                <w:color w:val="auto"/>
                <w:sz w:val="18"/>
                <w:szCs w:val="18"/>
                <w:lang w:eastAsia="pl-PL"/>
              </w:rPr>
            </w:pPr>
          </w:p>
        </w:tc>
        <w:tc>
          <w:tcPr>
            <w:tcW w:w="831" w:type="dxa"/>
            <w:tcBorders>
              <w:left w:val="single" w:sz="4" w:space="0" w:color="C3D69B" w:themeColor="accent6"/>
              <w:right w:val="single" w:sz="4" w:space="0" w:color="C3D69B" w:themeColor="accent6"/>
            </w:tcBorders>
            <w:shd w:val="clear" w:color="auto" w:fill="E6EED6" w:themeFill="accent6" w:themeFillTint="66"/>
            <w:vAlign w:val="center"/>
            <w:hideMark/>
          </w:tcPr>
          <w:p w14:paraId="70845CD0"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Tr</w:t>
            </w:r>
          </w:p>
        </w:tc>
        <w:tc>
          <w:tcPr>
            <w:tcW w:w="459" w:type="dxa"/>
            <w:tcBorders>
              <w:left w:val="single" w:sz="4" w:space="0" w:color="C3D69B" w:themeColor="accent6"/>
              <w:right w:val="single" w:sz="4" w:space="0" w:color="C3D69B" w:themeColor="accent6"/>
            </w:tcBorders>
            <w:shd w:val="clear" w:color="auto" w:fill="E6EED6" w:themeFill="accent6" w:themeFillTint="66"/>
            <w:vAlign w:val="center"/>
            <w:hideMark/>
          </w:tcPr>
          <w:p w14:paraId="20E99213" w14:textId="77777777" w:rsidR="00D155AA" w:rsidRPr="00655FC7" w:rsidRDefault="00D155AA" w:rsidP="00827748">
            <w:pPr>
              <w:ind w:firstLine="0"/>
              <w:jc w:val="center"/>
              <w:rPr>
                <w:rFonts w:ascii="Calibri" w:hAnsi="Calibri" w:cs="Calibri"/>
                <w:color w:val="auto"/>
                <w:sz w:val="18"/>
                <w:szCs w:val="18"/>
                <w:lang w:eastAsia="pl-PL"/>
              </w:rPr>
            </w:pPr>
            <w:r w:rsidRPr="00655FC7">
              <w:rPr>
                <w:rFonts w:ascii="Calibri" w:hAnsi="Calibri" w:cs="Calibri"/>
                <w:color w:val="auto"/>
                <w:sz w:val="18"/>
                <w:szCs w:val="18"/>
                <w:lang w:eastAsia="pl-PL"/>
              </w:rPr>
              <w:t>ha</w:t>
            </w:r>
          </w:p>
        </w:tc>
        <w:tc>
          <w:tcPr>
            <w:tcW w:w="0" w:type="auto"/>
            <w:tcBorders>
              <w:left w:val="single" w:sz="4" w:space="0" w:color="C3D69B" w:themeColor="accent6"/>
            </w:tcBorders>
            <w:shd w:val="clear" w:color="auto" w:fill="E6EED6" w:themeFill="accent6" w:themeFillTint="66"/>
            <w:noWrap/>
            <w:vAlign w:val="center"/>
            <w:hideMark/>
          </w:tcPr>
          <w:p w14:paraId="3B9595C7" w14:textId="77777777" w:rsidR="00D155AA" w:rsidRPr="00655FC7" w:rsidRDefault="00D155AA" w:rsidP="00827748">
            <w:pPr>
              <w:ind w:firstLine="0"/>
              <w:jc w:val="center"/>
              <w:rPr>
                <w:rFonts w:ascii="Calibri" w:hAnsi="Calibri" w:cs="Calibri"/>
                <w:b/>
                <w:bCs/>
                <w:color w:val="auto"/>
                <w:sz w:val="18"/>
                <w:szCs w:val="18"/>
                <w:lang w:eastAsia="pl-PL"/>
              </w:rPr>
            </w:pPr>
            <w:r w:rsidRPr="00655FC7">
              <w:rPr>
                <w:rFonts w:ascii="Calibri" w:hAnsi="Calibri" w:cs="Calibri"/>
                <w:b/>
                <w:bCs/>
                <w:color w:val="auto"/>
                <w:sz w:val="18"/>
                <w:szCs w:val="18"/>
                <w:lang w:eastAsia="pl-PL"/>
              </w:rPr>
              <w:t>0</w:t>
            </w:r>
          </w:p>
        </w:tc>
      </w:tr>
    </w:tbl>
    <w:p w14:paraId="3378ECE9" w14:textId="77777777" w:rsidR="00D155AA" w:rsidRPr="00655FC7" w:rsidRDefault="00D155AA" w:rsidP="00D155AA">
      <w:pPr>
        <w:spacing w:line="240" w:lineRule="auto"/>
        <w:jc w:val="center"/>
        <w:rPr>
          <w:rFonts w:cstheme="minorHAnsi"/>
          <w:color w:val="auto"/>
          <w:sz w:val="20"/>
          <w:lang w:eastAsia="pl-PL"/>
        </w:rPr>
      </w:pPr>
      <w:r w:rsidRPr="00655FC7">
        <w:rPr>
          <w:rFonts w:cstheme="minorHAnsi"/>
          <w:color w:val="auto"/>
          <w:sz w:val="20"/>
          <w:lang w:eastAsia="pl-PL"/>
        </w:rPr>
        <w:t>Źródło: Informacje udostępnione przez Starostwo Powiatowe w Biłgoraju</w:t>
      </w:r>
    </w:p>
    <w:p w14:paraId="412571F3" w14:textId="77777777" w:rsidR="00D155AA" w:rsidRPr="00655FC7" w:rsidRDefault="00D155AA" w:rsidP="00D155AA">
      <w:pPr>
        <w:rPr>
          <w:rFonts w:cstheme="minorHAnsi"/>
          <w:lang w:eastAsia="pl-PL"/>
        </w:rPr>
      </w:pPr>
    </w:p>
    <w:p w14:paraId="54913FCF" w14:textId="77777777" w:rsidR="00D155AA" w:rsidRPr="00655FC7" w:rsidRDefault="00D155AA" w:rsidP="00D155AA">
      <w:pPr>
        <w:pStyle w:val="Nagwek3"/>
      </w:pPr>
      <w:bookmarkStart w:id="158" w:name="_Toc177732060"/>
      <w:r w:rsidRPr="00655FC7">
        <w:t>Wody powierzchniowe</w:t>
      </w:r>
      <w:bookmarkEnd w:id="158"/>
    </w:p>
    <w:p w14:paraId="6349BB71" w14:textId="77777777" w:rsidR="00D155AA" w:rsidRPr="00655FC7" w:rsidRDefault="00D155AA" w:rsidP="00D155AA">
      <w:pPr>
        <w:rPr>
          <w:rFonts w:cstheme="minorHAnsi"/>
        </w:rPr>
      </w:pPr>
      <w:bookmarkStart w:id="159" w:name="_Toc379803259"/>
      <w:bookmarkStart w:id="160" w:name="_Toc420324347"/>
      <w:r w:rsidRPr="00655FC7">
        <w:rPr>
          <w:rFonts w:cstheme="minorHAnsi"/>
        </w:rPr>
        <w:t>Wody na terenie Miasta Tarnogród położone są na obszarze dorzecza Wisły. Przez miasto przepływa rzeka Złota Nitka. Jej przebieg zaprezentowano na poniższym rysunku.</w:t>
      </w:r>
    </w:p>
    <w:p w14:paraId="1EA8D6B0" w14:textId="77777777" w:rsidR="00D155AA" w:rsidRPr="00655FC7" w:rsidRDefault="00D155AA" w:rsidP="00D155AA">
      <w:pPr>
        <w:rPr>
          <w:rFonts w:cstheme="minorHAnsi"/>
        </w:rPr>
      </w:pPr>
    </w:p>
    <w:p w14:paraId="4E40E259" w14:textId="77777777" w:rsidR="00D155AA" w:rsidRPr="00655FC7" w:rsidRDefault="00D155AA" w:rsidP="00D155AA">
      <w:pPr>
        <w:ind w:firstLine="0"/>
        <w:jc w:val="center"/>
        <w:rPr>
          <w:rFonts w:eastAsia="Calibri" w:cstheme="minorHAnsi"/>
          <w:color w:val="auto"/>
          <w:lang w:eastAsia="pl-PL"/>
        </w:rPr>
      </w:pPr>
      <w:r w:rsidRPr="00655FC7">
        <w:rPr>
          <w:rFonts w:eastAsia="Calibri" w:cstheme="minorHAnsi"/>
          <w:noProof/>
          <w:color w:val="auto"/>
          <w:lang w:eastAsia="pl-PL"/>
        </w:rPr>
        <w:lastRenderedPageBreak/>
        <w:drawing>
          <wp:inline distT="0" distB="0" distL="0" distR="0" wp14:anchorId="701C03C4" wp14:editId="7DC975CD">
            <wp:extent cx="5760720" cy="4073525"/>
            <wp:effectExtent l="19050" t="19050" r="11430" b="22225"/>
            <wp:docPr id="497742928" name="Obraz 1" descr="Obraz zawierający mapa, tekst, diagram, atlas&#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742928" name="Obraz 1" descr="Obraz zawierający mapa, tekst, diagram, atlas&#10;&#10;Opis wygenerowany automatyczni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a:ln>
                      <a:solidFill>
                        <a:schemeClr val="tx1"/>
                      </a:solidFill>
                    </a:ln>
                  </pic:spPr>
                </pic:pic>
              </a:graphicData>
            </a:graphic>
          </wp:inline>
        </w:drawing>
      </w:r>
    </w:p>
    <w:p w14:paraId="2A3843F4" w14:textId="3C099E94" w:rsidR="00D155AA" w:rsidRPr="00655FC7" w:rsidRDefault="00D155AA" w:rsidP="00D155AA">
      <w:pPr>
        <w:pStyle w:val="Stylrysunek"/>
      </w:pPr>
      <w:bookmarkStart w:id="161" w:name="_Toc178846370"/>
      <w:r w:rsidRPr="00655FC7">
        <w:t xml:space="preserve">Rysunek </w:t>
      </w:r>
      <w:r w:rsidR="00EA4C85">
        <w:fldChar w:fldCharType="begin"/>
      </w:r>
      <w:r w:rsidR="00EA4C85">
        <w:instrText xml:space="preserve"> SEQ Rysunek \* ARABIC </w:instrText>
      </w:r>
      <w:r w:rsidR="00EA4C85">
        <w:fldChar w:fldCharType="separate"/>
      </w:r>
      <w:r w:rsidR="00A654D8">
        <w:rPr>
          <w:noProof/>
        </w:rPr>
        <w:t>28</w:t>
      </w:r>
      <w:r w:rsidR="00EA4C85">
        <w:rPr>
          <w:noProof/>
        </w:rPr>
        <w:fldChar w:fldCharType="end"/>
      </w:r>
      <w:r w:rsidRPr="00655FC7">
        <w:t>. Wody powierzchniowe.</w:t>
      </w:r>
      <w:bookmarkEnd w:id="161"/>
    </w:p>
    <w:p w14:paraId="4B93B664" w14:textId="77777777" w:rsidR="00D155AA" w:rsidRPr="00655FC7" w:rsidRDefault="00D155AA" w:rsidP="00D155AA">
      <w:pPr>
        <w:pStyle w:val="Cytat"/>
      </w:pPr>
      <w:r w:rsidRPr="00655FC7">
        <w:t>Źródło: Opracowanie własne na podstawie PGW Wody Polskie</w:t>
      </w:r>
    </w:p>
    <w:p w14:paraId="7CC8F07E" w14:textId="77777777" w:rsidR="00D155AA" w:rsidRPr="00655FC7" w:rsidRDefault="00D155AA" w:rsidP="00D155AA">
      <w:pPr>
        <w:tabs>
          <w:tab w:val="left" w:pos="3119"/>
        </w:tabs>
        <w:autoSpaceDE w:val="0"/>
        <w:autoSpaceDN w:val="0"/>
        <w:adjustRightInd w:val="0"/>
        <w:rPr>
          <w:rFonts w:eastAsia="Calibri" w:cstheme="minorHAnsi"/>
          <w:color w:val="auto"/>
          <w:lang w:eastAsia="pl-PL"/>
        </w:rPr>
      </w:pPr>
    </w:p>
    <w:p w14:paraId="43BF0DA1" w14:textId="77777777" w:rsidR="00D155AA" w:rsidRPr="00655FC7" w:rsidRDefault="00D155AA" w:rsidP="00D155AA">
      <w:pPr>
        <w:tabs>
          <w:tab w:val="left" w:pos="3119"/>
        </w:tabs>
        <w:autoSpaceDE w:val="0"/>
        <w:autoSpaceDN w:val="0"/>
        <w:adjustRightInd w:val="0"/>
        <w:rPr>
          <w:rFonts w:eastAsia="Calibri" w:cstheme="minorHAnsi"/>
          <w:color w:val="auto"/>
          <w:lang w:eastAsia="pl-PL"/>
        </w:rPr>
      </w:pPr>
      <w:r w:rsidRPr="00655FC7">
        <w:rPr>
          <w:rFonts w:eastAsia="Calibri" w:cstheme="minorHAnsi"/>
          <w:color w:val="auto"/>
          <w:lang w:eastAsia="pl-PL"/>
        </w:rPr>
        <w:t>Obszar Miasta Tarnogród leży w zlewniach trzech jednolitych części wód powierzchniowych (JCWP):</w:t>
      </w:r>
    </w:p>
    <w:p w14:paraId="137ABD12" w14:textId="77777777" w:rsidR="00D155AA" w:rsidRPr="00655FC7" w:rsidRDefault="00D155AA">
      <w:pPr>
        <w:pStyle w:val="Akapitzlist"/>
        <w:numPr>
          <w:ilvl w:val="0"/>
          <w:numId w:val="53"/>
        </w:numPr>
        <w:tabs>
          <w:tab w:val="left" w:pos="3119"/>
        </w:tabs>
        <w:autoSpaceDE w:val="0"/>
        <w:autoSpaceDN w:val="0"/>
        <w:adjustRightInd w:val="0"/>
        <w:rPr>
          <w:rFonts w:eastAsia="Calibri" w:cstheme="minorHAnsi"/>
          <w:color w:val="auto"/>
          <w:lang w:eastAsia="pl-PL"/>
        </w:rPr>
      </w:pPr>
      <w:r w:rsidRPr="00655FC7">
        <w:rPr>
          <w:rFonts w:eastAsia="Calibri" w:cstheme="minorHAnsi"/>
          <w:color w:val="auto"/>
          <w:lang w:eastAsia="pl-PL"/>
        </w:rPr>
        <w:t>Złota Nitka,</w:t>
      </w:r>
    </w:p>
    <w:p w14:paraId="66B41E60" w14:textId="77777777" w:rsidR="00D155AA" w:rsidRPr="00655FC7" w:rsidRDefault="00D155AA">
      <w:pPr>
        <w:pStyle w:val="Akapitzlist"/>
        <w:numPr>
          <w:ilvl w:val="0"/>
          <w:numId w:val="53"/>
        </w:numPr>
        <w:tabs>
          <w:tab w:val="left" w:pos="3119"/>
        </w:tabs>
        <w:autoSpaceDE w:val="0"/>
        <w:autoSpaceDN w:val="0"/>
        <w:adjustRightInd w:val="0"/>
        <w:rPr>
          <w:rFonts w:eastAsia="Calibri" w:cstheme="minorHAnsi"/>
          <w:color w:val="auto"/>
          <w:lang w:eastAsia="pl-PL"/>
        </w:rPr>
      </w:pPr>
      <w:r w:rsidRPr="00655FC7">
        <w:rPr>
          <w:rFonts w:eastAsia="Calibri" w:cstheme="minorHAnsi"/>
          <w:color w:val="auto"/>
          <w:lang w:eastAsia="pl-PL"/>
        </w:rPr>
        <w:t>Lubienia,</w:t>
      </w:r>
    </w:p>
    <w:p w14:paraId="26FE239D" w14:textId="77777777" w:rsidR="00D155AA" w:rsidRPr="00655FC7" w:rsidRDefault="00D155AA">
      <w:pPr>
        <w:pStyle w:val="Akapitzlist"/>
        <w:numPr>
          <w:ilvl w:val="0"/>
          <w:numId w:val="53"/>
        </w:numPr>
        <w:tabs>
          <w:tab w:val="left" w:pos="3119"/>
        </w:tabs>
        <w:autoSpaceDE w:val="0"/>
        <w:autoSpaceDN w:val="0"/>
        <w:adjustRightInd w:val="0"/>
        <w:rPr>
          <w:rFonts w:eastAsia="Calibri" w:cstheme="minorHAnsi"/>
          <w:color w:val="auto"/>
          <w:lang w:eastAsia="pl-PL"/>
        </w:rPr>
      </w:pPr>
      <w:r w:rsidRPr="00655FC7">
        <w:rPr>
          <w:rFonts w:eastAsia="Calibri" w:cstheme="minorHAnsi"/>
          <w:color w:val="auto"/>
          <w:lang w:eastAsia="pl-PL"/>
        </w:rPr>
        <w:t>Złota.</w:t>
      </w:r>
    </w:p>
    <w:p w14:paraId="37D4E03F" w14:textId="77777777" w:rsidR="00D155AA" w:rsidRPr="00655FC7" w:rsidRDefault="00D155AA" w:rsidP="00D155AA">
      <w:pPr>
        <w:tabs>
          <w:tab w:val="left" w:pos="3119"/>
        </w:tabs>
        <w:autoSpaceDE w:val="0"/>
        <w:autoSpaceDN w:val="0"/>
        <w:adjustRightInd w:val="0"/>
        <w:rPr>
          <w:rFonts w:eastAsia="Calibri" w:cstheme="minorHAnsi"/>
          <w:color w:val="auto"/>
          <w:lang w:eastAsia="pl-PL"/>
        </w:rPr>
      </w:pPr>
      <w:r w:rsidRPr="00655FC7">
        <w:rPr>
          <w:rFonts w:eastAsia="Calibri" w:cstheme="minorHAnsi"/>
          <w:color w:val="auto"/>
          <w:lang w:eastAsia="pl-PL"/>
        </w:rPr>
        <w:t>Informacje na temat stanu wód JCWP zlokalizowanych na terenie miasta zebrano w poniższej tabeli.</w:t>
      </w:r>
    </w:p>
    <w:p w14:paraId="7CABA3AE" w14:textId="5471063A" w:rsidR="00D155AA" w:rsidRPr="00655FC7" w:rsidRDefault="00D155AA" w:rsidP="00D155AA">
      <w:pPr>
        <w:pStyle w:val="Styltabela"/>
        <w:spacing w:before="120"/>
        <w:rPr>
          <w:rFonts w:eastAsia="Calibri"/>
        </w:rPr>
      </w:pPr>
      <w:bookmarkStart w:id="162" w:name="_Toc45877518"/>
      <w:bookmarkStart w:id="163" w:name="_Toc178846326"/>
      <w:r w:rsidRPr="00655FC7">
        <w:rPr>
          <w:rFonts w:eastAsiaTheme="minorEastAsia"/>
        </w:rPr>
        <w:t xml:space="preserve">Tabela </w:t>
      </w:r>
      <w:r w:rsidR="00E833A9">
        <w:rPr>
          <w:rFonts w:eastAsiaTheme="minorEastAsia"/>
        </w:rPr>
        <w:fldChar w:fldCharType="begin"/>
      </w:r>
      <w:r w:rsidR="00E833A9">
        <w:rPr>
          <w:rFonts w:eastAsiaTheme="minorEastAsia"/>
        </w:rPr>
        <w:instrText xml:space="preserve"> SEQ Tabela \* ARABIC </w:instrText>
      </w:r>
      <w:r w:rsidR="00E833A9">
        <w:rPr>
          <w:rFonts w:eastAsiaTheme="minorEastAsia"/>
        </w:rPr>
        <w:fldChar w:fldCharType="separate"/>
      </w:r>
      <w:r w:rsidR="00A654D8">
        <w:rPr>
          <w:rFonts w:eastAsiaTheme="minorEastAsia"/>
          <w:noProof/>
        </w:rPr>
        <w:t>20</w:t>
      </w:r>
      <w:r w:rsidR="00E833A9">
        <w:rPr>
          <w:rFonts w:eastAsiaTheme="minorEastAsia"/>
        </w:rPr>
        <w:fldChar w:fldCharType="end"/>
      </w:r>
      <w:r w:rsidRPr="00655FC7">
        <w:rPr>
          <w:rFonts w:eastAsiaTheme="minorEastAsia"/>
        </w:rPr>
        <w:t>. Jednolit</w:t>
      </w:r>
      <w:bookmarkEnd w:id="162"/>
      <w:r w:rsidRPr="00655FC7">
        <w:rPr>
          <w:rFonts w:eastAsiaTheme="minorEastAsia"/>
        </w:rPr>
        <w:t>e części wód.</w:t>
      </w:r>
      <w:bookmarkEnd w:id="163"/>
    </w:p>
    <w:tbl>
      <w:tblPr>
        <w:tblStyle w:val="Tabelalisty4akcent2"/>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93"/>
        <w:gridCol w:w="1327"/>
        <w:gridCol w:w="2169"/>
        <w:gridCol w:w="2207"/>
        <w:gridCol w:w="2176"/>
      </w:tblGrid>
      <w:tr w:rsidR="00D155AA" w:rsidRPr="00655FC7" w14:paraId="1C316E2D" w14:textId="77777777" w:rsidTr="00827748">
        <w:trPr>
          <w:cnfStyle w:val="000000100000" w:firstRow="0" w:lastRow="0" w:firstColumn="0" w:lastColumn="0" w:oddVBand="0" w:evenVBand="0" w:oddHBand="1" w:evenHBand="0" w:firstRowFirstColumn="0" w:firstRowLastColumn="0" w:lastRowFirstColumn="0" w:lastRowLastColumn="0"/>
          <w:trHeight w:val="340"/>
          <w:jc w:val="center"/>
        </w:trPr>
        <w:tc>
          <w:tcPr>
            <w:cnfStyle w:val="000010000000" w:firstRow="0" w:lastRow="0" w:firstColumn="0" w:lastColumn="0" w:oddVBand="1" w:evenVBand="0" w:oddHBand="0" w:evenHBand="0" w:firstRowFirstColumn="0" w:firstRowLastColumn="0" w:lastRowFirstColumn="0" w:lastRowLastColumn="0"/>
            <w:tcW w:w="1377" w:type="pct"/>
            <w:gridSpan w:val="2"/>
            <w:shd w:val="clear" w:color="auto" w:fill="D6D9A3" w:themeFill="accent2" w:themeFillTint="99"/>
            <w:vAlign w:val="center"/>
          </w:tcPr>
          <w:p w14:paraId="5FB33F66" w14:textId="77777777" w:rsidR="00D155AA" w:rsidRPr="00655FC7" w:rsidRDefault="00D155AA" w:rsidP="00827748">
            <w:pPr>
              <w:pBdr>
                <w:top w:val="none" w:sz="0" w:space="0" w:color="000000"/>
                <w:left w:val="none" w:sz="0" w:space="0" w:color="000000"/>
                <w:bottom w:val="none" w:sz="0" w:space="0" w:color="000000"/>
                <w:right w:val="none" w:sz="0" w:space="0" w:color="000000"/>
              </w:pBdr>
              <w:tabs>
                <w:tab w:val="left" w:pos="3119"/>
              </w:tabs>
              <w:suppressAutoHyphens/>
              <w:ind w:firstLine="0"/>
              <w:jc w:val="center"/>
              <w:rPr>
                <w:rFonts w:eastAsia="Calibri" w:cstheme="minorHAnsi"/>
                <w:b/>
                <w:color w:val="auto"/>
                <w:sz w:val="18"/>
                <w:szCs w:val="18"/>
                <w:lang w:eastAsia="pl-PL"/>
              </w:rPr>
            </w:pPr>
            <w:r w:rsidRPr="00655FC7">
              <w:rPr>
                <w:rFonts w:eastAsia="Calibri" w:cstheme="minorHAnsi"/>
                <w:b/>
                <w:color w:val="auto"/>
                <w:sz w:val="18"/>
                <w:szCs w:val="18"/>
                <w:lang w:eastAsia="pl-PL"/>
              </w:rPr>
              <w:t>Wskaźnik</w:t>
            </w:r>
          </w:p>
        </w:tc>
        <w:tc>
          <w:tcPr>
            <w:tcW w:w="3623" w:type="pct"/>
            <w:gridSpan w:val="3"/>
            <w:shd w:val="clear" w:color="auto" w:fill="D6D9A3" w:themeFill="accent2" w:themeFillTint="99"/>
            <w:vAlign w:val="center"/>
          </w:tcPr>
          <w:p w14:paraId="7A940930" w14:textId="77777777" w:rsidR="00D155AA" w:rsidRPr="00655FC7" w:rsidRDefault="00D155AA" w:rsidP="00827748">
            <w:pPr>
              <w:pBdr>
                <w:top w:val="none" w:sz="0" w:space="0" w:color="000000"/>
                <w:left w:val="none" w:sz="0" w:space="0" w:color="000000"/>
                <w:bottom w:val="none" w:sz="0" w:space="0" w:color="000000"/>
                <w:right w:val="none" w:sz="0" w:space="0" w:color="000000"/>
              </w:pBdr>
              <w:tabs>
                <w:tab w:val="left" w:pos="3119"/>
              </w:tabs>
              <w:suppressAutoHyphens/>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b/>
                <w:color w:val="auto"/>
                <w:sz w:val="18"/>
                <w:szCs w:val="18"/>
                <w:lang w:eastAsia="pl-PL"/>
              </w:rPr>
            </w:pPr>
            <w:r w:rsidRPr="00655FC7">
              <w:rPr>
                <w:rFonts w:eastAsia="Calibri" w:cstheme="minorHAnsi"/>
                <w:b/>
                <w:color w:val="auto"/>
                <w:sz w:val="18"/>
                <w:szCs w:val="18"/>
                <w:lang w:eastAsia="pl-PL"/>
              </w:rPr>
              <w:t>Charakterystyka JCWP</w:t>
            </w:r>
          </w:p>
        </w:tc>
      </w:tr>
      <w:tr w:rsidR="00D155AA" w:rsidRPr="00655FC7" w14:paraId="29DD6125" w14:textId="77777777" w:rsidTr="00827748">
        <w:trPr>
          <w:trHeight w:val="283"/>
          <w:jc w:val="center"/>
        </w:trPr>
        <w:tc>
          <w:tcPr>
            <w:cnfStyle w:val="000010000000" w:firstRow="0" w:lastRow="0" w:firstColumn="0" w:lastColumn="0" w:oddVBand="1" w:evenVBand="0" w:oddHBand="0" w:evenHBand="0" w:firstRowFirstColumn="0" w:firstRowLastColumn="0" w:lastRowFirstColumn="0" w:lastRowLastColumn="0"/>
            <w:tcW w:w="1377" w:type="pct"/>
            <w:gridSpan w:val="2"/>
            <w:shd w:val="clear" w:color="auto" w:fill="D6D9A3" w:themeFill="accent2" w:themeFillTint="99"/>
            <w:vAlign w:val="center"/>
          </w:tcPr>
          <w:p w14:paraId="2F5C7204" w14:textId="77777777" w:rsidR="00D155AA" w:rsidRPr="00655FC7" w:rsidRDefault="00D155AA" w:rsidP="00827748">
            <w:pPr>
              <w:tabs>
                <w:tab w:val="left" w:pos="3119"/>
              </w:tabs>
              <w:ind w:firstLine="0"/>
              <w:jc w:val="center"/>
              <w:rPr>
                <w:rFonts w:eastAsia="Calibri" w:cstheme="minorHAnsi"/>
                <w:b/>
                <w:color w:val="auto"/>
                <w:sz w:val="18"/>
                <w:szCs w:val="18"/>
              </w:rPr>
            </w:pPr>
            <w:r w:rsidRPr="00655FC7">
              <w:rPr>
                <w:rFonts w:eastAsia="Calibri" w:cstheme="minorHAnsi"/>
                <w:b/>
                <w:color w:val="auto"/>
                <w:sz w:val="18"/>
                <w:szCs w:val="18"/>
              </w:rPr>
              <w:t>Nazwa JCWP</w:t>
            </w:r>
          </w:p>
        </w:tc>
        <w:tc>
          <w:tcPr>
            <w:tcW w:w="1200" w:type="pct"/>
            <w:shd w:val="clear" w:color="auto" w:fill="FFFFFF" w:themeFill="background1"/>
            <w:vAlign w:val="center"/>
          </w:tcPr>
          <w:p w14:paraId="088EC9BD" w14:textId="77777777" w:rsidR="00D155AA" w:rsidRPr="00655FC7" w:rsidRDefault="00D155AA" w:rsidP="00827748">
            <w:pPr>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b/>
                <w:color w:val="auto"/>
                <w:sz w:val="18"/>
                <w:szCs w:val="18"/>
              </w:rPr>
            </w:pPr>
            <w:r w:rsidRPr="00655FC7">
              <w:rPr>
                <w:rFonts w:eastAsia="Calibri" w:cstheme="minorHAnsi"/>
                <w:b/>
                <w:color w:val="auto"/>
                <w:sz w:val="18"/>
                <w:szCs w:val="18"/>
              </w:rPr>
              <w:t>Złota Nitka</w:t>
            </w:r>
          </w:p>
        </w:tc>
        <w:tc>
          <w:tcPr>
            <w:cnfStyle w:val="000010000000" w:firstRow="0" w:lastRow="0" w:firstColumn="0" w:lastColumn="0" w:oddVBand="1" w:evenVBand="0" w:oddHBand="0" w:evenHBand="0" w:firstRowFirstColumn="0" w:firstRowLastColumn="0" w:lastRowFirstColumn="0" w:lastRowLastColumn="0"/>
            <w:tcW w:w="1220" w:type="pct"/>
            <w:vAlign w:val="center"/>
          </w:tcPr>
          <w:p w14:paraId="68DE19AB" w14:textId="77777777" w:rsidR="00D155AA" w:rsidRPr="00655FC7" w:rsidRDefault="00D155AA" w:rsidP="00827748">
            <w:pPr>
              <w:tabs>
                <w:tab w:val="left" w:pos="3119"/>
              </w:tabs>
              <w:ind w:firstLine="0"/>
              <w:jc w:val="center"/>
              <w:rPr>
                <w:rFonts w:eastAsia="Calibri" w:cstheme="minorHAnsi"/>
                <w:b/>
                <w:color w:val="auto"/>
                <w:sz w:val="18"/>
                <w:szCs w:val="18"/>
              </w:rPr>
            </w:pPr>
            <w:r w:rsidRPr="00655FC7">
              <w:rPr>
                <w:rFonts w:eastAsia="Calibri" w:cstheme="minorHAnsi"/>
                <w:b/>
                <w:color w:val="auto"/>
                <w:sz w:val="18"/>
                <w:szCs w:val="18"/>
              </w:rPr>
              <w:t>Lubienia</w:t>
            </w:r>
          </w:p>
        </w:tc>
        <w:tc>
          <w:tcPr>
            <w:tcW w:w="1203" w:type="pct"/>
            <w:shd w:val="clear" w:color="auto" w:fill="FFFFFF" w:themeFill="background1"/>
            <w:vAlign w:val="center"/>
          </w:tcPr>
          <w:p w14:paraId="2B8BB64D" w14:textId="77777777" w:rsidR="00D155AA" w:rsidRPr="00655FC7" w:rsidRDefault="00D155AA" w:rsidP="00827748">
            <w:pPr>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b/>
                <w:color w:val="auto"/>
                <w:sz w:val="18"/>
                <w:szCs w:val="18"/>
              </w:rPr>
            </w:pPr>
            <w:r w:rsidRPr="00655FC7">
              <w:rPr>
                <w:rFonts w:eastAsia="Calibri" w:cstheme="minorHAnsi"/>
                <w:b/>
                <w:color w:val="auto"/>
                <w:sz w:val="18"/>
                <w:szCs w:val="18"/>
              </w:rPr>
              <w:t>Złota</w:t>
            </w:r>
          </w:p>
        </w:tc>
      </w:tr>
      <w:tr w:rsidR="00D155AA" w:rsidRPr="00655FC7" w14:paraId="07F7EF5D" w14:textId="77777777" w:rsidTr="00827748">
        <w:trPr>
          <w:cnfStyle w:val="000000100000" w:firstRow="0" w:lastRow="0" w:firstColumn="0" w:lastColumn="0" w:oddVBand="0" w:evenVBand="0" w:oddHBand="1" w:evenHBand="0" w:firstRowFirstColumn="0" w:firstRowLastColumn="0" w:lastRowFirstColumn="0" w:lastRowLastColumn="0"/>
          <w:trHeight w:val="283"/>
          <w:jc w:val="center"/>
        </w:trPr>
        <w:tc>
          <w:tcPr>
            <w:cnfStyle w:val="000010000000" w:firstRow="0" w:lastRow="0" w:firstColumn="0" w:lastColumn="0" w:oddVBand="1" w:evenVBand="0" w:oddHBand="0" w:evenHBand="0" w:firstRowFirstColumn="0" w:firstRowLastColumn="0" w:lastRowFirstColumn="0" w:lastRowLastColumn="0"/>
            <w:tcW w:w="1377" w:type="pct"/>
            <w:gridSpan w:val="2"/>
            <w:shd w:val="clear" w:color="auto" w:fill="D6D9A3" w:themeFill="accent2" w:themeFillTint="99"/>
            <w:vAlign w:val="center"/>
          </w:tcPr>
          <w:p w14:paraId="2CE4929F"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Kod JCWP</w:t>
            </w:r>
          </w:p>
        </w:tc>
        <w:tc>
          <w:tcPr>
            <w:tcW w:w="1200" w:type="pct"/>
            <w:shd w:val="clear" w:color="auto" w:fill="FFFFFF" w:themeFill="background1"/>
            <w:vAlign w:val="center"/>
          </w:tcPr>
          <w:p w14:paraId="57D9B0DB" w14:textId="77777777" w:rsidR="00D155AA" w:rsidRPr="00655FC7" w:rsidRDefault="00D155AA" w:rsidP="00827748">
            <w:pPr>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RW200009228549</w:t>
            </w:r>
          </w:p>
        </w:tc>
        <w:tc>
          <w:tcPr>
            <w:cnfStyle w:val="000010000000" w:firstRow="0" w:lastRow="0" w:firstColumn="0" w:lastColumn="0" w:oddVBand="1" w:evenVBand="0" w:oddHBand="0" w:evenHBand="0" w:firstRowFirstColumn="0" w:firstRowLastColumn="0" w:lastRowFirstColumn="0" w:lastRowLastColumn="0"/>
            <w:tcW w:w="1220" w:type="pct"/>
            <w:vAlign w:val="center"/>
          </w:tcPr>
          <w:p w14:paraId="5562AC41"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RW200009228329</w:t>
            </w:r>
          </w:p>
        </w:tc>
        <w:tc>
          <w:tcPr>
            <w:tcW w:w="1203" w:type="pct"/>
            <w:shd w:val="clear" w:color="auto" w:fill="FFFFFF" w:themeFill="background1"/>
            <w:vAlign w:val="center"/>
          </w:tcPr>
          <w:p w14:paraId="45772CA1" w14:textId="77777777" w:rsidR="00D155AA" w:rsidRPr="00655FC7" w:rsidRDefault="00D155AA" w:rsidP="00827748">
            <w:pPr>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RW200010227349</w:t>
            </w:r>
          </w:p>
        </w:tc>
      </w:tr>
      <w:tr w:rsidR="00D155AA" w:rsidRPr="00655FC7" w14:paraId="4AC2629F" w14:textId="77777777" w:rsidTr="00827748">
        <w:trPr>
          <w:trHeight w:val="283"/>
          <w:jc w:val="center"/>
        </w:trPr>
        <w:tc>
          <w:tcPr>
            <w:cnfStyle w:val="000010000000" w:firstRow="0" w:lastRow="0" w:firstColumn="0" w:lastColumn="0" w:oddVBand="1" w:evenVBand="0" w:oddHBand="0" w:evenHBand="0" w:firstRowFirstColumn="0" w:firstRowLastColumn="0" w:lastRowFirstColumn="0" w:lastRowLastColumn="0"/>
            <w:tcW w:w="1377" w:type="pct"/>
            <w:gridSpan w:val="2"/>
            <w:shd w:val="clear" w:color="auto" w:fill="D6D9A3" w:themeFill="accent2" w:themeFillTint="99"/>
            <w:vAlign w:val="center"/>
          </w:tcPr>
          <w:p w14:paraId="4DA67237"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Długość JCWP [km]</w:t>
            </w:r>
          </w:p>
        </w:tc>
        <w:tc>
          <w:tcPr>
            <w:tcW w:w="1200" w:type="pct"/>
            <w:shd w:val="clear" w:color="auto" w:fill="FFFFFF" w:themeFill="background1"/>
            <w:vAlign w:val="center"/>
          </w:tcPr>
          <w:p w14:paraId="05788100" w14:textId="77777777" w:rsidR="00D155AA" w:rsidRPr="00655FC7" w:rsidRDefault="00D155AA" w:rsidP="00827748">
            <w:pPr>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28,85</w:t>
            </w:r>
          </w:p>
        </w:tc>
        <w:tc>
          <w:tcPr>
            <w:cnfStyle w:val="000010000000" w:firstRow="0" w:lastRow="0" w:firstColumn="0" w:lastColumn="0" w:oddVBand="1" w:evenVBand="0" w:oddHBand="0" w:evenHBand="0" w:firstRowFirstColumn="0" w:firstRowLastColumn="0" w:lastRowFirstColumn="0" w:lastRowLastColumn="0"/>
            <w:tcW w:w="1220" w:type="pct"/>
            <w:vAlign w:val="center"/>
          </w:tcPr>
          <w:p w14:paraId="7AF98861"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34,92</w:t>
            </w:r>
          </w:p>
        </w:tc>
        <w:tc>
          <w:tcPr>
            <w:tcW w:w="1203" w:type="pct"/>
            <w:shd w:val="clear" w:color="auto" w:fill="FFFFFF" w:themeFill="background1"/>
            <w:vAlign w:val="center"/>
          </w:tcPr>
          <w:p w14:paraId="51F1F7F5" w14:textId="77777777" w:rsidR="00D155AA" w:rsidRPr="00655FC7" w:rsidRDefault="00D155AA" w:rsidP="00827748">
            <w:pPr>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42,77</w:t>
            </w:r>
          </w:p>
        </w:tc>
      </w:tr>
      <w:tr w:rsidR="00D155AA" w:rsidRPr="00655FC7" w14:paraId="212E3F89" w14:textId="77777777" w:rsidTr="00827748">
        <w:trPr>
          <w:cnfStyle w:val="000000100000" w:firstRow="0" w:lastRow="0" w:firstColumn="0" w:lastColumn="0" w:oddVBand="0" w:evenVBand="0" w:oddHBand="1" w:evenHBand="0" w:firstRowFirstColumn="0" w:firstRowLastColumn="0" w:lastRowFirstColumn="0" w:lastRowLastColumn="0"/>
          <w:trHeight w:val="175"/>
          <w:jc w:val="center"/>
        </w:trPr>
        <w:tc>
          <w:tcPr>
            <w:cnfStyle w:val="000010000000" w:firstRow="0" w:lastRow="0" w:firstColumn="0" w:lastColumn="0" w:oddVBand="1" w:evenVBand="0" w:oddHBand="0" w:evenHBand="0" w:firstRowFirstColumn="0" w:firstRowLastColumn="0" w:lastRowFirstColumn="0" w:lastRowLastColumn="0"/>
            <w:tcW w:w="1377" w:type="pct"/>
            <w:gridSpan w:val="2"/>
            <w:shd w:val="clear" w:color="auto" w:fill="D6D9A3" w:themeFill="accent2" w:themeFillTint="99"/>
            <w:vAlign w:val="center"/>
          </w:tcPr>
          <w:p w14:paraId="1E4E47D4"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Powierzchnia zlewni JCWP [km</w:t>
            </w:r>
            <w:r w:rsidRPr="00655FC7">
              <w:rPr>
                <w:rFonts w:eastAsia="Calibri" w:cstheme="minorHAnsi"/>
                <w:color w:val="auto"/>
                <w:sz w:val="18"/>
                <w:szCs w:val="18"/>
                <w:vertAlign w:val="superscript"/>
              </w:rPr>
              <w:t>2</w:t>
            </w:r>
            <w:r w:rsidRPr="00655FC7">
              <w:rPr>
                <w:rFonts w:eastAsia="Calibri" w:cstheme="minorHAnsi"/>
                <w:color w:val="auto"/>
                <w:sz w:val="18"/>
                <w:szCs w:val="18"/>
              </w:rPr>
              <w:t>]</w:t>
            </w:r>
          </w:p>
        </w:tc>
        <w:tc>
          <w:tcPr>
            <w:tcW w:w="1200" w:type="pct"/>
            <w:shd w:val="clear" w:color="auto" w:fill="FFFFFF" w:themeFill="background1"/>
            <w:vAlign w:val="center"/>
          </w:tcPr>
          <w:p w14:paraId="3C26503B" w14:textId="77777777" w:rsidR="00D155AA" w:rsidRPr="00655FC7" w:rsidRDefault="00D155AA" w:rsidP="00827748">
            <w:pPr>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65,95</w:t>
            </w:r>
          </w:p>
        </w:tc>
        <w:tc>
          <w:tcPr>
            <w:cnfStyle w:val="000010000000" w:firstRow="0" w:lastRow="0" w:firstColumn="0" w:lastColumn="0" w:oddVBand="1" w:evenVBand="0" w:oddHBand="0" w:evenHBand="0" w:firstRowFirstColumn="0" w:firstRowLastColumn="0" w:lastRowFirstColumn="0" w:lastRowLastColumn="0"/>
            <w:tcW w:w="1220" w:type="pct"/>
            <w:vAlign w:val="center"/>
          </w:tcPr>
          <w:p w14:paraId="24E0B476"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71,70</w:t>
            </w:r>
          </w:p>
        </w:tc>
        <w:tc>
          <w:tcPr>
            <w:tcW w:w="1203" w:type="pct"/>
            <w:shd w:val="clear" w:color="auto" w:fill="FFFFFF" w:themeFill="background1"/>
            <w:vAlign w:val="center"/>
          </w:tcPr>
          <w:p w14:paraId="5B77E237" w14:textId="77777777" w:rsidR="00D155AA" w:rsidRPr="00655FC7" w:rsidRDefault="00D155AA" w:rsidP="00827748">
            <w:pPr>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105,30</w:t>
            </w:r>
          </w:p>
        </w:tc>
      </w:tr>
      <w:tr w:rsidR="00D155AA" w:rsidRPr="00655FC7" w14:paraId="718C204B" w14:textId="77777777" w:rsidTr="00827748">
        <w:trPr>
          <w:trHeight w:val="283"/>
          <w:jc w:val="center"/>
        </w:trPr>
        <w:tc>
          <w:tcPr>
            <w:cnfStyle w:val="000010000000" w:firstRow="0" w:lastRow="0" w:firstColumn="0" w:lastColumn="0" w:oddVBand="1" w:evenVBand="0" w:oddHBand="0" w:evenHBand="0" w:firstRowFirstColumn="0" w:firstRowLastColumn="0" w:lastRowFirstColumn="0" w:lastRowLastColumn="0"/>
            <w:tcW w:w="1377" w:type="pct"/>
            <w:gridSpan w:val="2"/>
            <w:shd w:val="clear" w:color="auto" w:fill="D6D9A3" w:themeFill="accent2" w:themeFillTint="99"/>
            <w:vAlign w:val="center"/>
          </w:tcPr>
          <w:p w14:paraId="06481F4C"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Obszar dorzecza</w:t>
            </w:r>
          </w:p>
        </w:tc>
        <w:tc>
          <w:tcPr>
            <w:tcW w:w="1200" w:type="pct"/>
            <w:shd w:val="clear" w:color="auto" w:fill="FFFFFF" w:themeFill="background1"/>
            <w:vAlign w:val="center"/>
          </w:tcPr>
          <w:p w14:paraId="17E566C0" w14:textId="77777777" w:rsidR="00D155AA" w:rsidRPr="00655FC7" w:rsidRDefault="00D155AA" w:rsidP="00827748">
            <w:pPr>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Wisły</w:t>
            </w:r>
          </w:p>
        </w:tc>
        <w:tc>
          <w:tcPr>
            <w:cnfStyle w:val="000010000000" w:firstRow="0" w:lastRow="0" w:firstColumn="0" w:lastColumn="0" w:oddVBand="1" w:evenVBand="0" w:oddHBand="0" w:evenHBand="0" w:firstRowFirstColumn="0" w:firstRowLastColumn="0" w:lastRowFirstColumn="0" w:lastRowLastColumn="0"/>
            <w:tcW w:w="1220" w:type="pct"/>
            <w:vAlign w:val="center"/>
          </w:tcPr>
          <w:p w14:paraId="56A399CF"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Wisły</w:t>
            </w:r>
          </w:p>
        </w:tc>
        <w:tc>
          <w:tcPr>
            <w:tcW w:w="1203" w:type="pct"/>
            <w:shd w:val="clear" w:color="auto" w:fill="FFFFFF" w:themeFill="background1"/>
            <w:vAlign w:val="center"/>
          </w:tcPr>
          <w:p w14:paraId="5D506DAB" w14:textId="77777777" w:rsidR="00D155AA" w:rsidRPr="00655FC7" w:rsidRDefault="00D155AA" w:rsidP="00827748">
            <w:pPr>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Wisły</w:t>
            </w:r>
          </w:p>
        </w:tc>
      </w:tr>
      <w:tr w:rsidR="00D155AA" w:rsidRPr="00655FC7" w14:paraId="0A44B02C" w14:textId="77777777" w:rsidTr="00827748">
        <w:trPr>
          <w:cnfStyle w:val="000000100000" w:firstRow="0" w:lastRow="0" w:firstColumn="0" w:lastColumn="0" w:oddVBand="0" w:evenVBand="0" w:oddHBand="1" w:evenHBand="0" w:firstRowFirstColumn="0" w:firstRowLastColumn="0" w:lastRowFirstColumn="0" w:lastRowLastColumn="0"/>
          <w:trHeight w:val="283"/>
          <w:jc w:val="center"/>
        </w:trPr>
        <w:tc>
          <w:tcPr>
            <w:cnfStyle w:val="000010000000" w:firstRow="0" w:lastRow="0" w:firstColumn="0" w:lastColumn="0" w:oddVBand="1" w:evenVBand="0" w:oddHBand="0" w:evenHBand="0" w:firstRowFirstColumn="0" w:firstRowLastColumn="0" w:lastRowFirstColumn="0" w:lastRowLastColumn="0"/>
            <w:tcW w:w="1377" w:type="pct"/>
            <w:gridSpan w:val="2"/>
            <w:shd w:val="clear" w:color="auto" w:fill="D6D9A3" w:themeFill="accent2" w:themeFillTint="99"/>
            <w:vAlign w:val="center"/>
          </w:tcPr>
          <w:p w14:paraId="27BFE205"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Status</w:t>
            </w:r>
          </w:p>
        </w:tc>
        <w:tc>
          <w:tcPr>
            <w:tcW w:w="1200" w:type="pct"/>
            <w:shd w:val="clear" w:color="auto" w:fill="FFFFFF" w:themeFill="background1"/>
            <w:vAlign w:val="center"/>
          </w:tcPr>
          <w:p w14:paraId="074EAE90" w14:textId="77777777" w:rsidR="00D155AA" w:rsidRPr="00655FC7" w:rsidRDefault="00D155AA" w:rsidP="00827748">
            <w:pPr>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NAT - naturalna część wód</w:t>
            </w:r>
          </w:p>
        </w:tc>
        <w:tc>
          <w:tcPr>
            <w:cnfStyle w:val="000010000000" w:firstRow="0" w:lastRow="0" w:firstColumn="0" w:lastColumn="0" w:oddVBand="1" w:evenVBand="0" w:oddHBand="0" w:evenHBand="0" w:firstRowFirstColumn="0" w:firstRowLastColumn="0" w:lastRowFirstColumn="0" w:lastRowLastColumn="0"/>
            <w:tcW w:w="1220" w:type="pct"/>
            <w:vAlign w:val="center"/>
          </w:tcPr>
          <w:p w14:paraId="708B8E7F"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NAT - naturalna część wód</w:t>
            </w:r>
          </w:p>
        </w:tc>
        <w:tc>
          <w:tcPr>
            <w:tcW w:w="1203" w:type="pct"/>
            <w:shd w:val="clear" w:color="auto" w:fill="FFFFFF" w:themeFill="background1"/>
            <w:vAlign w:val="center"/>
          </w:tcPr>
          <w:p w14:paraId="34E68337" w14:textId="77777777" w:rsidR="00D155AA" w:rsidRPr="00655FC7" w:rsidRDefault="00D155AA" w:rsidP="00827748">
            <w:pPr>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NAT - naturalna część wód</w:t>
            </w:r>
          </w:p>
        </w:tc>
      </w:tr>
      <w:tr w:rsidR="00D155AA" w:rsidRPr="00655FC7" w14:paraId="0B40B9BD" w14:textId="77777777" w:rsidTr="00827748">
        <w:trPr>
          <w:trHeight w:val="283"/>
          <w:jc w:val="center"/>
        </w:trPr>
        <w:tc>
          <w:tcPr>
            <w:cnfStyle w:val="000010000000" w:firstRow="0" w:lastRow="0" w:firstColumn="0" w:lastColumn="0" w:oddVBand="1" w:evenVBand="0" w:oddHBand="0" w:evenHBand="0" w:firstRowFirstColumn="0" w:firstRowLastColumn="0" w:lastRowFirstColumn="0" w:lastRowLastColumn="0"/>
            <w:tcW w:w="1377" w:type="pct"/>
            <w:gridSpan w:val="2"/>
            <w:shd w:val="clear" w:color="auto" w:fill="D6D9A3" w:themeFill="accent2" w:themeFillTint="99"/>
            <w:vAlign w:val="center"/>
          </w:tcPr>
          <w:p w14:paraId="08273DA3"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Stan/potencjał ekologiczny</w:t>
            </w:r>
          </w:p>
        </w:tc>
        <w:tc>
          <w:tcPr>
            <w:tcW w:w="1200" w:type="pct"/>
            <w:shd w:val="clear" w:color="auto" w:fill="FFFFFF" w:themeFill="background1"/>
            <w:vAlign w:val="center"/>
          </w:tcPr>
          <w:p w14:paraId="64744BC9" w14:textId="77777777" w:rsidR="00D155AA" w:rsidRPr="00655FC7" w:rsidRDefault="00D155AA" w:rsidP="00827748">
            <w:pPr>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zły stan</w:t>
            </w:r>
          </w:p>
        </w:tc>
        <w:tc>
          <w:tcPr>
            <w:cnfStyle w:val="000010000000" w:firstRow="0" w:lastRow="0" w:firstColumn="0" w:lastColumn="0" w:oddVBand="1" w:evenVBand="0" w:oddHBand="0" w:evenHBand="0" w:firstRowFirstColumn="0" w:firstRowLastColumn="0" w:lastRowFirstColumn="0" w:lastRowLastColumn="0"/>
            <w:tcW w:w="1220" w:type="pct"/>
            <w:vAlign w:val="center"/>
          </w:tcPr>
          <w:p w14:paraId="5C8C595A"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zły stan</w:t>
            </w:r>
          </w:p>
        </w:tc>
        <w:tc>
          <w:tcPr>
            <w:tcW w:w="1203" w:type="pct"/>
            <w:shd w:val="clear" w:color="auto" w:fill="FFFFFF" w:themeFill="background1"/>
            <w:vAlign w:val="center"/>
          </w:tcPr>
          <w:p w14:paraId="0F4CAACA" w14:textId="03520ADC" w:rsidR="00D155AA" w:rsidRPr="00655FC7" w:rsidRDefault="00010366" w:rsidP="00827748">
            <w:pPr>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 xml:space="preserve">umiarkowany </w:t>
            </w:r>
            <w:r w:rsidR="00D155AA" w:rsidRPr="00655FC7">
              <w:rPr>
                <w:rFonts w:eastAsia="Calibri" w:cstheme="minorHAnsi"/>
                <w:color w:val="auto"/>
                <w:sz w:val="18"/>
                <w:szCs w:val="18"/>
              </w:rPr>
              <w:t>stan</w:t>
            </w:r>
          </w:p>
        </w:tc>
      </w:tr>
      <w:tr w:rsidR="00D155AA" w:rsidRPr="00655FC7" w14:paraId="710C9714" w14:textId="77777777" w:rsidTr="00827748">
        <w:trPr>
          <w:cnfStyle w:val="000000100000" w:firstRow="0" w:lastRow="0" w:firstColumn="0" w:lastColumn="0" w:oddVBand="0" w:evenVBand="0" w:oddHBand="1" w:evenHBand="0" w:firstRowFirstColumn="0" w:firstRowLastColumn="0" w:lastRowFirstColumn="0" w:lastRowLastColumn="0"/>
          <w:trHeight w:val="283"/>
          <w:jc w:val="center"/>
        </w:trPr>
        <w:tc>
          <w:tcPr>
            <w:cnfStyle w:val="000010000000" w:firstRow="0" w:lastRow="0" w:firstColumn="0" w:lastColumn="0" w:oddVBand="1" w:evenVBand="0" w:oddHBand="0" w:evenHBand="0" w:firstRowFirstColumn="0" w:firstRowLastColumn="0" w:lastRowFirstColumn="0" w:lastRowLastColumn="0"/>
            <w:tcW w:w="1377" w:type="pct"/>
            <w:gridSpan w:val="2"/>
            <w:shd w:val="clear" w:color="auto" w:fill="D6D9A3" w:themeFill="accent2" w:themeFillTint="99"/>
            <w:vAlign w:val="center"/>
          </w:tcPr>
          <w:p w14:paraId="4D223D88"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Stan chemiczny</w:t>
            </w:r>
          </w:p>
        </w:tc>
        <w:tc>
          <w:tcPr>
            <w:tcW w:w="1200" w:type="pct"/>
            <w:shd w:val="clear" w:color="auto" w:fill="FFFFFF" w:themeFill="background1"/>
            <w:vAlign w:val="center"/>
          </w:tcPr>
          <w:p w14:paraId="359F7B40" w14:textId="77777777" w:rsidR="00D155AA" w:rsidRPr="00655FC7" w:rsidRDefault="00D155AA" w:rsidP="00827748">
            <w:pPr>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poniżej dobrego</w:t>
            </w:r>
          </w:p>
        </w:tc>
        <w:tc>
          <w:tcPr>
            <w:cnfStyle w:val="000010000000" w:firstRow="0" w:lastRow="0" w:firstColumn="0" w:lastColumn="0" w:oddVBand="1" w:evenVBand="0" w:oddHBand="0" w:evenHBand="0" w:firstRowFirstColumn="0" w:firstRowLastColumn="0" w:lastRowFirstColumn="0" w:lastRowLastColumn="0"/>
            <w:tcW w:w="1220" w:type="pct"/>
            <w:vAlign w:val="center"/>
          </w:tcPr>
          <w:p w14:paraId="42480EDB"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poniżej dobrego</w:t>
            </w:r>
          </w:p>
        </w:tc>
        <w:tc>
          <w:tcPr>
            <w:tcW w:w="1203" w:type="pct"/>
            <w:shd w:val="clear" w:color="auto" w:fill="FFFFFF" w:themeFill="background1"/>
            <w:vAlign w:val="center"/>
          </w:tcPr>
          <w:p w14:paraId="616EC1C5" w14:textId="65962B94" w:rsidR="00D155AA" w:rsidRPr="00655FC7" w:rsidRDefault="00010366" w:rsidP="00827748">
            <w:pPr>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poniżej dobrego</w:t>
            </w:r>
          </w:p>
        </w:tc>
      </w:tr>
      <w:tr w:rsidR="00D155AA" w:rsidRPr="00655FC7" w14:paraId="5CC52C62" w14:textId="77777777" w:rsidTr="00827748">
        <w:trPr>
          <w:trHeight w:val="283"/>
          <w:jc w:val="center"/>
        </w:trPr>
        <w:tc>
          <w:tcPr>
            <w:cnfStyle w:val="000010000000" w:firstRow="0" w:lastRow="0" w:firstColumn="0" w:lastColumn="0" w:oddVBand="1" w:evenVBand="0" w:oddHBand="0" w:evenHBand="0" w:firstRowFirstColumn="0" w:firstRowLastColumn="0" w:lastRowFirstColumn="0" w:lastRowLastColumn="0"/>
            <w:tcW w:w="1377" w:type="pct"/>
            <w:gridSpan w:val="2"/>
            <w:shd w:val="clear" w:color="auto" w:fill="D6D9A3" w:themeFill="accent2" w:themeFillTint="99"/>
            <w:vAlign w:val="center"/>
          </w:tcPr>
          <w:p w14:paraId="0B0CC56B"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Stan (ogólny)</w:t>
            </w:r>
          </w:p>
        </w:tc>
        <w:tc>
          <w:tcPr>
            <w:tcW w:w="1200" w:type="pct"/>
            <w:shd w:val="clear" w:color="auto" w:fill="FFFFFF" w:themeFill="background1"/>
            <w:vAlign w:val="center"/>
          </w:tcPr>
          <w:p w14:paraId="03FE43C3" w14:textId="77777777" w:rsidR="00D155AA" w:rsidRPr="00655FC7" w:rsidRDefault="00D155AA" w:rsidP="00827748">
            <w:pPr>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zły stan wód</w:t>
            </w:r>
          </w:p>
        </w:tc>
        <w:tc>
          <w:tcPr>
            <w:cnfStyle w:val="000010000000" w:firstRow="0" w:lastRow="0" w:firstColumn="0" w:lastColumn="0" w:oddVBand="1" w:evenVBand="0" w:oddHBand="0" w:evenHBand="0" w:firstRowFirstColumn="0" w:firstRowLastColumn="0" w:lastRowFirstColumn="0" w:lastRowLastColumn="0"/>
            <w:tcW w:w="1220" w:type="pct"/>
            <w:vAlign w:val="center"/>
          </w:tcPr>
          <w:p w14:paraId="4C7A318F"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zły stan wód</w:t>
            </w:r>
          </w:p>
        </w:tc>
        <w:tc>
          <w:tcPr>
            <w:tcW w:w="1203" w:type="pct"/>
            <w:shd w:val="clear" w:color="auto" w:fill="FFFFFF" w:themeFill="background1"/>
            <w:vAlign w:val="center"/>
          </w:tcPr>
          <w:p w14:paraId="06CC0AC0" w14:textId="6445A3A9" w:rsidR="00D155AA" w:rsidRPr="00655FC7" w:rsidRDefault="00010366" w:rsidP="00827748">
            <w:pPr>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zły stan dróg</w:t>
            </w:r>
          </w:p>
        </w:tc>
      </w:tr>
      <w:tr w:rsidR="00D155AA" w:rsidRPr="00655FC7" w14:paraId="57E3B447" w14:textId="77777777" w:rsidTr="00827748">
        <w:trPr>
          <w:cnfStyle w:val="000000100000" w:firstRow="0" w:lastRow="0" w:firstColumn="0" w:lastColumn="0" w:oddVBand="0" w:evenVBand="0" w:oddHBand="1" w:evenHBand="0" w:firstRowFirstColumn="0" w:firstRowLastColumn="0" w:lastRowFirstColumn="0" w:lastRowLastColumn="0"/>
          <w:trHeight w:val="175"/>
          <w:jc w:val="center"/>
        </w:trPr>
        <w:tc>
          <w:tcPr>
            <w:cnfStyle w:val="000010000000" w:firstRow="0" w:lastRow="0" w:firstColumn="0" w:lastColumn="0" w:oddVBand="1" w:evenVBand="0" w:oddHBand="0" w:evenHBand="0" w:firstRowFirstColumn="0" w:firstRowLastColumn="0" w:lastRowFirstColumn="0" w:lastRowLastColumn="0"/>
            <w:tcW w:w="662" w:type="pct"/>
            <w:vMerge w:val="restart"/>
            <w:shd w:val="clear" w:color="auto" w:fill="D6D9A3" w:themeFill="accent2" w:themeFillTint="99"/>
            <w:vAlign w:val="center"/>
          </w:tcPr>
          <w:p w14:paraId="13449421"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 xml:space="preserve">Rodzaj użytkowania </w:t>
            </w:r>
            <w:r w:rsidRPr="00655FC7">
              <w:rPr>
                <w:rFonts w:eastAsia="Calibri" w:cstheme="minorHAnsi"/>
                <w:color w:val="auto"/>
                <w:sz w:val="18"/>
                <w:szCs w:val="18"/>
              </w:rPr>
              <w:lastRenderedPageBreak/>
              <w:t>obszaru zlewni JCWP (% powierzchni zlewni)</w:t>
            </w:r>
          </w:p>
        </w:tc>
        <w:tc>
          <w:tcPr>
            <w:tcW w:w="715" w:type="pct"/>
            <w:shd w:val="clear" w:color="auto" w:fill="D6D9A3" w:themeFill="accent2" w:themeFillTint="99"/>
            <w:vAlign w:val="center"/>
          </w:tcPr>
          <w:p w14:paraId="48F37860" w14:textId="77777777" w:rsidR="00D155AA" w:rsidRPr="00655FC7" w:rsidRDefault="00D155AA" w:rsidP="00827748">
            <w:pPr>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lastRenderedPageBreak/>
              <w:t>Tereny zurbanizowane</w:t>
            </w:r>
          </w:p>
        </w:tc>
        <w:tc>
          <w:tcPr>
            <w:cnfStyle w:val="000010000000" w:firstRow="0" w:lastRow="0" w:firstColumn="0" w:lastColumn="0" w:oddVBand="1" w:evenVBand="0" w:oddHBand="0" w:evenHBand="0" w:firstRowFirstColumn="0" w:firstRowLastColumn="0" w:lastRowFirstColumn="0" w:lastRowLastColumn="0"/>
            <w:tcW w:w="1200" w:type="pct"/>
            <w:shd w:val="clear" w:color="auto" w:fill="FFFFFF" w:themeFill="background1"/>
            <w:vAlign w:val="center"/>
          </w:tcPr>
          <w:p w14:paraId="3F5DD22B"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7</w:t>
            </w:r>
          </w:p>
        </w:tc>
        <w:tc>
          <w:tcPr>
            <w:tcW w:w="1220" w:type="pct"/>
            <w:vAlign w:val="center"/>
          </w:tcPr>
          <w:p w14:paraId="0D54868E" w14:textId="77777777" w:rsidR="00D155AA" w:rsidRPr="00655FC7" w:rsidRDefault="00D155AA" w:rsidP="00827748">
            <w:pPr>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4</w:t>
            </w:r>
          </w:p>
        </w:tc>
        <w:tc>
          <w:tcPr>
            <w:cnfStyle w:val="000010000000" w:firstRow="0" w:lastRow="0" w:firstColumn="0" w:lastColumn="0" w:oddVBand="1" w:evenVBand="0" w:oddHBand="0" w:evenHBand="0" w:firstRowFirstColumn="0" w:firstRowLastColumn="0" w:lastRowFirstColumn="0" w:lastRowLastColumn="0"/>
            <w:tcW w:w="1203" w:type="pct"/>
            <w:shd w:val="clear" w:color="auto" w:fill="FFFFFF" w:themeFill="background1"/>
            <w:vAlign w:val="center"/>
          </w:tcPr>
          <w:p w14:paraId="7EBA9B45"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4</w:t>
            </w:r>
          </w:p>
        </w:tc>
      </w:tr>
      <w:tr w:rsidR="00D155AA" w:rsidRPr="00655FC7" w14:paraId="0EF437AF" w14:textId="77777777" w:rsidTr="00827748">
        <w:trPr>
          <w:trHeight w:val="175"/>
          <w:jc w:val="center"/>
        </w:trPr>
        <w:tc>
          <w:tcPr>
            <w:cnfStyle w:val="000010000000" w:firstRow="0" w:lastRow="0" w:firstColumn="0" w:lastColumn="0" w:oddVBand="1" w:evenVBand="0" w:oddHBand="0" w:evenHBand="0" w:firstRowFirstColumn="0" w:firstRowLastColumn="0" w:lastRowFirstColumn="0" w:lastRowLastColumn="0"/>
            <w:tcW w:w="662" w:type="pct"/>
            <w:vMerge/>
            <w:shd w:val="clear" w:color="auto" w:fill="D6D9A3" w:themeFill="accent2" w:themeFillTint="99"/>
            <w:vAlign w:val="center"/>
          </w:tcPr>
          <w:p w14:paraId="5587FEB4" w14:textId="77777777" w:rsidR="00D155AA" w:rsidRPr="00655FC7" w:rsidRDefault="00D155AA" w:rsidP="00827748">
            <w:pPr>
              <w:tabs>
                <w:tab w:val="left" w:pos="3119"/>
              </w:tabs>
              <w:jc w:val="center"/>
              <w:rPr>
                <w:rFonts w:eastAsia="Calibri" w:cstheme="minorHAnsi"/>
                <w:color w:val="auto"/>
                <w:sz w:val="18"/>
                <w:szCs w:val="18"/>
              </w:rPr>
            </w:pPr>
          </w:p>
        </w:tc>
        <w:tc>
          <w:tcPr>
            <w:tcW w:w="715" w:type="pct"/>
            <w:shd w:val="clear" w:color="auto" w:fill="D6D9A3" w:themeFill="accent2" w:themeFillTint="99"/>
            <w:vAlign w:val="center"/>
          </w:tcPr>
          <w:p w14:paraId="5D432358" w14:textId="77777777" w:rsidR="00D155AA" w:rsidRPr="00655FC7" w:rsidRDefault="00D155AA" w:rsidP="00827748">
            <w:pPr>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Tereny użytkowane rolniczo</w:t>
            </w:r>
          </w:p>
        </w:tc>
        <w:tc>
          <w:tcPr>
            <w:cnfStyle w:val="000010000000" w:firstRow="0" w:lastRow="0" w:firstColumn="0" w:lastColumn="0" w:oddVBand="1" w:evenVBand="0" w:oddHBand="0" w:evenHBand="0" w:firstRowFirstColumn="0" w:firstRowLastColumn="0" w:lastRowFirstColumn="0" w:lastRowLastColumn="0"/>
            <w:tcW w:w="1200" w:type="pct"/>
            <w:shd w:val="clear" w:color="auto" w:fill="FFFFFF" w:themeFill="background1"/>
            <w:vAlign w:val="center"/>
          </w:tcPr>
          <w:p w14:paraId="73AFCCA5"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87</w:t>
            </w:r>
          </w:p>
        </w:tc>
        <w:tc>
          <w:tcPr>
            <w:tcW w:w="1220" w:type="pct"/>
            <w:shd w:val="clear" w:color="auto" w:fill="F1F2E0" w:themeFill="accent2" w:themeFillTint="33"/>
            <w:vAlign w:val="center"/>
          </w:tcPr>
          <w:p w14:paraId="3A4AC270" w14:textId="77777777" w:rsidR="00D155AA" w:rsidRPr="00655FC7" w:rsidRDefault="00D155AA" w:rsidP="00827748">
            <w:pPr>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90</w:t>
            </w:r>
          </w:p>
        </w:tc>
        <w:tc>
          <w:tcPr>
            <w:cnfStyle w:val="000010000000" w:firstRow="0" w:lastRow="0" w:firstColumn="0" w:lastColumn="0" w:oddVBand="1" w:evenVBand="0" w:oddHBand="0" w:evenHBand="0" w:firstRowFirstColumn="0" w:firstRowLastColumn="0" w:lastRowFirstColumn="0" w:lastRowLastColumn="0"/>
            <w:tcW w:w="1203" w:type="pct"/>
            <w:shd w:val="clear" w:color="auto" w:fill="FFFFFF" w:themeFill="background1"/>
            <w:vAlign w:val="center"/>
          </w:tcPr>
          <w:p w14:paraId="61121D20"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60</w:t>
            </w:r>
          </w:p>
        </w:tc>
      </w:tr>
      <w:tr w:rsidR="00D155AA" w:rsidRPr="00655FC7" w14:paraId="223794F1" w14:textId="77777777" w:rsidTr="00827748">
        <w:trPr>
          <w:cnfStyle w:val="000000100000" w:firstRow="0" w:lastRow="0" w:firstColumn="0" w:lastColumn="0" w:oddVBand="0" w:evenVBand="0" w:oddHBand="1" w:evenHBand="0" w:firstRowFirstColumn="0" w:firstRowLastColumn="0" w:lastRowFirstColumn="0" w:lastRowLastColumn="0"/>
          <w:trHeight w:val="175"/>
          <w:jc w:val="center"/>
        </w:trPr>
        <w:tc>
          <w:tcPr>
            <w:cnfStyle w:val="000010000000" w:firstRow="0" w:lastRow="0" w:firstColumn="0" w:lastColumn="0" w:oddVBand="1" w:evenVBand="0" w:oddHBand="0" w:evenHBand="0" w:firstRowFirstColumn="0" w:firstRowLastColumn="0" w:lastRowFirstColumn="0" w:lastRowLastColumn="0"/>
            <w:tcW w:w="662" w:type="pct"/>
            <w:vMerge/>
            <w:shd w:val="clear" w:color="auto" w:fill="D6D9A3" w:themeFill="accent2" w:themeFillTint="99"/>
            <w:vAlign w:val="center"/>
          </w:tcPr>
          <w:p w14:paraId="4A08ECFF" w14:textId="77777777" w:rsidR="00D155AA" w:rsidRPr="00655FC7" w:rsidRDefault="00D155AA" w:rsidP="00827748">
            <w:pPr>
              <w:tabs>
                <w:tab w:val="left" w:pos="3119"/>
              </w:tabs>
              <w:ind w:firstLine="0"/>
              <w:jc w:val="center"/>
              <w:rPr>
                <w:rFonts w:eastAsia="Calibri" w:cstheme="minorHAnsi"/>
                <w:color w:val="auto"/>
                <w:sz w:val="18"/>
                <w:szCs w:val="18"/>
              </w:rPr>
            </w:pPr>
          </w:p>
        </w:tc>
        <w:tc>
          <w:tcPr>
            <w:tcW w:w="715" w:type="pct"/>
            <w:shd w:val="clear" w:color="auto" w:fill="D6D9A3" w:themeFill="accent2" w:themeFillTint="99"/>
            <w:vAlign w:val="center"/>
          </w:tcPr>
          <w:p w14:paraId="5378C3DC" w14:textId="77777777" w:rsidR="00D155AA" w:rsidRPr="00655FC7" w:rsidRDefault="00D155AA" w:rsidP="00827748">
            <w:pPr>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Tereny leśne</w:t>
            </w:r>
          </w:p>
        </w:tc>
        <w:tc>
          <w:tcPr>
            <w:cnfStyle w:val="000010000000" w:firstRow="0" w:lastRow="0" w:firstColumn="0" w:lastColumn="0" w:oddVBand="1" w:evenVBand="0" w:oddHBand="0" w:evenHBand="0" w:firstRowFirstColumn="0" w:firstRowLastColumn="0" w:lastRowFirstColumn="0" w:lastRowLastColumn="0"/>
            <w:tcW w:w="1200" w:type="pct"/>
            <w:shd w:val="clear" w:color="auto" w:fill="FFFFFF" w:themeFill="background1"/>
            <w:vAlign w:val="center"/>
          </w:tcPr>
          <w:p w14:paraId="5AFEA4DD"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6</w:t>
            </w:r>
          </w:p>
        </w:tc>
        <w:tc>
          <w:tcPr>
            <w:tcW w:w="1220" w:type="pct"/>
            <w:vAlign w:val="center"/>
          </w:tcPr>
          <w:p w14:paraId="7607993C" w14:textId="77777777" w:rsidR="00D155AA" w:rsidRPr="00655FC7" w:rsidRDefault="00D155AA" w:rsidP="00827748">
            <w:pPr>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6</w:t>
            </w:r>
          </w:p>
        </w:tc>
        <w:tc>
          <w:tcPr>
            <w:cnfStyle w:val="000010000000" w:firstRow="0" w:lastRow="0" w:firstColumn="0" w:lastColumn="0" w:oddVBand="1" w:evenVBand="0" w:oddHBand="0" w:evenHBand="0" w:firstRowFirstColumn="0" w:firstRowLastColumn="0" w:lastRowFirstColumn="0" w:lastRowLastColumn="0"/>
            <w:tcW w:w="1203" w:type="pct"/>
            <w:shd w:val="clear" w:color="auto" w:fill="FFFFFF" w:themeFill="background1"/>
            <w:vAlign w:val="center"/>
          </w:tcPr>
          <w:p w14:paraId="1C8E82AB"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33</w:t>
            </w:r>
          </w:p>
        </w:tc>
      </w:tr>
      <w:tr w:rsidR="00D155AA" w:rsidRPr="00655FC7" w14:paraId="1454AC32" w14:textId="77777777" w:rsidTr="00827748">
        <w:trPr>
          <w:trHeight w:val="175"/>
          <w:jc w:val="center"/>
        </w:trPr>
        <w:tc>
          <w:tcPr>
            <w:cnfStyle w:val="000010000000" w:firstRow="0" w:lastRow="0" w:firstColumn="0" w:lastColumn="0" w:oddVBand="1" w:evenVBand="0" w:oddHBand="0" w:evenHBand="0" w:firstRowFirstColumn="0" w:firstRowLastColumn="0" w:lastRowFirstColumn="0" w:lastRowLastColumn="0"/>
            <w:tcW w:w="1377" w:type="pct"/>
            <w:gridSpan w:val="2"/>
            <w:shd w:val="clear" w:color="auto" w:fill="D6D9A3" w:themeFill="accent2" w:themeFillTint="99"/>
            <w:vAlign w:val="center"/>
          </w:tcPr>
          <w:p w14:paraId="4959AB94"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Rodzaj presji determinującej stan wód w obrębie danej JCWP</w:t>
            </w:r>
          </w:p>
        </w:tc>
        <w:tc>
          <w:tcPr>
            <w:tcW w:w="1200" w:type="pct"/>
            <w:shd w:val="clear" w:color="auto" w:fill="FFFFFF" w:themeFill="background1"/>
          </w:tcPr>
          <w:p w14:paraId="1018384A" w14:textId="77777777" w:rsidR="00D155AA" w:rsidRPr="00655FC7" w:rsidRDefault="00D155AA">
            <w:pPr>
              <w:pStyle w:val="Akapitzlist"/>
              <w:numPr>
                <w:ilvl w:val="0"/>
                <w:numId w:val="40"/>
              </w:numPr>
              <w:ind w:left="143" w:hanging="143"/>
              <w:jc w:val="left"/>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nawożenie i depozycja</w:t>
            </w:r>
          </w:p>
          <w:p w14:paraId="0C343B77" w14:textId="77777777" w:rsidR="00D155AA" w:rsidRPr="00655FC7" w:rsidRDefault="00D155AA">
            <w:pPr>
              <w:pStyle w:val="Akapitzlist"/>
              <w:numPr>
                <w:ilvl w:val="0"/>
                <w:numId w:val="40"/>
              </w:numPr>
              <w:ind w:left="143" w:hanging="143"/>
              <w:jc w:val="left"/>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górnictwo – rzeki główne</w:t>
            </w:r>
          </w:p>
          <w:p w14:paraId="4AD9E9C5" w14:textId="77777777" w:rsidR="00D155AA" w:rsidRPr="00655FC7" w:rsidRDefault="00D155AA">
            <w:pPr>
              <w:pStyle w:val="Akapitzlist"/>
              <w:numPr>
                <w:ilvl w:val="0"/>
                <w:numId w:val="40"/>
              </w:numPr>
              <w:ind w:left="143" w:hanging="143"/>
              <w:jc w:val="left"/>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rozproszone – rozwój obszarów zurbanizowanych: transport, turystyka, odpływ miejski; nieznane (substancje zakazane)</w:t>
            </w:r>
          </w:p>
        </w:tc>
        <w:tc>
          <w:tcPr>
            <w:cnfStyle w:val="000010000000" w:firstRow="0" w:lastRow="0" w:firstColumn="0" w:lastColumn="0" w:oddVBand="1" w:evenVBand="0" w:oddHBand="0" w:evenHBand="0" w:firstRowFirstColumn="0" w:firstRowLastColumn="0" w:lastRowFirstColumn="0" w:lastRowLastColumn="0"/>
            <w:tcW w:w="1220" w:type="pct"/>
          </w:tcPr>
          <w:p w14:paraId="24EA047B" w14:textId="77777777" w:rsidR="00D155AA" w:rsidRPr="00655FC7" w:rsidRDefault="00D155AA">
            <w:pPr>
              <w:numPr>
                <w:ilvl w:val="0"/>
                <w:numId w:val="29"/>
              </w:numPr>
              <w:tabs>
                <w:tab w:val="left" w:pos="3119"/>
              </w:tabs>
              <w:ind w:left="175" w:hanging="142"/>
              <w:contextualSpacing/>
              <w:jc w:val="left"/>
              <w:rPr>
                <w:rFonts w:eastAsia="Calibri" w:cstheme="minorHAnsi"/>
                <w:color w:val="auto"/>
                <w:sz w:val="18"/>
                <w:szCs w:val="18"/>
              </w:rPr>
            </w:pPr>
            <w:r w:rsidRPr="00655FC7">
              <w:rPr>
                <w:rFonts w:eastAsia="Calibri" w:cstheme="minorHAnsi"/>
                <w:color w:val="auto"/>
                <w:sz w:val="18"/>
                <w:szCs w:val="18"/>
              </w:rPr>
              <w:t>obiekty mostowe – rzeki pozostałe, górnictwo – rzeki główne</w:t>
            </w:r>
          </w:p>
          <w:p w14:paraId="40BABB53" w14:textId="77777777" w:rsidR="00D155AA" w:rsidRPr="00655FC7" w:rsidRDefault="00D155AA">
            <w:pPr>
              <w:numPr>
                <w:ilvl w:val="0"/>
                <w:numId w:val="29"/>
              </w:numPr>
              <w:tabs>
                <w:tab w:val="left" w:pos="3119"/>
              </w:tabs>
              <w:ind w:left="175" w:hanging="142"/>
              <w:contextualSpacing/>
              <w:jc w:val="left"/>
              <w:rPr>
                <w:rFonts w:eastAsia="Calibri" w:cstheme="minorHAnsi"/>
                <w:color w:val="auto"/>
                <w:sz w:val="18"/>
                <w:szCs w:val="18"/>
              </w:rPr>
            </w:pPr>
            <w:r w:rsidRPr="00655FC7">
              <w:rPr>
                <w:rFonts w:eastAsia="Calibri" w:cstheme="minorHAnsi"/>
                <w:color w:val="auto"/>
                <w:sz w:val="18"/>
                <w:szCs w:val="18"/>
              </w:rPr>
              <w:t>rozproszone – rozwój obszarów zurbanizowanych: transport, turystyka, odpływ miejski; nieznane (substancje zakazane)</w:t>
            </w:r>
          </w:p>
        </w:tc>
        <w:tc>
          <w:tcPr>
            <w:tcW w:w="1203" w:type="pct"/>
            <w:shd w:val="clear" w:color="auto" w:fill="FFFFFF" w:themeFill="background1"/>
          </w:tcPr>
          <w:p w14:paraId="56B1346B" w14:textId="77777777" w:rsidR="00D155AA" w:rsidRPr="00655FC7" w:rsidRDefault="00D155AA">
            <w:pPr>
              <w:numPr>
                <w:ilvl w:val="0"/>
                <w:numId w:val="29"/>
              </w:numPr>
              <w:tabs>
                <w:tab w:val="left" w:pos="3119"/>
              </w:tabs>
              <w:ind w:left="181" w:hanging="181"/>
              <w:contextualSpacing/>
              <w:jc w:val="left"/>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nawożenie i depozycja oraz odpływ miejski (wody opadowe)</w:t>
            </w:r>
          </w:p>
          <w:p w14:paraId="6734E1D5" w14:textId="77777777" w:rsidR="00D155AA" w:rsidRPr="00655FC7" w:rsidRDefault="00D155AA">
            <w:pPr>
              <w:numPr>
                <w:ilvl w:val="0"/>
                <w:numId w:val="29"/>
              </w:numPr>
              <w:tabs>
                <w:tab w:val="left" w:pos="3119"/>
              </w:tabs>
              <w:ind w:left="181" w:hanging="181"/>
              <w:contextualSpacing/>
              <w:jc w:val="left"/>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budowle piętrzące – rzeki pozostałe, obiekty mostowe – rzeki pozostałe</w:t>
            </w:r>
          </w:p>
          <w:p w14:paraId="72C896F8" w14:textId="77777777" w:rsidR="00D155AA" w:rsidRPr="00655FC7" w:rsidRDefault="00D155AA">
            <w:pPr>
              <w:numPr>
                <w:ilvl w:val="0"/>
                <w:numId w:val="29"/>
              </w:numPr>
              <w:tabs>
                <w:tab w:val="left" w:pos="3119"/>
              </w:tabs>
              <w:ind w:left="181" w:hanging="181"/>
              <w:contextualSpacing/>
              <w:jc w:val="left"/>
              <w:cnfStyle w:val="000000000000" w:firstRow="0" w:lastRow="0" w:firstColumn="0" w:lastColumn="0" w:oddVBand="0" w:evenVBand="0" w:oddHBand="0" w:evenHBand="0" w:firstRowFirstColumn="0" w:firstRowLastColumn="0" w:lastRowFirstColumn="0" w:lastRowLastColumn="0"/>
              <w:rPr>
                <w:rFonts w:eastAsia="Calibri" w:cstheme="minorHAnsi"/>
                <w:color w:val="auto"/>
                <w:sz w:val="18"/>
                <w:szCs w:val="18"/>
              </w:rPr>
            </w:pPr>
            <w:r w:rsidRPr="00655FC7">
              <w:rPr>
                <w:rFonts w:eastAsia="Calibri" w:cstheme="minorHAnsi"/>
                <w:color w:val="auto"/>
                <w:sz w:val="18"/>
                <w:szCs w:val="18"/>
              </w:rPr>
              <w:t>rozproszone – rozwój obszarów zurbanizowanych: transport, turystyka, odpływ miejski</w:t>
            </w:r>
          </w:p>
        </w:tc>
      </w:tr>
      <w:tr w:rsidR="00D155AA" w:rsidRPr="00655FC7" w14:paraId="466201DE" w14:textId="77777777" w:rsidTr="00827748">
        <w:trPr>
          <w:cnfStyle w:val="000000100000" w:firstRow="0" w:lastRow="0" w:firstColumn="0" w:lastColumn="0" w:oddVBand="0" w:evenVBand="0" w:oddHBand="1" w:evenHBand="0" w:firstRowFirstColumn="0" w:firstRowLastColumn="0" w:lastRowFirstColumn="0" w:lastRowLastColumn="0"/>
          <w:trHeight w:val="175"/>
          <w:jc w:val="center"/>
        </w:trPr>
        <w:tc>
          <w:tcPr>
            <w:cnfStyle w:val="000010000000" w:firstRow="0" w:lastRow="0" w:firstColumn="0" w:lastColumn="0" w:oddVBand="1" w:evenVBand="0" w:oddHBand="0" w:evenHBand="0" w:firstRowFirstColumn="0" w:firstRowLastColumn="0" w:lastRowFirstColumn="0" w:lastRowLastColumn="0"/>
            <w:tcW w:w="1377" w:type="pct"/>
            <w:gridSpan w:val="2"/>
            <w:shd w:val="clear" w:color="auto" w:fill="D6D9A3" w:themeFill="accent2" w:themeFillTint="99"/>
            <w:vAlign w:val="center"/>
          </w:tcPr>
          <w:p w14:paraId="0F5EB6A2"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Ocena ryzyka nieosiągnięcia celu środowiskowego</w:t>
            </w:r>
          </w:p>
        </w:tc>
        <w:tc>
          <w:tcPr>
            <w:tcW w:w="1200" w:type="pct"/>
            <w:shd w:val="clear" w:color="auto" w:fill="FFFFFF" w:themeFill="background1"/>
            <w:vAlign w:val="center"/>
          </w:tcPr>
          <w:p w14:paraId="3F912EBB" w14:textId="77777777" w:rsidR="00D155AA" w:rsidRPr="00655FC7" w:rsidRDefault="00D155AA" w:rsidP="00827748">
            <w:pPr>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b/>
                <w:color w:val="auto"/>
                <w:sz w:val="18"/>
                <w:szCs w:val="18"/>
              </w:rPr>
            </w:pPr>
            <w:r w:rsidRPr="00655FC7">
              <w:rPr>
                <w:rFonts w:eastAsia="Calibri" w:cstheme="minorHAnsi"/>
                <w:b/>
                <w:color w:val="auto"/>
                <w:sz w:val="18"/>
                <w:szCs w:val="18"/>
              </w:rPr>
              <w:t>zagrożona</w:t>
            </w:r>
          </w:p>
        </w:tc>
        <w:tc>
          <w:tcPr>
            <w:cnfStyle w:val="000010000000" w:firstRow="0" w:lastRow="0" w:firstColumn="0" w:lastColumn="0" w:oddVBand="1" w:evenVBand="0" w:oddHBand="0" w:evenHBand="0" w:firstRowFirstColumn="0" w:firstRowLastColumn="0" w:lastRowFirstColumn="0" w:lastRowLastColumn="0"/>
            <w:tcW w:w="1220" w:type="pct"/>
            <w:vAlign w:val="center"/>
          </w:tcPr>
          <w:p w14:paraId="3FBA9985" w14:textId="77777777" w:rsidR="00D155AA" w:rsidRPr="00655FC7" w:rsidRDefault="00D155AA" w:rsidP="00827748">
            <w:pPr>
              <w:tabs>
                <w:tab w:val="left" w:pos="3119"/>
              </w:tabs>
              <w:ind w:firstLine="0"/>
              <w:jc w:val="center"/>
              <w:rPr>
                <w:rFonts w:eastAsia="Calibri" w:cstheme="minorHAnsi"/>
                <w:b/>
                <w:color w:val="auto"/>
                <w:sz w:val="18"/>
                <w:szCs w:val="18"/>
              </w:rPr>
            </w:pPr>
            <w:r w:rsidRPr="00655FC7">
              <w:rPr>
                <w:rFonts w:eastAsia="Calibri" w:cstheme="minorHAnsi"/>
                <w:b/>
                <w:color w:val="auto"/>
                <w:sz w:val="18"/>
                <w:szCs w:val="18"/>
              </w:rPr>
              <w:t>zagrożona</w:t>
            </w:r>
          </w:p>
        </w:tc>
        <w:tc>
          <w:tcPr>
            <w:tcW w:w="1203" w:type="pct"/>
            <w:shd w:val="clear" w:color="auto" w:fill="FFFFFF" w:themeFill="background1"/>
            <w:vAlign w:val="center"/>
          </w:tcPr>
          <w:p w14:paraId="74A05822" w14:textId="77777777" w:rsidR="00D155AA" w:rsidRPr="00655FC7" w:rsidRDefault="00D155AA" w:rsidP="00827748">
            <w:pPr>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b/>
                <w:color w:val="auto"/>
                <w:sz w:val="18"/>
                <w:szCs w:val="18"/>
              </w:rPr>
            </w:pPr>
            <w:r w:rsidRPr="00655FC7">
              <w:rPr>
                <w:rFonts w:eastAsia="Calibri" w:cstheme="minorHAnsi"/>
                <w:b/>
                <w:color w:val="auto"/>
                <w:sz w:val="18"/>
                <w:szCs w:val="18"/>
              </w:rPr>
              <w:t>zagrożona</w:t>
            </w:r>
          </w:p>
        </w:tc>
      </w:tr>
    </w:tbl>
    <w:p w14:paraId="38EE82AE" w14:textId="77777777" w:rsidR="00D155AA" w:rsidRPr="00655FC7" w:rsidRDefault="00D155AA" w:rsidP="00D155AA">
      <w:pPr>
        <w:pStyle w:val="Cytat"/>
      </w:pPr>
      <w:bookmarkStart w:id="164" w:name="_Toc45877553"/>
      <w:bookmarkStart w:id="165" w:name="_Toc437524290"/>
      <w:bookmarkStart w:id="166" w:name="_Toc478981563"/>
      <w:r w:rsidRPr="00655FC7">
        <w:t>http://karty.apgw.gov.pl</w:t>
      </w:r>
    </w:p>
    <w:p w14:paraId="31182FAB" w14:textId="77777777" w:rsidR="00D155AA" w:rsidRPr="00655FC7" w:rsidRDefault="00D155AA" w:rsidP="00D155AA">
      <w:pPr>
        <w:tabs>
          <w:tab w:val="left" w:pos="3119"/>
        </w:tabs>
        <w:jc w:val="center"/>
        <w:rPr>
          <w:rFonts w:cstheme="minorHAnsi"/>
          <w:color w:val="auto"/>
        </w:rPr>
      </w:pPr>
    </w:p>
    <w:p w14:paraId="07E98087" w14:textId="77777777" w:rsidR="00D155AA" w:rsidRPr="00655FC7" w:rsidRDefault="00D155AA" w:rsidP="00D155AA">
      <w:pPr>
        <w:keepNext/>
        <w:tabs>
          <w:tab w:val="left" w:pos="3119"/>
        </w:tabs>
        <w:ind w:firstLine="0"/>
      </w:pPr>
      <w:r w:rsidRPr="00655FC7">
        <w:rPr>
          <w:rFonts w:cstheme="minorHAnsi"/>
          <w:noProof/>
          <w:color w:val="auto"/>
        </w:rPr>
        <w:drawing>
          <wp:inline distT="0" distB="0" distL="0" distR="0" wp14:anchorId="34B94690" wp14:editId="42D4DD5A">
            <wp:extent cx="5760720" cy="4073525"/>
            <wp:effectExtent l="19050" t="19050" r="11430" b="22225"/>
            <wp:docPr id="1840608277" name="Obraz 2" descr="Obraz zawierający tekst, diagram, zrzut ekranu,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608277" name="Obraz 2" descr="Obraz zawierający tekst, diagram, zrzut ekranu, mapa&#10;&#10;Opis wygenerowany automatyczni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a:ln>
                      <a:solidFill>
                        <a:schemeClr val="tx1"/>
                      </a:solidFill>
                    </a:ln>
                  </pic:spPr>
                </pic:pic>
              </a:graphicData>
            </a:graphic>
          </wp:inline>
        </w:drawing>
      </w:r>
    </w:p>
    <w:p w14:paraId="23F46082" w14:textId="6D6DA295" w:rsidR="00D155AA" w:rsidRPr="00655FC7" w:rsidRDefault="00D155AA" w:rsidP="00BB3923">
      <w:pPr>
        <w:pStyle w:val="Stylrysunek"/>
      </w:pPr>
      <w:bookmarkStart w:id="167" w:name="_Toc178846371"/>
      <w:r w:rsidRPr="00655FC7">
        <w:t xml:space="preserve">Rysunek </w:t>
      </w:r>
      <w:r w:rsidR="00EA4C85">
        <w:fldChar w:fldCharType="begin"/>
      </w:r>
      <w:r w:rsidR="00EA4C85">
        <w:instrText xml:space="preserve"> SEQ Rysunek \* ARABIC </w:instrText>
      </w:r>
      <w:r w:rsidR="00EA4C85">
        <w:fldChar w:fldCharType="separate"/>
      </w:r>
      <w:r w:rsidR="00A654D8">
        <w:rPr>
          <w:noProof/>
        </w:rPr>
        <w:t>29</w:t>
      </w:r>
      <w:r w:rsidR="00EA4C85">
        <w:rPr>
          <w:noProof/>
        </w:rPr>
        <w:fldChar w:fldCharType="end"/>
      </w:r>
      <w:r w:rsidRPr="00655FC7">
        <w:t>. Zlewnie JCWP rzecznych.</w:t>
      </w:r>
      <w:bookmarkEnd w:id="167"/>
    </w:p>
    <w:p w14:paraId="71272E2B" w14:textId="77777777" w:rsidR="00D155AA" w:rsidRPr="00655FC7" w:rsidRDefault="00D155AA" w:rsidP="00D155AA">
      <w:pPr>
        <w:pStyle w:val="Cytat"/>
      </w:pPr>
      <w:r w:rsidRPr="00655FC7">
        <w:t>Źródło: Opracowanie własne na podstawie PGW Wody Polskie</w:t>
      </w:r>
    </w:p>
    <w:p w14:paraId="07232AC0" w14:textId="77777777" w:rsidR="00D155AA" w:rsidRPr="00655FC7" w:rsidRDefault="00D155AA" w:rsidP="00D155AA">
      <w:pPr>
        <w:tabs>
          <w:tab w:val="left" w:pos="3119"/>
        </w:tabs>
        <w:rPr>
          <w:rFonts w:cstheme="minorHAnsi"/>
          <w:color w:val="auto"/>
        </w:rPr>
      </w:pPr>
    </w:p>
    <w:p w14:paraId="6B2BB66E" w14:textId="77777777" w:rsidR="00D155AA" w:rsidRPr="00655FC7" w:rsidRDefault="00D155AA" w:rsidP="00D155AA">
      <w:pPr>
        <w:tabs>
          <w:tab w:val="left" w:pos="3119"/>
        </w:tabs>
        <w:rPr>
          <w:rFonts w:cstheme="minorHAnsi"/>
          <w:color w:val="auto"/>
        </w:rPr>
      </w:pPr>
      <w:r w:rsidRPr="00655FC7">
        <w:rPr>
          <w:rFonts w:cstheme="minorHAnsi"/>
          <w:color w:val="auto"/>
        </w:rPr>
        <w:t>Główne wyzwania w kontekście ochrony, utrzymania i zrównoważonego rozwoju naturalnych cieków wodnych znajdujących się na terenie miasta to:</w:t>
      </w:r>
    </w:p>
    <w:p w14:paraId="07027A06" w14:textId="0759EA53" w:rsidR="00D155AA" w:rsidRPr="00655FC7" w:rsidRDefault="004F5201">
      <w:pPr>
        <w:numPr>
          <w:ilvl w:val="0"/>
          <w:numId w:val="39"/>
        </w:numPr>
        <w:tabs>
          <w:tab w:val="left" w:pos="3119"/>
        </w:tabs>
        <w:contextualSpacing/>
        <w:rPr>
          <w:rFonts w:cstheme="minorHAnsi"/>
          <w:color w:val="auto"/>
        </w:rPr>
      </w:pPr>
      <w:r w:rsidRPr="00655FC7">
        <w:rPr>
          <w:rFonts w:cstheme="minorHAnsi"/>
          <w:color w:val="auto"/>
        </w:rPr>
        <w:t>wysoka urbanizacja i rozwój terenów handlowych wielkopowierzchniowych w tym uszczelnianie terenów mieszkalnych,</w:t>
      </w:r>
    </w:p>
    <w:p w14:paraId="050FE690" w14:textId="6EC0E829" w:rsidR="00D155AA" w:rsidRPr="00655FC7" w:rsidRDefault="004F5201">
      <w:pPr>
        <w:numPr>
          <w:ilvl w:val="0"/>
          <w:numId w:val="39"/>
        </w:numPr>
        <w:tabs>
          <w:tab w:val="left" w:pos="3119"/>
        </w:tabs>
        <w:contextualSpacing/>
        <w:rPr>
          <w:rFonts w:cstheme="minorHAnsi"/>
          <w:color w:val="auto"/>
        </w:rPr>
      </w:pPr>
      <w:r w:rsidRPr="00655FC7">
        <w:rPr>
          <w:rFonts w:cstheme="minorHAnsi"/>
          <w:color w:val="auto"/>
        </w:rPr>
        <w:lastRenderedPageBreak/>
        <w:t>brak rozwiązań systemowych i prawnych przede wszystkim przepisów wykonawczych dotyczących zarządzania ciekami i urządzeniami melioracyjnymi w tym niszczenie tego typu urządzeń przez właścicieli nieruchomości prywatnych.</w:t>
      </w:r>
    </w:p>
    <w:p w14:paraId="4E0CE67F" w14:textId="77777777" w:rsidR="00D155AA" w:rsidRPr="00655FC7" w:rsidRDefault="00D155AA" w:rsidP="00D155AA">
      <w:pPr>
        <w:tabs>
          <w:tab w:val="left" w:pos="3119"/>
        </w:tabs>
        <w:rPr>
          <w:rFonts w:cstheme="minorHAnsi"/>
          <w:color w:val="auto"/>
        </w:rPr>
      </w:pPr>
    </w:p>
    <w:p w14:paraId="5FF37B37" w14:textId="77777777" w:rsidR="00D155AA" w:rsidRPr="00655FC7" w:rsidRDefault="00D155AA" w:rsidP="00D155AA">
      <w:pPr>
        <w:tabs>
          <w:tab w:val="left" w:pos="3119"/>
        </w:tabs>
        <w:rPr>
          <w:rFonts w:cstheme="minorHAnsi"/>
          <w:color w:val="auto"/>
        </w:rPr>
      </w:pPr>
      <w:r w:rsidRPr="00655FC7">
        <w:rPr>
          <w:rFonts w:cstheme="minorHAnsi"/>
          <w:color w:val="auto"/>
        </w:rPr>
        <w:t>Regionalny Zarząd Gospodarki Wodnej w Rzeszowie realizuje zadania inwestycyjne z zakresu ochrony przeciwpowodziowej w oparciu o Plan Zarządzania Ryzykiem Powodziowym, który stanowi najważniejszy dokument planistyczny w zakresie gospodarki wodnej dla obszaru dorzecza Wisły oraz na podstawie Programu Planowanych Inwestycji w Gospodarce Wodnej Państwowego Gospodarstwa Wodnego Wody Polskie. Wobec powyższego na terenie Miasta Tarnogród w chwili obecnej nie realizuje się oraz nie planuje do realizacji inwestycji o charakterze przeciwpowodziowym.</w:t>
      </w:r>
    </w:p>
    <w:p w14:paraId="1ACAC819" w14:textId="77777777" w:rsidR="00D155AA" w:rsidRPr="00655FC7" w:rsidRDefault="00D155AA" w:rsidP="00D155AA">
      <w:pPr>
        <w:tabs>
          <w:tab w:val="left" w:pos="3119"/>
        </w:tabs>
        <w:rPr>
          <w:rFonts w:cstheme="minorHAnsi"/>
          <w:color w:val="auto"/>
        </w:rPr>
      </w:pPr>
    </w:p>
    <w:p w14:paraId="706B15C2" w14:textId="77777777" w:rsidR="00D155AA" w:rsidRPr="00655FC7" w:rsidRDefault="00D155AA" w:rsidP="00D155AA">
      <w:pPr>
        <w:pStyle w:val="Nagwek3"/>
      </w:pPr>
      <w:bookmarkStart w:id="168" w:name="_Toc379803260"/>
      <w:bookmarkStart w:id="169" w:name="_Toc420324348"/>
      <w:bookmarkStart w:id="170" w:name="_Toc21085185"/>
      <w:bookmarkStart w:id="171" w:name="_Toc177732061"/>
      <w:bookmarkEnd w:id="159"/>
      <w:bookmarkEnd w:id="160"/>
      <w:bookmarkEnd w:id="164"/>
      <w:bookmarkEnd w:id="165"/>
      <w:bookmarkEnd w:id="166"/>
      <w:r w:rsidRPr="00655FC7">
        <w:t>Wody podziemne</w:t>
      </w:r>
      <w:bookmarkEnd w:id="168"/>
      <w:bookmarkEnd w:id="169"/>
      <w:bookmarkEnd w:id="170"/>
      <w:bookmarkEnd w:id="171"/>
    </w:p>
    <w:p w14:paraId="572EB9E6" w14:textId="77777777" w:rsidR="00D155AA" w:rsidRPr="00655FC7" w:rsidRDefault="00D155AA" w:rsidP="00D155AA">
      <w:pPr>
        <w:pBdr>
          <w:top w:val="none" w:sz="0" w:space="0" w:color="000000"/>
          <w:left w:val="none" w:sz="0" w:space="0" w:color="000000"/>
          <w:bottom w:val="none" w:sz="0" w:space="0" w:color="000000"/>
          <w:right w:val="none" w:sz="0" w:space="0" w:color="000000"/>
        </w:pBdr>
        <w:tabs>
          <w:tab w:val="left" w:pos="3119"/>
        </w:tabs>
        <w:suppressAutoHyphens/>
        <w:autoSpaceDE w:val="0"/>
        <w:rPr>
          <w:rFonts w:eastAsia="Calibri" w:cstheme="minorHAnsi"/>
          <w:color w:val="auto"/>
          <w:lang w:eastAsia="pl-PL"/>
        </w:rPr>
      </w:pPr>
      <w:bookmarkStart w:id="172" w:name="_Toc420324438"/>
      <w:bookmarkStart w:id="173" w:name="_Toc354487106"/>
      <w:bookmarkStart w:id="174" w:name="_Toc382479761"/>
      <w:bookmarkStart w:id="175" w:name="_Toc404941320"/>
      <w:bookmarkStart w:id="176" w:name="_Toc21085163"/>
      <w:bookmarkStart w:id="177" w:name="_Toc21085161"/>
      <w:r w:rsidRPr="00655FC7">
        <w:rPr>
          <w:rFonts w:eastAsia="Calibri" w:cstheme="minorHAnsi"/>
          <w:color w:val="auto"/>
          <w:lang w:eastAsia="pl-PL"/>
        </w:rPr>
        <w:t>Miasto Tarnogród znajduje się w zasięgu Jednolitych Części Wód Podziemnych JCWPd nr 120 oraz 136, co przedstawiono poniżej.</w:t>
      </w:r>
      <w:bookmarkEnd w:id="172"/>
    </w:p>
    <w:p w14:paraId="369E814D" w14:textId="77777777" w:rsidR="00D155AA" w:rsidRPr="00655FC7" w:rsidRDefault="00D155AA" w:rsidP="00D155AA">
      <w:pPr>
        <w:tabs>
          <w:tab w:val="left" w:pos="3119"/>
        </w:tabs>
        <w:rPr>
          <w:rFonts w:eastAsiaTheme="minorEastAsia" w:cstheme="minorHAnsi"/>
          <w:bCs/>
          <w:color w:val="auto"/>
          <w:szCs w:val="20"/>
          <w:lang w:eastAsia="pl-PL"/>
        </w:rPr>
      </w:pPr>
      <w:bookmarkStart w:id="178" w:name="_Toc45877552"/>
    </w:p>
    <w:bookmarkEnd w:id="178"/>
    <w:p w14:paraId="79D32B27" w14:textId="77777777" w:rsidR="00D155AA" w:rsidRPr="00655FC7" w:rsidRDefault="00D155AA" w:rsidP="00D155AA">
      <w:pPr>
        <w:ind w:firstLine="0"/>
        <w:jc w:val="center"/>
        <w:rPr>
          <w:rFonts w:cstheme="minorHAnsi"/>
        </w:rPr>
      </w:pPr>
      <w:r w:rsidRPr="00655FC7">
        <w:rPr>
          <w:rFonts w:cstheme="minorHAnsi"/>
          <w:noProof/>
        </w:rPr>
        <w:drawing>
          <wp:inline distT="0" distB="0" distL="0" distR="0" wp14:anchorId="7B3C93C4" wp14:editId="0051A021">
            <wp:extent cx="5760424" cy="4073525"/>
            <wp:effectExtent l="19050" t="19050" r="12065" b="22225"/>
            <wp:docPr id="1592779901" name="Obraz 3" descr="Obraz zawierający tekst, zrzut ekranu,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779901" name="Obraz 3" descr="Obraz zawierający tekst, zrzut ekranu, diagram, mapa&#10;&#10;Opis wygenerowany automatyczni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760424" cy="4073525"/>
                    </a:xfrm>
                    <a:prstGeom prst="rect">
                      <a:avLst/>
                    </a:prstGeom>
                    <a:ln>
                      <a:solidFill>
                        <a:schemeClr val="tx1"/>
                      </a:solidFill>
                    </a:ln>
                  </pic:spPr>
                </pic:pic>
              </a:graphicData>
            </a:graphic>
          </wp:inline>
        </w:drawing>
      </w:r>
    </w:p>
    <w:p w14:paraId="352B829C" w14:textId="7F39C4A2" w:rsidR="00D155AA" w:rsidRPr="00655FC7" w:rsidRDefault="00D155AA" w:rsidP="00D155AA">
      <w:pPr>
        <w:pStyle w:val="Stylrysunek"/>
      </w:pPr>
      <w:bookmarkStart w:id="179" w:name="_Toc178846372"/>
      <w:r w:rsidRPr="00655FC7">
        <w:t xml:space="preserve">Rysunek </w:t>
      </w:r>
      <w:r w:rsidR="00EA4C85">
        <w:fldChar w:fldCharType="begin"/>
      </w:r>
      <w:r w:rsidR="00EA4C85">
        <w:instrText xml:space="preserve"> SEQ Rysunek \* ARABIC </w:instrText>
      </w:r>
      <w:r w:rsidR="00EA4C85">
        <w:fldChar w:fldCharType="separate"/>
      </w:r>
      <w:r w:rsidR="00A654D8">
        <w:rPr>
          <w:noProof/>
        </w:rPr>
        <w:t>30</w:t>
      </w:r>
      <w:r w:rsidR="00EA4C85">
        <w:rPr>
          <w:noProof/>
        </w:rPr>
        <w:fldChar w:fldCharType="end"/>
      </w:r>
      <w:r w:rsidRPr="00655FC7">
        <w:t>. Miasto Tarnogród na tle JCWPd.</w:t>
      </w:r>
      <w:bookmarkEnd w:id="179"/>
    </w:p>
    <w:p w14:paraId="613E75DC" w14:textId="77777777" w:rsidR="00D155AA" w:rsidRPr="00655FC7" w:rsidRDefault="00D155AA" w:rsidP="00D155AA">
      <w:pPr>
        <w:pStyle w:val="Cytat"/>
      </w:pPr>
      <w:r w:rsidRPr="00655FC7">
        <w:t>Źródło: Opracowanie własne na podstawie danych przestrzennych udostępnianych przez PGW WP</w:t>
      </w:r>
    </w:p>
    <w:p w14:paraId="343C54EF" w14:textId="77777777" w:rsidR="00D155AA" w:rsidRPr="00655FC7" w:rsidRDefault="00D155AA" w:rsidP="00D155AA">
      <w:pPr>
        <w:tabs>
          <w:tab w:val="left" w:pos="3119"/>
        </w:tabs>
        <w:rPr>
          <w:rFonts w:eastAsia="Calibri" w:cstheme="minorHAnsi"/>
          <w:color w:val="auto"/>
        </w:rPr>
      </w:pPr>
    </w:p>
    <w:p w14:paraId="099330C4" w14:textId="77777777" w:rsidR="00D155AA" w:rsidRPr="00655FC7" w:rsidRDefault="00D155AA" w:rsidP="00D155AA">
      <w:pPr>
        <w:rPr>
          <w:rFonts w:cstheme="minorHAnsi"/>
        </w:rPr>
      </w:pPr>
      <w:r w:rsidRPr="00655FC7">
        <w:rPr>
          <w:rFonts w:cstheme="minorHAnsi"/>
        </w:rPr>
        <w:t>Informacje na temat JCWPd znajdują się w poniższej tabeli.</w:t>
      </w:r>
    </w:p>
    <w:p w14:paraId="6EC27DCE" w14:textId="77777777" w:rsidR="00D155AA" w:rsidRDefault="00D155AA" w:rsidP="00D155AA">
      <w:pPr>
        <w:rPr>
          <w:rFonts w:cstheme="minorHAnsi"/>
        </w:rPr>
      </w:pPr>
    </w:p>
    <w:p w14:paraId="6F729837" w14:textId="77777777" w:rsidR="008F2B93" w:rsidRDefault="008F2B93" w:rsidP="00D155AA">
      <w:pPr>
        <w:rPr>
          <w:rFonts w:cstheme="minorHAnsi"/>
        </w:rPr>
      </w:pPr>
    </w:p>
    <w:p w14:paraId="1B5EE457" w14:textId="77777777" w:rsidR="008F2B93" w:rsidRPr="00655FC7" w:rsidRDefault="008F2B93" w:rsidP="00D155AA">
      <w:pPr>
        <w:rPr>
          <w:rFonts w:cstheme="minorHAnsi"/>
        </w:rPr>
      </w:pPr>
    </w:p>
    <w:p w14:paraId="3661474A" w14:textId="6D305A81" w:rsidR="00D155AA" w:rsidRPr="00655FC7" w:rsidRDefault="00D155AA" w:rsidP="00D155AA">
      <w:pPr>
        <w:pStyle w:val="Styltabela"/>
        <w:rPr>
          <w:rFonts w:eastAsiaTheme="minorEastAsia"/>
        </w:rPr>
      </w:pPr>
      <w:bookmarkStart w:id="180" w:name="_Toc525645582"/>
      <w:bookmarkStart w:id="181" w:name="_Toc178846327"/>
      <w:r w:rsidRPr="00655FC7">
        <w:rPr>
          <w:rFonts w:eastAsiaTheme="minorEastAsia"/>
        </w:rPr>
        <w:lastRenderedPageBreak/>
        <w:t xml:space="preserve">Tabela </w:t>
      </w:r>
      <w:r w:rsidR="00E833A9">
        <w:rPr>
          <w:rFonts w:eastAsiaTheme="minorEastAsia"/>
        </w:rPr>
        <w:fldChar w:fldCharType="begin"/>
      </w:r>
      <w:r w:rsidR="00E833A9">
        <w:rPr>
          <w:rFonts w:eastAsiaTheme="minorEastAsia"/>
        </w:rPr>
        <w:instrText xml:space="preserve"> SEQ Tabela \* ARABIC </w:instrText>
      </w:r>
      <w:r w:rsidR="00E833A9">
        <w:rPr>
          <w:rFonts w:eastAsiaTheme="minorEastAsia"/>
        </w:rPr>
        <w:fldChar w:fldCharType="separate"/>
      </w:r>
      <w:r w:rsidR="00A654D8">
        <w:rPr>
          <w:rFonts w:eastAsiaTheme="minorEastAsia"/>
          <w:noProof/>
        </w:rPr>
        <w:t>21</w:t>
      </w:r>
      <w:r w:rsidR="00E833A9">
        <w:rPr>
          <w:rFonts w:eastAsiaTheme="minorEastAsia"/>
        </w:rPr>
        <w:fldChar w:fldCharType="end"/>
      </w:r>
      <w:r w:rsidRPr="00655FC7">
        <w:rPr>
          <w:rFonts w:eastAsiaTheme="minorEastAsia"/>
        </w:rPr>
        <w:t>. Charakterystyka JCWPd</w:t>
      </w:r>
      <w:bookmarkEnd w:id="180"/>
      <w:r w:rsidRPr="00655FC7">
        <w:rPr>
          <w:rFonts w:eastAsiaTheme="minorEastAsia"/>
        </w:rPr>
        <w:t>.</w:t>
      </w:r>
      <w:bookmarkEnd w:id="181"/>
    </w:p>
    <w:tbl>
      <w:tblPr>
        <w:tblStyle w:val="Tabelasiatki5ciemnaakcent6"/>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4"/>
        <w:gridCol w:w="3316"/>
        <w:gridCol w:w="3022"/>
      </w:tblGrid>
      <w:tr w:rsidR="00D155AA" w:rsidRPr="00655FC7" w14:paraId="61000B73" w14:textId="77777777" w:rsidTr="0082774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4" w:type="dxa"/>
            <w:tcBorders>
              <w:top w:val="none" w:sz="0" w:space="0" w:color="auto"/>
              <w:left w:val="none" w:sz="0" w:space="0" w:color="auto"/>
              <w:right w:val="none" w:sz="0" w:space="0" w:color="auto"/>
            </w:tcBorders>
            <w:vAlign w:val="center"/>
          </w:tcPr>
          <w:p w14:paraId="4CF8BAAC" w14:textId="77777777" w:rsidR="00D155AA" w:rsidRPr="00655FC7" w:rsidRDefault="00D155AA" w:rsidP="00827748">
            <w:pPr>
              <w:spacing w:before="40" w:after="40" w:line="264" w:lineRule="auto"/>
              <w:ind w:firstLine="0"/>
              <w:jc w:val="center"/>
              <w:rPr>
                <w:rFonts w:eastAsia="Calibri" w:cstheme="minorHAnsi"/>
                <w:color w:val="auto"/>
                <w:sz w:val="18"/>
                <w:szCs w:val="18"/>
              </w:rPr>
            </w:pPr>
            <w:r w:rsidRPr="00655FC7">
              <w:rPr>
                <w:rFonts w:eastAsia="Calibri" w:cstheme="minorHAnsi"/>
                <w:color w:val="auto"/>
                <w:sz w:val="18"/>
                <w:szCs w:val="18"/>
              </w:rPr>
              <w:t>JCWPd nr</w:t>
            </w:r>
          </w:p>
        </w:tc>
        <w:tc>
          <w:tcPr>
            <w:tcW w:w="3316" w:type="dxa"/>
            <w:tcBorders>
              <w:top w:val="none" w:sz="0" w:space="0" w:color="auto"/>
              <w:left w:val="none" w:sz="0" w:space="0" w:color="auto"/>
              <w:right w:val="none" w:sz="0" w:space="0" w:color="auto"/>
            </w:tcBorders>
            <w:vAlign w:val="center"/>
          </w:tcPr>
          <w:p w14:paraId="7D1E3BB0" w14:textId="77777777" w:rsidR="00D155AA" w:rsidRPr="00655FC7" w:rsidRDefault="00D155AA" w:rsidP="00827748">
            <w:pPr>
              <w:tabs>
                <w:tab w:val="left" w:pos="3119"/>
              </w:tabs>
              <w:ind w:left="-57" w:firstLine="0"/>
              <w:jc w:val="center"/>
              <w:cnfStyle w:val="100000000000" w:firstRow="1" w:lastRow="0" w:firstColumn="0" w:lastColumn="0" w:oddVBand="0" w:evenVBand="0" w:oddHBand="0" w:evenHBand="0" w:firstRowFirstColumn="0" w:firstRowLastColumn="0" w:lastRowFirstColumn="0" w:lastRowLastColumn="0"/>
              <w:rPr>
                <w:rFonts w:cstheme="minorHAnsi"/>
                <w:bCs w:val="0"/>
                <w:color w:val="auto"/>
                <w:sz w:val="18"/>
                <w:szCs w:val="18"/>
                <w:lang w:eastAsia="pl-PL"/>
              </w:rPr>
            </w:pPr>
            <w:r w:rsidRPr="00655FC7">
              <w:rPr>
                <w:rFonts w:cstheme="minorHAnsi"/>
                <w:bCs w:val="0"/>
                <w:color w:val="auto"/>
                <w:sz w:val="18"/>
                <w:szCs w:val="18"/>
                <w:lang w:eastAsia="pl-PL"/>
              </w:rPr>
              <w:t>120</w:t>
            </w:r>
          </w:p>
        </w:tc>
        <w:tc>
          <w:tcPr>
            <w:tcW w:w="3022" w:type="dxa"/>
            <w:tcBorders>
              <w:top w:val="none" w:sz="0" w:space="0" w:color="auto"/>
              <w:left w:val="none" w:sz="0" w:space="0" w:color="auto"/>
              <w:right w:val="none" w:sz="0" w:space="0" w:color="auto"/>
            </w:tcBorders>
            <w:vAlign w:val="center"/>
          </w:tcPr>
          <w:p w14:paraId="0BE4BBA9" w14:textId="77777777" w:rsidR="00D155AA" w:rsidRPr="00655FC7" w:rsidRDefault="00D155AA" w:rsidP="00827748">
            <w:pPr>
              <w:tabs>
                <w:tab w:val="left" w:pos="3119"/>
              </w:tabs>
              <w:ind w:left="-57" w:firstLine="0"/>
              <w:jc w:val="center"/>
              <w:cnfStyle w:val="100000000000" w:firstRow="1" w:lastRow="0" w:firstColumn="0" w:lastColumn="0" w:oddVBand="0" w:evenVBand="0" w:oddHBand="0" w:evenHBand="0" w:firstRowFirstColumn="0" w:firstRowLastColumn="0" w:lastRowFirstColumn="0" w:lastRowLastColumn="0"/>
              <w:rPr>
                <w:rFonts w:cstheme="minorHAnsi"/>
                <w:bCs w:val="0"/>
                <w:color w:val="auto"/>
                <w:sz w:val="18"/>
                <w:szCs w:val="18"/>
                <w:lang w:eastAsia="pl-PL"/>
              </w:rPr>
            </w:pPr>
            <w:r w:rsidRPr="00655FC7">
              <w:rPr>
                <w:rFonts w:cstheme="minorHAnsi"/>
                <w:bCs w:val="0"/>
                <w:color w:val="auto"/>
                <w:sz w:val="18"/>
                <w:szCs w:val="18"/>
                <w:lang w:eastAsia="pl-PL"/>
              </w:rPr>
              <w:t>136</w:t>
            </w:r>
          </w:p>
        </w:tc>
      </w:tr>
      <w:tr w:rsidR="00D155AA" w:rsidRPr="00655FC7" w14:paraId="558B0D07" w14:textId="77777777" w:rsidTr="00827748">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34" w:type="dxa"/>
            <w:tcBorders>
              <w:left w:val="none" w:sz="0" w:space="0" w:color="auto"/>
            </w:tcBorders>
            <w:vAlign w:val="center"/>
          </w:tcPr>
          <w:p w14:paraId="59C41870" w14:textId="77777777" w:rsidR="00D155AA" w:rsidRPr="00655FC7" w:rsidRDefault="00D155AA" w:rsidP="00827748">
            <w:pPr>
              <w:spacing w:before="40" w:after="40" w:line="264" w:lineRule="auto"/>
              <w:ind w:firstLine="0"/>
              <w:jc w:val="center"/>
              <w:rPr>
                <w:rFonts w:eastAsia="Calibri" w:cstheme="minorHAnsi"/>
                <w:b w:val="0"/>
                <w:bCs w:val="0"/>
                <w:color w:val="auto"/>
                <w:sz w:val="18"/>
                <w:szCs w:val="18"/>
              </w:rPr>
            </w:pPr>
            <w:r w:rsidRPr="00655FC7">
              <w:rPr>
                <w:rFonts w:eastAsia="Calibri" w:cstheme="minorHAnsi"/>
                <w:color w:val="auto"/>
                <w:sz w:val="18"/>
                <w:szCs w:val="18"/>
              </w:rPr>
              <w:t>Powierzchnia [km</w:t>
            </w:r>
            <w:r w:rsidRPr="00655FC7">
              <w:rPr>
                <w:rFonts w:eastAsia="Calibri" w:cstheme="minorHAnsi"/>
                <w:color w:val="auto"/>
                <w:sz w:val="18"/>
                <w:szCs w:val="18"/>
                <w:vertAlign w:val="superscript"/>
              </w:rPr>
              <w:t>2</w:t>
            </w:r>
            <w:r w:rsidRPr="00655FC7">
              <w:rPr>
                <w:rFonts w:eastAsia="Calibri" w:cstheme="minorHAnsi"/>
                <w:color w:val="auto"/>
                <w:sz w:val="18"/>
                <w:szCs w:val="18"/>
              </w:rPr>
              <w:t>]</w:t>
            </w:r>
          </w:p>
        </w:tc>
        <w:tc>
          <w:tcPr>
            <w:tcW w:w="3316" w:type="dxa"/>
            <w:vAlign w:val="center"/>
          </w:tcPr>
          <w:p w14:paraId="52EA5C79" w14:textId="77777777" w:rsidR="00D155AA" w:rsidRPr="00655FC7" w:rsidRDefault="00D155AA" w:rsidP="00827748">
            <w:pPr>
              <w:tabs>
                <w:tab w:val="left" w:pos="3119"/>
              </w:tabs>
              <w:ind w:left="-57" w:firstLine="0"/>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color w:val="auto"/>
                <w:sz w:val="18"/>
                <w:szCs w:val="18"/>
                <w:lang w:eastAsia="pl-PL"/>
              </w:rPr>
            </w:pPr>
            <w:r w:rsidRPr="00655FC7">
              <w:rPr>
                <w:rFonts w:eastAsiaTheme="majorEastAsia" w:cstheme="minorHAnsi"/>
                <w:color w:val="auto"/>
                <w:sz w:val="18"/>
                <w:szCs w:val="18"/>
                <w:lang w:eastAsia="pl-PL"/>
              </w:rPr>
              <w:t>2370,80</w:t>
            </w:r>
          </w:p>
        </w:tc>
        <w:tc>
          <w:tcPr>
            <w:tcW w:w="3022" w:type="dxa"/>
            <w:vAlign w:val="center"/>
          </w:tcPr>
          <w:p w14:paraId="03EA7B5B" w14:textId="77777777" w:rsidR="00D155AA" w:rsidRPr="00655FC7" w:rsidRDefault="00D155AA" w:rsidP="00827748">
            <w:pPr>
              <w:tabs>
                <w:tab w:val="left" w:pos="3119"/>
              </w:tabs>
              <w:ind w:left="-57" w:firstLine="0"/>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color w:val="auto"/>
                <w:sz w:val="18"/>
                <w:szCs w:val="18"/>
                <w:lang w:eastAsia="pl-PL"/>
              </w:rPr>
            </w:pPr>
            <w:r w:rsidRPr="00655FC7">
              <w:rPr>
                <w:rFonts w:eastAsiaTheme="majorEastAsia" w:cstheme="minorHAnsi"/>
                <w:color w:val="auto"/>
                <w:sz w:val="18"/>
                <w:szCs w:val="18"/>
                <w:lang w:eastAsia="pl-PL"/>
              </w:rPr>
              <w:t>3139,11</w:t>
            </w:r>
          </w:p>
        </w:tc>
      </w:tr>
      <w:tr w:rsidR="00D155AA" w:rsidRPr="00655FC7" w14:paraId="4A821372" w14:textId="77777777" w:rsidTr="00827748">
        <w:trPr>
          <w:trHeight w:val="283"/>
          <w:jc w:val="center"/>
        </w:trPr>
        <w:tc>
          <w:tcPr>
            <w:cnfStyle w:val="001000000000" w:firstRow="0" w:lastRow="0" w:firstColumn="1" w:lastColumn="0" w:oddVBand="0" w:evenVBand="0" w:oddHBand="0" w:evenHBand="0" w:firstRowFirstColumn="0" w:firstRowLastColumn="0" w:lastRowFirstColumn="0" w:lastRowLastColumn="0"/>
            <w:tcW w:w="2734" w:type="dxa"/>
            <w:tcBorders>
              <w:left w:val="none" w:sz="0" w:space="0" w:color="auto"/>
            </w:tcBorders>
            <w:vAlign w:val="center"/>
          </w:tcPr>
          <w:p w14:paraId="527F9D82" w14:textId="77777777" w:rsidR="00D155AA" w:rsidRPr="00655FC7" w:rsidRDefault="00D155AA" w:rsidP="00827748">
            <w:pPr>
              <w:spacing w:before="40" w:after="40" w:line="264" w:lineRule="auto"/>
              <w:ind w:firstLine="0"/>
              <w:jc w:val="center"/>
              <w:rPr>
                <w:rFonts w:eastAsia="Calibri" w:cstheme="minorHAnsi"/>
                <w:b w:val="0"/>
                <w:bCs w:val="0"/>
                <w:color w:val="auto"/>
                <w:sz w:val="18"/>
                <w:szCs w:val="18"/>
              </w:rPr>
            </w:pPr>
            <w:r w:rsidRPr="00655FC7">
              <w:rPr>
                <w:rFonts w:eastAsia="Calibri" w:cstheme="minorHAnsi"/>
                <w:color w:val="auto"/>
                <w:sz w:val="18"/>
                <w:szCs w:val="18"/>
              </w:rPr>
              <w:t>Dorzecze</w:t>
            </w:r>
          </w:p>
        </w:tc>
        <w:tc>
          <w:tcPr>
            <w:tcW w:w="3316" w:type="dxa"/>
            <w:vAlign w:val="center"/>
          </w:tcPr>
          <w:p w14:paraId="04CA6783" w14:textId="77777777" w:rsidR="00D155AA" w:rsidRPr="00655FC7" w:rsidRDefault="00D155AA" w:rsidP="00827748">
            <w:pPr>
              <w:tabs>
                <w:tab w:val="left" w:pos="3119"/>
              </w:tabs>
              <w:ind w:left="-57" w:firstLine="0"/>
              <w:jc w:val="center"/>
              <w:cnfStyle w:val="000000000000" w:firstRow="0" w:lastRow="0" w:firstColumn="0" w:lastColumn="0" w:oddVBand="0" w:evenVBand="0" w:oddHBand="0" w:evenHBand="0" w:firstRowFirstColumn="0" w:firstRowLastColumn="0" w:lastRowFirstColumn="0" w:lastRowLastColumn="0"/>
              <w:rPr>
                <w:rFonts w:eastAsiaTheme="majorEastAsia" w:cstheme="minorHAnsi"/>
                <w:color w:val="auto"/>
                <w:sz w:val="18"/>
                <w:szCs w:val="18"/>
                <w:lang w:eastAsia="pl-PL"/>
              </w:rPr>
            </w:pPr>
            <w:r w:rsidRPr="00655FC7">
              <w:rPr>
                <w:rFonts w:eastAsiaTheme="majorEastAsia" w:cstheme="minorHAnsi"/>
                <w:color w:val="auto"/>
                <w:sz w:val="18"/>
                <w:szCs w:val="18"/>
                <w:lang w:eastAsia="pl-PL"/>
              </w:rPr>
              <w:t>Wisły</w:t>
            </w:r>
          </w:p>
        </w:tc>
        <w:tc>
          <w:tcPr>
            <w:tcW w:w="3022" w:type="dxa"/>
            <w:vAlign w:val="center"/>
          </w:tcPr>
          <w:p w14:paraId="63F1B38D" w14:textId="77777777" w:rsidR="00D155AA" w:rsidRPr="00655FC7" w:rsidRDefault="00D155AA" w:rsidP="00827748">
            <w:pPr>
              <w:tabs>
                <w:tab w:val="left" w:pos="3119"/>
              </w:tabs>
              <w:ind w:left="-57" w:firstLine="0"/>
              <w:jc w:val="center"/>
              <w:cnfStyle w:val="000000000000" w:firstRow="0" w:lastRow="0" w:firstColumn="0" w:lastColumn="0" w:oddVBand="0" w:evenVBand="0" w:oddHBand="0" w:evenHBand="0" w:firstRowFirstColumn="0" w:firstRowLastColumn="0" w:lastRowFirstColumn="0" w:lastRowLastColumn="0"/>
              <w:rPr>
                <w:rFonts w:eastAsiaTheme="majorEastAsia" w:cstheme="minorHAnsi"/>
                <w:color w:val="auto"/>
                <w:sz w:val="18"/>
                <w:szCs w:val="18"/>
                <w:lang w:eastAsia="pl-PL"/>
              </w:rPr>
            </w:pPr>
            <w:r w:rsidRPr="00655FC7">
              <w:rPr>
                <w:rFonts w:eastAsiaTheme="majorEastAsia" w:cstheme="minorHAnsi"/>
                <w:color w:val="auto"/>
                <w:sz w:val="18"/>
                <w:szCs w:val="18"/>
                <w:lang w:eastAsia="pl-PL"/>
              </w:rPr>
              <w:t>Wisły</w:t>
            </w:r>
          </w:p>
        </w:tc>
      </w:tr>
      <w:tr w:rsidR="00D155AA" w:rsidRPr="00655FC7" w14:paraId="0F127B3E" w14:textId="77777777" w:rsidTr="00827748">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34" w:type="dxa"/>
            <w:tcBorders>
              <w:left w:val="none" w:sz="0" w:space="0" w:color="auto"/>
            </w:tcBorders>
            <w:vAlign w:val="center"/>
          </w:tcPr>
          <w:p w14:paraId="7B30D37A" w14:textId="77777777" w:rsidR="00D155AA" w:rsidRPr="00655FC7" w:rsidRDefault="00D155AA" w:rsidP="00827748">
            <w:pPr>
              <w:spacing w:before="40" w:after="40" w:line="264" w:lineRule="auto"/>
              <w:ind w:firstLine="0"/>
              <w:jc w:val="center"/>
              <w:rPr>
                <w:rFonts w:eastAsia="Calibri" w:cstheme="minorHAnsi"/>
                <w:color w:val="auto"/>
                <w:sz w:val="18"/>
                <w:szCs w:val="18"/>
              </w:rPr>
            </w:pPr>
            <w:r w:rsidRPr="00655FC7">
              <w:rPr>
                <w:rFonts w:eastAsia="Calibri" w:cstheme="minorHAnsi"/>
                <w:color w:val="auto"/>
                <w:sz w:val="18"/>
                <w:szCs w:val="18"/>
              </w:rPr>
              <w:t>Województwo</w:t>
            </w:r>
          </w:p>
        </w:tc>
        <w:tc>
          <w:tcPr>
            <w:tcW w:w="3316" w:type="dxa"/>
            <w:vAlign w:val="center"/>
          </w:tcPr>
          <w:p w14:paraId="1B2DF213" w14:textId="77777777" w:rsidR="00D155AA" w:rsidRPr="00655FC7" w:rsidRDefault="00D155AA" w:rsidP="00827748">
            <w:pPr>
              <w:tabs>
                <w:tab w:val="left" w:pos="3119"/>
              </w:tabs>
              <w:ind w:left="-57" w:firstLine="0"/>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color w:val="auto"/>
                <w:sz w:val="18"/>
                <w:szCs w:val="18"/>
                <w:lang w:eastAsia="pl-PL"/>
              </w:rPr>
            </w:pPr>
            <w:r w:rsidRPr="00655FC7">
              <w:rPr>
                <w:rFonts w:eastAsiaTheme="majorEastAsia" w:cstheme="minorHAnsi"/>
                <w:color w:val="auto"/>
                <w:sz w:val="18"/>
                <w:szCs w:val="18"/>
                <w:lang w:eastAsia="pl-PL"/>
              </w:rPr>
              <w:t>lubelskie, podkarpackie</w:t>
            </w:r>
          </w:p>
        </w:tc>
        <w:tc>
          <w:tcPr>
            <w:tcW w:w="3022" w:type="dxa"/>
            <w:vAlign w:val="center"/>
          </w:tcPr>
          <w:p w14:paraId="4CAC7507" w14:textId="77777777" w:rsidR="00D155AA" w:rsidRPr="00655FC7" w:rsidRDefault="00D155AA" w:rsidP="00827748">
            <w:pPr>
              <w:tabs>
                <w:tab w:val="left" w:pos="3119"/>
              </w:tabs>
              <w:ind w:left="-57" w:firstLine="0"/>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color w:val="auto"/>
                <w:sz w:val="18"/>
                <w:szCs w:val="18"/>
                <w:lang w:eastAsia="pl-PL"/>
              </w:rPr>
            </w:pPr>
            <w:r w:rsidRPr="00655FC7">
              <w:rPr>
                <w:rFonts w:eastAsiaTheme="majorEastAsia" w:cstheme="minorHAnsi"/>
                <w:color w:val="auto"/>
                <w:sz w:val="18"/>
                <w:szCs w:val="18"/>
                <w:lang w:eastAsia="pl-PL"/>
              </w:rPr>
              <w:t>lubelskie, podkarpackie</w:t>
            </w:r>
          </w:p>
        </w:tc>
      </w:tr>
      <w:tr w:rsidR="00D155AA" w:rsidRPr="00655FC7" w14:paraId="7FB21490" w14:textId="77777777" w:rsidTr="00827748">
        <w:trPr>
          <w:trHeight w:val="283"/>
          <w:jc w:val="center"/>
        </w:trPr>
        <w:tc>
          <w:tcPr>
            <w:cnfStyle w:val="001000000000" w:firstRow="0" w:lastRow="0" w:firstColumn="1" w:lastColumn="0" w:oddVBand="0" w:evenVBand="0" w:oddHBand="0" w:evenHBand="0" w:firstRowFirstColumn="0" w:firstRowLastColumn="0" w:lastRowFirstColumn="0" w:lastRowLastColumn="0"/>
            <w:tcW w:w="2734" w:type="dxa"/>
            <w:tcBorders>
              <w:left w:val="none" w:sz="0" w:space="0" w:color="auto"/>
            </w:tcBorders>
            <w:vAlign w:val="center"/>
          </w:tcPr>
          <w:p w14:paraId="530EAA00" w14:textId="77777777" w:rsidR="00D155AA" w:rsidRPr="00655FC7" w:rsidRDefault="00D155AA" w:rsidP="00827748">
            <w:pPr>
              <w:tabs>
                <w:tab w:val="left" w:pos="3119"/>
              </w:tabs>
              <w:ind w:firstLine="0"/>
              <w:jc w:val="center"/>
              <w:rPr>
                <w:rFonts w:eastAsia="Calibri" w:cstheme="minorHAnsi"/>
                <w:b w:val="0"/>
                <w:color w:val="auto"/>
                <w:sz w:val="18"/>
                <w:szCs w:val="18"/>
              </w:rPr>
            </w:pPr>
            <w:r w:rsidRPr="00655FC7">
              <w:rPr>
                <w:rFonts w:eastAsia="Calibri" w:cstheme="minorHAnsi"/>
                <w:color w:val="auto"/>
                <w:sz w:val="18"/>
                <w:szCs w:val="18"/>
              </w:rPr>
              <w:t>Stan ilościowy</w:t>
            </w:r>
          </w:p>
        </w:tc>
        <w:tc>
          <w:tcPr>
            <w:tcW w:w="3316" w:type="dxa"/>
            <w:vAlign w:val="center"/>
          </w:tcPr>
          <w:p w14:paraId="749CAFD8" w14:textId="77777777" w:rsidR="00D155AA" w:rsidRPr="00655FC7" w:rsidRDefault="00D155AA" w:rsidP="00827748">
            <w:pPr>
              <w:tabs>
                <w:tab w:val="left" w:pos="3119"/>
              </w:tabs>
              <w:ind w:left="-57" w:firstLine="0"/>
              <w:jc w:val="center"/>
              <w:cnfStyle w:val="000000000000" w:firstRow="0" w:lastRow="0" w:firstColumn="0" w:lastColumn="0" w:oddVBand="0" w:evenVBand="0" w:oddHBand="0" w:evenHBand="0" w:firstRowFirstColumn="0" w:firstRowLastColumn="0" w:lastRowFirstColumn="0" w:lastRowLastColumn="0"/>
              <w:rPr>
                <w:rFonts w:eastAsiaTheme="majorEastAsia" w:cstheme="minorHAnsi"/>
                <w:color w:val="auto"/>
                <w:sz w:val="18"/>
                <w:szCs w:val="18"/>
                <w:lang w:eastAsia="pl-PL"/>
              </w:rPr>
            </w:pPr>
            <w:r w:rsidRPr="00655FC7">
              <w:rPr>
                <w:rFonts w:eastAsiaTheme="majorEastAsia" w:cstheme="minorHAnsi"/>
                <w:color w:val="auto"/>
                <w:sz w:val="18"/>
                <w:szCs w:val="18"/>
                <w:lang w:eastAsia="pl-PL"/>
              </w:rPr>
              <w:t>dobry</w:t>
            </w:r>
          </w:p>
        </w:tc>
        <w:tc>
          <w:tcPr>
            <w:tcW w:w="3022" w:type="dxa"/>
            <w:vAlign w:val="center"/>
          </w:tcPr>
          <w:p w14:paraId="3A12D63F" w14:textId="77777777" w:rsidR="00D155AA" w:rsidRPr="00655FC7" w:rsidRDefault="00D155AA" w:rsidP="00827748">
            <w:pPr>
              <w:tabs>
                <w:tab w:val="left" w:pos="3119"/>
              </w:tabs>
              <w:ind w:left="-57" w:firstLine="0"/>
              <w:jc w:val="center"/>
              <w:cnfStyle w:val="000000000000" w:firstRow="0" w:lastRow="0" w:firstColumn="0" w:lastColumn="0" w:oddVBand="0" w:evenVBand="0" w:oddHBand="0" w:evenHBand="0" w:firstRowFirstColumn="0" w:firstRowLastColumn="0" w:lastRowFirstColumn="0" w:lastRowLastColumn="0"/>
              <w:rPr>
                <w:rFonts w:eastAsiaTheme="majorEastAsia" w:cstheme="minorHAnsi"/>
                <w:color w:val="auto"/>
                <w:sz w:val="18"/>
                <w:szCs w:val="18"/>
                <w:lang w:eastAsia="pl-PL"/>
              </w:rPr>
            </w:pPr>
            <w:r w:rsidRPr="00655FC7">
              <w:rPr>
                <w:rFonts w:eastAsiaTheme="majorEastAsia" w:cstheme="minorHAnsi"/>
                <w:color w:val="auto"/>
                <w:sz w:val="18"/>
                <w:szCs w:val="18"/>
                <w:lang w:eastAsia="pl-PL"/>
              </w:rPr>
              <w:t>dobry</w:t>
            </w:r>
          </w:p>
        </w:tc>
      </w:tr>
      <w:tr w:rsidR="00D155AA" w:rsidRPr="00655FC7" w14:paraId="7DB810B8" w14:textId="77777777" w:rsidTr="00827748">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34" w:type="dxa"/>
            <w:tcBorders>
              <w:left w:val="none" w:sz="0" w:space="0" w:color="auto"/>
            </w:tcBorders>
            <w:vAlign w:val="center"/>
          </w:tcPr>
          <w:p w14:paraId="6DCBC4CE" w14:textId="77777777" w:rsidR="00D155AA" w:rsidRPr="00655FC7" w:rsidRDefault="00D155AA" w:rsidP="00827748">
            <w:pPr>
              <w:tabs>
                <w:tab w:val="left" w:pos="3119"/>
              </w:tabs>
              <w:ind w:firstLine="0"/>
              <w:jc w:val="center"/>
              <w:rPr>
                <w:rFonts w:eastAsia="Calibri" w:cstheme="minorHAnsi"/>
                <w:b w:val="0"/>
                <w:color w:val="auto"/>
                <w:sz w:val="18"/>
                <w:szCs w:val="18"/>
              </w:rPr>
            </w:pPr>
            <w:r w:rsidRPr="00655FC7">
              <w:rPr>
                <w:rFonts w:eastAsia="Calibri" w:cstheme="minorHAnsi"/>
                <w:color w:val="auto"/>
                <w:sz w:val="18"/>
                <w:szCs w:val="18"/>
              </w:rPr>
              <w:t>Stan chemiczny</w:t>
            </w:r>
          </w:p>
        </w:tc>
        <w:tc>
          <w:tcPr>
            <w:tcW w:w="3316" w:type="dxa"/>
            <w:vAlign w:val="center"/>
          </w:tcPr>
          <w:p w14:paraId="3D4A13A3" w14:textId="77777777" w:rsidR="00D155AA" w:rsidRPr="00655FC7" w:rsidRDefault="00D155AA" w:rsidP="00827748">
            <w:pPr>
              <w:tabs>
                <w:tab w:val="left" w:pos="3119"/>
              </w:tabs>
              <w:ind w:left="-57" w:firstLine="0"/>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color w:val="auto"/>
                <w:sz w:val="18"/>
                <w:szCs w:val="18"/>
                <w:lang w:eastAsia="pl-PL"/>
              </w:rPr>
            </w:pPr>
            <w:r w:rsidRPr="00655FC7">
              <w:rPr>
                <w:rFonts w:eastAsiaTheme="majorEastAsia" w:cstheme="minorHAnsi"/>
                <w:color w:val="auto"/>
                <w:sz w:val="18"/>
                <w:szCs w:val="18"/>
                <w:lang w:eastAsia="pl-PL"/>
              </w:rPr>
              <w:t>dobry</w:t>
            </w:r>
          </w:p>
        </w:tc>
        <w:tc>
          <w:tcPr>
            <w:tcW w:w="3022" w:type="dxa"/>
            <w:vAlign w:val="center"/>
          </w:tcPr>
          <w:p w14:paraId="5DE03758" w14:textId="77777777" w:rsidR="00D155AA" w:rsidRPr="00655FC7" w:rsidRDefault="00D155AA" w:rsidP="00827748">
            <w:pPr>
              <w:tabs>
                <w:tab w:val="left" w:pos="3119"/>
              </w:tabs>
              <w:ind w:left="-57" w:firstLine="0"/>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color w:val="auto"/>
                <w:sz w:val="18"/>
                <w:szCs w:val="18"/>
                <w:lang w:eastAsia="pl-PL"/>
              </w:rPr>
            </w:pPr>
            <w:r w:rsidRPr="00655FC7">
              <w:rPr>
                <w:rFonts w:eastAsiaTheme="majorEastAsia" w:cstheme="minorHAnsi"/>
                <w:color w:val="auto"/>
                <w:sz w:val="18"/>
                <w:szCs w:val="18"/>
                <w:lang w:eastAsia="pl-PL"/>
              </w:rPr>
              <w:t>dobry</w:t>
            </w:r>
          </w:p>
        </w:tc>
      </w:tr>
      <w:tr w:rsidR="00D155AA" w:rsidRPr="00655FC7" w14:paraId="430BB241" w14:textId="77777777" w:rsidTr="00827748">
        <w:trPr>
          <w:trHeight w:val="283"/>
          <w:jc w:val="center"/>
        </w:trPr>
        <w:tc>
          <w:tcPr>
            <w:cnfStyle w:val="001000000000" w:firstRow="0" w:lastRow="0" w:firstColumn="1" w:lastColumn="0" w:oddVBand="0" w:evenVBand="0" w:oddHBand="0" w:evenHBand="0" w:firstRowFirstColumn="0" w:firstRowLastColumn="0" w:lastRowFirstColumn="0" w:lastRowLastColumn="0"/>
            <w:tcW w:w="2734" w:type="dxa"/>
            <w:tcBorders>
              <w:left w:val="none" w:sz="0" w:space="0" w:color="auto"/>
            </w:tcBorders>
            <w:vAlign w:val="center"/>
          </w:tcPr>
          <w:p w14:paraId="19665650" w14:textId="77777777" w:rsidR="00D155AA" w:rsidRPr="00655FC7" w:rsidRDefault="00D155AA" w:rsidP="00827748">
            <w:pPr>
              <w:tabs>
                <w:tab w:val="left" w:pos="3119"/>
              </w:tabs>
              <w:ind w:firstLine="0"/>
              <w:jc w:val="center"/>
              <w:rPr>
                <w:rFonts w:eastAsia="Calibri" w:cstheme="minorHAnsi"/>
                <w:b w:val="0"/>
                <w:color w:val="auto"/>
                <w:sz w:val="18"/>
                <w:szCs w:val="18"/>
              </w:rPr>
            </w:pPr>
            <w:r w:rsidRPr="00655FC7">
              <w:rPr>
                <w:rFonts w:eastAsia="Calibri" w:cstheme="minorHAnsi"/>
                <w:color w:val="auto"/>
                <w:sz w:val="18"/>
                <w:szCs w:val="18"/>
              </w:rPr>
              <w:t>Ogólna ocena stanu JCWPd</w:t>
            </w:r>
          </w:p>
        </w:tc>
        <w:tc>
          <w:tcPr>
            <w:tcW w:w="3316" w:type="dxa"/>
            <w:vAlign w:val="center"/>
          </w:tcPr>
          <w:p w14:paraId="0609EB18" w14:textId="77777777" w:rsidR="00D155AA" w:rsidRPr="00655FC7" w:rsidRDefault="00D155AA" w:rsidP="00827748">
            <w:pPr>
              <w:tabs>
                <w:tab w:val="left" w:pos="3119"/>
              </w:tabs>
              <w:ind w:left="-57" w:firstLine="0"/>
              <w:jc w:val="center"/>
              <w:cnfStyle w:val="000000000000" w:firstRow="0" w:lastRow="0" w:firstColumn="0" w:lastColumn="0" w:oddVBand="0" w:evenVBand="0" w:oddHBand="0" w:evenHBand="0" w:firstRowFirstColumn="0" w:firstRowLastColumn="0" w:lastRowFirstColumn="0" w:lastRowLastColumn="0"/>
              <w:rPr>
                <w:rFonts w:eastAsiaTheme="majorEastAsia" w:cstheme="minorHAnsi"/>
                <w:color w:val="auto"/>
                <w:sz w:val="18"/>
                <w:szCs w:val="18"/>
                <w:lang w:eastAsia="pl-PL"/>
              </w:rPr>
            </w:pPr>
            <w:r w:rsidRPr="00655FC7">
              <w:rPr>
                <w:rFonts w:eastAsiaTheme="majorEastAsia" w:cstheme="minorHAnsi"/>
                <w:color w:val="auto"/>
                <w:sz w:val="18"/>
                <w:szCs w:val="18"/>
                <w:lang w:eastAsia="pl-PL"/>
              </w:rPr>
              <w:t>dobry</w:t>
            </w:r>
          </w:p>
        </w:tc>
        <w:tc>
          <w:tcPr>
            <w:tcW w:w="3022" w:type="dxa"/>
            <w:vAlign w:val="center"/>
          </w:tcPr>
          <w:p w14:paraId="458CBBC1" w14:textId="77777777" w:rsidR="00D155AA" w:rsidRPr="00655FC7" w:rsidRDefault="00D155AA" w:rsidP="00827748">
            <w:pPr>
              <w:tabs>
                <w:tab w:val="left" w:pos="3119"/>
              </w:tabs>
              <w:ind w:left="-57" w:firstLine="0"/>
              <w:jc w:val="center"/>
              <w:cnfStyle w:val="000000000000" w:firstRow="0" w:lastRow="0" w:firstColumn="0" w:lastColumn="0" w:oddVBand="0" w:evenVBand="0" w:oddHBand="0" w:evenHBand="0" w:firstRowFirstColumn="0" w:firstRowLastColumn="0" w:lastRowFirstColumn="0" w:lastRowLastColumn="0"/>
              <w:rPr>
                <w:rFonts w:eastAsiaTheme="majorEastAsia" w:cstheme="minorHAnsi"/>
                <w:color w:val="auto"/>
                <w:sz w:val="18"/>
                <w:szCs w:val="18"/>
                <w:lang w:eastAsia="pl-PL"/>
              </w:rPr>
            </w:pPr>
            <w:r w:rsidRPr="00655FC7">
              <w:rPr>
                <w:rFonts w:eastAsiaTheme="majorEastAsia" w:cstheme="minorHAnsi"/>
                <w:color w:val="auto"/>
                <w:sz w:val="18"/>
                <w:szCs w:val="18"/>
                <w:lang w:eastAsia="pl-PL"/>
              </w:rPr>
              <w:t>dobry</w:t>
            </w:r>
          </w:p>
        </w:tc>
      </w:tr>
      <w:tr w:rsidR="00D155AA" w:rsidRPr="00655FC7" w14:paraId="4B8C4243" w14:textId="77777777" w:rsidTr="0082774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4" w:type="dxa"/>
            <w:tcBorders>
              <w:left w:val="none" w:sz="0" w:space="0" w:color="auto"/>
            </w:tcBorders>
            <w:vAlign w:val="center"/>
          </w:tcPr>
          <w:p w14:paraId="32C24AF8"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Zidentyfikowane presje znaczące. Wynik analizy</w:t>
            </w:r>
          </w:p>
          <w:p w14:paraId="62C2E063"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znaczących oddziaływań – JCWPd</w:t>
            </w:r>
          </w:p>
        </w:tc>
        <w:tc>
          <w:tcPr>
            <w:tcW w:w="3316" w:type="dxa"/>
            <w:vAlign w:val="center"/>
          </w:tcPr>
          <w:p w14:paraId="69271D10" w14:textId="77777777" w:rsidR="00D155AA" w:rsidRPr="00655FC7" w:rsidRDefault="00D155AA" w:rsidP="00827748">
            <w:pPr>
              <w:tabs>
                <w:tab w:val="left" w:pos="3119"/>
              </w:tabs>
              <w:ind w:left="-57" w:firstLine="0"/>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color w:val="auto"/>
                <w:sz w:val="18"/>
                <w:szCs w:val="18"/>
                <w:lang w:eastAsia="pl-PL"/>
              </w:rPr>
            </w:pPr>
            <w:r w:rsidRPr="00655FC7">
              <w:rPr>
                <w:rFonts w:eastAsiaTheme="majorEastAsia" w:cstheme="minorHAnsi"/>
                <w:color w:val="auto"/>
                <w:sz w:val="18"/>
                <w:szCs w:val="18"/>
                <w:lang w:eastAsia="pl-PL"/>
              </w:rPr>
              <w:t>presja obszarowa rozproszona związana z rolnictwem, gospodarką komunalną lub przemysłem</w:t>
            </w:r>
          </w:p>
        </w:tc>
        <w:tc>
          <w:tcPr>
            <w:tcW w:w="3022" w:type="dxa"/>
            <w:vAlign w:val="center"/>
          </w:tcPr>
          <w:p w14:paraId="1C92EC9F" w14:textId="77777777" w:rsidR="00D155AA" w:rsidRPr="00655FC7" w:rsidRDefault="00D155AA" w:rsidP="00827748">
            <w:pPr>
              <w:tabs>
                <w:tab w:val="left" w:pos="3119"/>
              </w:tabs>
              <w:ind w:left="-57" w:firstLine="0"/>
              <w:jc w:val="center"/>
              <w:cnfStyle w:val="000000100000" w:firstRow="0" w:lastRow="0" w:firstColumn="0" w:lastColumn="0" w:oddVBand="0" w:evenVBand="0" w:oddHBand="1" w:evenHBand="0" w:firstRowFirstColumn="0" w:firstRowLastColumn="0" w:lastRowFirstColumn="0" w:lastRowLastColumn="0"/>
              <w:rPr>
                <w:rFonts w:eastAsiaTheme="majorEastAsia" w:cstheme="minorHAnsi"/>
                <w:color w:val="auto"/>
                <w:sz w:val="18"/>
                <w:szCs w:val="18"/>
                <w:lang w:eastAsia="pl-PL"/>
              </w:rPr>
            </w:pPr>
            <w:r w:rsidRPr="00655FC7">
              <w:rPr>
                <w:rFonts w:eastAsiaTheme="majorEastAsia" w:cstheme="minorHAnsi"/>
                <w:color w:val="auto"/>
                <w:sz w:val="18"/>
                <w:szCs w:val="18"/>
                <w:lang w:eastAsia="pl-PL"/>
              </w:rPr>
              <w:t>(1) pobór punktowy z ujęć wód podziemnych, (2) presja obszarowa rozproszona związana z rolnictwem, gospodarką komunalną lub przemysłem</w:t>
            </w:r>
          </w:p>
        </w:tc>
      </w:tr>
      <w:tr w:rsidR="00D155AA" w:rsidRPr="00655FC7" w14:paraId="52DE7A91" w14:textId="77777777" w:rsidTr="00827748">
        <w:trPr>
          <w:jc w:val="center"/>
        </w:trPr>
        <w:tc>
          <w:tcPr>
            <w:cnfStyle w:val="001000000000" w:firstRow="0" w:lastRow="0" w:firstColumn="1" w:lastColumn="0" w:oddVBand="0" w:evenVBand="0" w:oddHBand="0" w:evenHBand="0" w:firstRowFirstColumn="0" w:firstRowLastColumn="0" w:lastRowFirstColumn="0" w:lastRowLastColumn="0"/>
            <w:tcW w:w="2734" w:type="dxa"/>
            <w:tcBorders>
              <w:left w:val="none" w:sz="0" w:space="0" w:color="auto"/>
              <w:bottom w:val="none" w:sz="0" w:space="0" w:color="auto"/>
            </w:tcBorders>
            <w:vAlign w:val="center"/>
          </w:tcPr>
          <w:p w14:paraId="5ED6EE83"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Ocena ryzyka nieosiągnięcia celu</w:t>
            </w:r>
          </w:p>
          <w:p w14:paraId="76890030" w14:textId="77777777" w:rsidR="00D155AA" w:rsidRPr="00655FC7" w:rsidRDefault="00D155AA" w:rsidP="00827748">
            <w:pPr>
              <w:tabs>
                <w:tab w:val="left" w:pos="3119"/>
              </w:tabs>
              <w:ind w:firstLine="0"/>
              <w:jc w:val="center"/>
              <w:rPr>
                <w:rFonts w:eastAsia="Calibri" w:cstheme="minorHAnsi"/>
                <w:color w:val="auto"/>
                <w:sz w:val="18"/>
                <w:szCs w:val="18"/>
              </w:rPr>
            </w:pPr>
            <w:r w:rsidRPr="00655FC7">
              <w:rPr>
                <w:rFonts w:eastAsia="Calibri" w:cstheme="minorHAnsi"/>
                <w:color w:val="auto"/>
                <w:sz w:val="18"/>
                <w:szCs w:val="18"/>
              </w:rPr>
              <w:t>środowiskowego</w:t>
            </w:r>
          </w:p>
        </w:tc>
        <w:tc>
          <w:tcPr>
            <w:tcW w:w="3316" w:type="dxa"/>
            <w:vAlign w:val="center"/>
          </w:tcPr>
          <w:p w14:paraId="00D92129" w14:textId="77777777" w:rsidR="00D155AA" w:rsidRPr="00655FC7" w:rsidRDefault="00D155AA" w:rsidP="00827748">
            <w:pPr>
              <w:tabs>
                <w:tab w:val="left" w:pos="3119"/>
              </w:tabs>
              <w:ind w:left="-57" w:firstLine="0"/>
              <w:jc w:val="center"/>
              <w:cnfStyle w:val="000000000000" w:firstRow="0" w:lastRow="0" w:firstColumn="0" w:lastColumn="0" w:oddVBand="0" w:evenVBand="0" w:oddHBand="0" w:evenHBand="0" w:firstRowFirstColumn="0" w:firstRowLastColumn="0" w:lastRowFirstColumn="0" w:lastRowLastColumn="0"/>
              <w:rPr>
                <w:rFonts w:eastAsiaTheme="majorEastAsia" w:cstheme="minorHAnsi"/>
                <w:color w:val="auto"/>
                <w:sz w:val="18"/>
                <w:szCs w:val="18"/>
                <w:lang w:eastAsia="pl-PL"/>
              </w:rPr>
            </w:pPr>
            <w:r w:rsidRPr="00655FC7">
              <w:rPr>
                <w:rFonts w:eastAsiaTheme="majorEastAsia" w:cstheme="minorHAnsi"/>
                <w:color w:val="auto"/>
                <w:sz w:val="18"/>
                <w:szCs w:val="18"/>
                <w:lang w:eastAsia="pl-PL"/>
              </w:rPr>
              <w:t>niezagrożona</w:t>
            </w:r>
          </w:p>
        </w:tc>
        <w:tc>
          <w:tcPr>
            <w:tcW w:w="3022" w:type="dxa"/>
            <w:vAlign w:val="center"/>
          </w:tcPr>
          <w:p w14:paraId="24D9CEC7" w14:textId="77777777" w:rsidR="00D155AA" w:rsidRPr="00655FC7" w:rsidRDefault="00D155AA" w:rsidP="00827748">
            <w:pPr>
              <w:tabs>
                <w:tab w:val="left" w:pos="3119"/>
              </w:tabs>
              <w:ind w:left="-57" w:firstLine="0"/>
              <w:jc w:val="center"/>
              <w:cnfStyle w:val="000000000000" w:firstRow="0" w:lastRow="0" w:firstColumn="0" w:lastColumn="0" w:oddVBand="0" w:evenVBand="0" w:oddHBand="0" w:evenHBand="0" w:firstRowFirstColumn="0" w:firstRowLastColumn="0" w:lastRowFirstColumn="0" w:lastRowLastColumn="0"/>
              <w:rPr>
                <w:rFonts w:eastAsiaTheme="majorEastAsia" w:cstheme="minorHAnsi"/>
                <w:color w:val="auto"/>
                <w:sz w:val="18"/>
                <w:szCs w:val="18"/>
                <w:lang w:eastAsia="pl-PL"/>
              </w:rPr>
            </w:pPr>
            <w:r w:rsidRPr="00655FC7">
              <w:rPr>
                <w:rFonts w:eastAsiaTheme="majorEastAsia" w:cstheme="minorHAnsi"/>
                <w:color w:val="auto"/>
                <w:sz w:val="18"/>
                <w:szCs w:val="18"/>
                <w:lang w:eastAsia="pl-PL"/>
              </w:rPr>
              <w:t>niezagrożona</w:t>
            </w:r>
          </w:p>
        </w:tc>
      </w:tr>
    </w:tbl>
    <w:p w14:paraId="3C10DC96" w14:textId="77777777" w:rsidR="00D155AA" w:rsidRPr="00655FC7" w:rsidRDefault="00D155AA" w:rsidP="00D155AA">
      <w:pPr>
        <w:pStyle w:val="Cytat"/>
      </w:pPr>
      <w:r w:rsidRPr="00655FC7">
        <w:t>źródło: http://karty.apgw.gov.pl:4200</w:t>
      </w:r>
    </w:p>
    <w:p w14:paraId="6DEB48CC" w14:textId="77777777" w:rsidR="00D155AA" w:rsidRPr="00655FC7" w:rsidRDefault="00D155AA" w:rsidP="00D155AA">
      <w:pPr>
        <w:tabs>
          <w:tab w:val="left" w:pos="3119"/>
        </w:tabs>
        <w:rPr>
          <w:rFonts w:eastAsia="Calibri" w:cstheme="minorHAnsi"/>
          <w:color w:val="auto"/>
          <w:sz w:val="20"/>
        </w:rPr>
      </w:pPr>
    </w:p>
    <w:p w14:paraId="76549FEF" w14:textId="77777777" w:rsidR="00D155AA" w:rsidRPr="00655FC7" w:rsidRDefault="00D155AA" w:rsidP="00D155AA">
      <w:pPr>
        <w:pStyle w:val="Nagwek3"/>
      </w:pPr>
      <w:bookmarkStart w:id="182" w:name="_Toc420324465"/>
      <w:bookmarkStart w:id="183" w:name="_Toc177732062"/>
      <w:bookmarkEnd w:id="182"/>
      <w:r w:rsidRPr="00655FC7">
        <w:t>Warunki klimatyczne</w:t>
      </w:r>
      <w:bookmarkStart w:id="184" w:name="_Toc432495648"/>
      <w:bookmarkEnd w:id="173"/>
      <w:bookmarkEnd w:id="174"/>
      <w:bookmarkEnd w:id="175"/>
      <w:bookmarkEnd w:id="176"/>
      <w:bookmarkEnd w:id="183"/>
    </w:p>
    <w:p w14:paraId="27888E55" w14:textId="77777777" w:rsidR="00D155AA" w:rsidRPr="00655FC7" w:rsidRDefault="00D155AA" w:rsidP="00D155AA">
      <w:pPr>
        <w:rPr>
          <w:rFonts w:cstheme="minorHAnsi"/>
          <w:color w:val="auto"/>
        </w:rPr>
      </w:pPr>
      <w:r w:rsidRPr="00655FC7">
        <w:rPr>
          <w:rFonts w:cstheme="minorHAnsi"/>
          <w:color w:val="auto"/>
          <w:lang w:eastAsia="pl-PL"/>
        </w:rPr>
        <w:t>Klimat gminy Tarnogród posiada cechy klimatu kontynentalnego. Cechuje się dużymi kontrastami termicznymi między ciepłą, a zimną porą roku. Cechy klimatu determinowane są w tym przypadku lokalizacją Tarnogrodu we wschodniej części kraju, gdzie znaczenie mają napływy mas powietrza chłodnego oraz położenie w pasie obniżeń przedgórskich.</w:t>
      </w:r>
    </w:p>
    <w:p w14:paraId="3CC92C1E" w14:textId="77777777" w:rsidR="00D155AA" w:rsidRPr="00655FC7" w:rsidRDefault="00D155AA" w:rsidP="00D155AA">
      <w:pPr>
        <w:tabs>
          <w:tab w:val="left" w:pos="3119"/>
        </w:tabs>
        <w:rPr>
          <w:rFonts w:cstheme="minorHAnsi"/>
          <w:color w:val="auto"/>
        </w:rPr>
      </w:pPr>
    </w:p>
    <w:p w14:paraId="0CAE618E" w14:textId="46F6CD46" w:rsidR="00D155AA" w:rsidRPr="00655FC7" w:rsidRDefault="00D155AA" w:rsidP="00D155AA">
      <w:pPr>
        <w:pStyle w:val="Styltabela"/>
        <w:rPr>
          <w:rFonts w:eastAsiaTheme="minorEastAsia"/>
        </w:rPr>
      </w:pPr>
      <w:bookmarkStart w:id="185" w:name="_Toc178846328"/>
      <w:r w:rsidRPr="00655FC7">
        <w:rPr>
          <w:rFonts w:eastAsiaTheme="minorEastAsia"/>
        </w:rPr>
        <w:t xml:space="preserve">Tabela </w:t>
      </w:r>
      <w:r w:rsidR="00E833A9">
        <w:rPr>
          <w:rFonts w:eastAsiaTheme="minorEastAsia"/>
        </w:rPr>
        <w:fldChar w:fldCharType="begin"/>
      </w:r>
      <w:r w:rsidR="00E833A9">
        <w:rPr>
          <w:rFonts w:eastAsiaTheme="minorEastAsia"/>
        </w:rPr>
        <w:instrText xml:space="preserve"> SEQ Tabela \* ARABIC </w:instrText>
      </w:r>
      <w:r w:rsidR="00E833A9">
        <w:rPr>
          <w:rFonts w:eastAsiaTheme="minorEastAsia"/>
        </w:rPr>
        <w:fldChar w:fldCharType="separate"/>
      </w:r>
      <w:r w:rsidR="00A654D8">
        <w:rPr>
          <w:rFonts w:eastAsiaTheme="minorEastAsia"/>
          <w:noProof/>
        </w:rPr>
        <w:t>22</w:t>
      </w:r>
      <w:r w:rsidR="00E833A9">
        <w:rPr>
          <w:rFonts w:eastAsiaTheme="minorEastAsia"/>
        </w:rPr>
        <w:fldChar w:fldCharType="end"/>
      </w:r>
      <w:r w:rsidRPr="00655FC7">
        <w:rPr>
          <w:rFonts w:eastAsiaTheme="minorEastAsia"/>
        </w:rPr>
        <w:t>. Uśrednione wartości wskaźników klimatycznych w okresie 1991 – 2021.</w:t>
      </w:r>
      <w:bookmarkEnd w:id="185"/>
    </w:p>
    <w:tbl>
      <w:tblPr>
        <w:tblStyle w:val="Tabelasiatki3akcent1"/>
        <w:tblW w:w="91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611"/>
        <w:gridCol w:w="617"/>
        <w:gridCol w:w="617"/>
        <w:gridCol w:w="617"/>
        <w:gridCol w:w="617"/>
        <w:gridCol w:w="618"/>
        <w:gridCol w:w="680"/>
        <w:gridCol w:w="618"/>
        <w:gridCol w:w="617"/>
        <w:gridCol w:w="618"/>
        <w:gridCol w:w="618"/>
        <w:gridCol w:w="618"/>
      </w:tblGrid>
      <w:tr w:rsidR="00D155AA" w:rsidRPr="00655FC7" w14:paraId="5646214A" w14:textId="77777777" w:rsidTr="00827748">
        <w:trPr>
          <w:cnfStyle w:val="100000000000" w:firstRow="1" w:lastRow="0" w:firstColumn="0" w:lastColumn="0" w:oddVBand="0" w:evenVBand="0" w:oddHBand="0" w:evenHBand="0" w:firstRowFirstColumn="0" w:firstRowLastColumn="0" w:lastRowFirstColumn="0" w:lastRowLastColumn="0"/>
          <w:trHeight w:val="1093"/>
          <w:jc w:val="center"/>
        </w:trPr>
        <w:tc>
          <w:tcPr>
            <w:cnfStyle w:val="001000000100" w:firstRow="0" w:lastRow="0" w:firstColumn="1" w:lastColumn="0" w:oddVBand="0" w:evenVBand="0" w:oddHBand="0" w:evenHBand="0" w:firstRowFirstColumn="1" w:firstRowLastColumn="0" w:lastRowFirstColumn="0" w:lastRowLastColumn="0"/>
            <w:tcW w:w="1668" w:type="dxa"/>
            <w:tcBorders>
              <w:top w:val="single" w:sz="4" w:space="0" w:color="auto"/>
              <w:left w:val="single" w:sz="4" w:space="0" w:color="auto"/>
              <w:bottom w:val="single" w:sz="4" w:space="0" w:color="auto"/>
              <w:right w:val="single" w:sz="4" w:space="0" w:color="auto"/>
            </w:tcBorders>
            <w:shd w:val="clear" w:color="auto" w:fill="C3E098" w:themeFill="accent1" w:themeFillTint="66"/>
            <w:vAlign w:val="center"/>
          </w:tcPr>
          <w:p w14:paraId="18E13238" w14:textId="77777777" w:rsidR="00D155AA" w:rsidRPr="00655FC7" w:rsidRDefault="00D155AA" w:rsidP="00827748">
            <w:pPr>
              <w:tabs>
                <w:tab w:val="left" w:pos="3119"/>
              </w:tabs>
              <w:ind w:firstLine="0"/>
              <w:jc w:val="center"/>
              <w:rPr>
                <w:rFonts w:cstheme="minorHAnsi"/>
                <w:i w:val="0"/>
                <w:iCs w:val="0"/>
                <w:color w:val="auto"/>
                <w:sz w:val="18"/>
                <w:szCs w:val="18"/>
              </w:rPr>
            </w:pPr>
            <w:r w:rsidRPr="00655FC7">
              <w:rPr>
                <w:rFonts w:cstheme="minorHAnsi"/>
                <w:i w:val="0"/>
                <w:iCs w:val="0"/>
                <w:color w:val="auto"/>
                <w:sz w:val="18"/>
                <w:szCs w:val="18"/>
              </w:rPr>
              <w:t>miesiące/</w:t>
            </w:r>
          </w:p>
          <w:p w14:paraId="12505993" w14:textId="77777777" w:rsidR="00D155AA" w:rsidRPr="00655FC7" w:rsidRDefault="00D155AA" w:rsidP="00827748">
            <w:pPr>
              <w:tabs>
                <w:tab w:val="left" w:pos="3119"/>
              </w:tabs>
              <w:ind w:firstLine="0"/>
              <w:jc w:val="center"/>
              <w:rPr>
                <w:rFonts w:cstheme="minorHAnsi"/>
                <w:i w:val="0"/>
                <w:iCs w:val="0"/>
                <w:color w:val="auto"/>
                <w:sz w:val="18"/>
                <w:szCs w:val="18"/>
              </w:rPr>
            </w:pPr>
            <w:r w:rsidRPr="00655FC7">
              <w:rPr>
                <w:rFonts w:cstheme="minorHAnsi"/>
                <w:i w:val="0"/>
                <w:iCs w:val="0"/>
                <w:color w:val="auto"/>
                <w:sz w:val="18"/>
                <w:szCs w:val="18"/>
              </w:rPr>
              <w:t>wskaźnik</w:t>
            </w:r>
          </w:p>
        </w:tc>
        <w:tc>
          <w:tcPr>
            <w:tcW w:w="611" w:type="dxa"/>
            <w:tcBorders>
              <w:top w:val="single" w:sz="4" w:space="0" w:color="auto"/>
              <w:left w:val="single" w:sz="4" w:space="0" w:color="auto"/>
              <w:bottom w:val="single" w:sz="4" w:space="0" w:color="auto"/>
              <w:right w:val="single" w:sz="4" w:space="0" w:color="auto"/>
            </w:tcBorders>
            <w:shd w:val="clear" w:color="auto" w:fill="C3E098" w:themeFill="accent1" w:themeFillTint="66"/>
            <w:textDirection w:val="btLr"/>
            <w:vAlign w:val="center"/>
          </w:tcPr>
          <w:p w14:paraId="2F891DF7" w14:textId="77777777" w:rsidR="00D155AA" w:rsidRPr="00655FC7" w:rsidRDefault="00D155AA" w:rsidP="00827748">
            <w:pPr>
              <w:tabs>
                <w:tab w:val="center" w:pos="0"/>
                <w:tab w:val="left" w:pos="3119"/>
              </w:tabs>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 w:val="18"/>
                <w:szCs w:val="18"/>
              </w:rPr>
            </w:pPr>
            <w:r w:rsidRPr="00655FC7">
              <w:rPr>
                <w:rFonts w:eastAsia="Times New Roman" w:cstheme="minorHAnsi"/>
                <w:color w:val="auto"/>
                <w:sz w:val="18"/>
                <w:szCs w:val="18"/>
                <w:lang w:eastAsia="pl-PL"/>
              </w:rPr>
              <w:t>styczeń</w:t>
            </w:r>
          </w:p>
        </w:tc>
        <w:tc>
          <w:tcPr>
            <w:tcW w:w="617" w:type="dxa"/>
            <w:tcBorders>
              <w:top w:val="single" w:sz="4" w:space="0" w:color="auto"/>
              <w:left w:val="single" w:sz="4" w:space="0" w:color="auto"/>
              <w:bottom w:val="single" w:sz="4" w:space="0" w:color="auto"/>
              <w:right w:val="single" w:sz="4" w:space="0" w:color="auto"/>
            </w:tcBorders>
            <w:shd w:val="clear" w:color="auto" w:fill="C3E098" w:themeFill="accent1" w:themeFillTint="66"/>
            <w:textDirection w:val="btLr"/>
            <w:vAlign w:val="center"/>
          </w:tcPr>
          <w:p w14:paraId="3A4F6419" w14:textId="77777777" w:rsidR="00D155AA" w:rsidRPr="00655FC7" w:rsidRDefault="00D155AA" w:rsidP="00827748">
            <w:pPr>
              <w:tabs>
                <w:tab w:val="center" w:pos="0"/>
                <w:tab w:val="left" w:pos="3119"/>
              </w:tabs>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 w:val="18"/>
                <w:szCs w:val="18"/>
              </w:rPr>
            </w:pPr>
            <w:r w:rsidRPr="00655FC7">
              <w:rPr>
                <w:rFonts w:eastAsia="Times New Roman" w:cstheme="minorHAnsi"/>
                <w:color w:val="auto"/>
                <w:sz w:val="18"/>
                <w:szCs w:val="18"/>
                <w:lang w:eastAsia="pl-PL"/>
              </w:rPr>
              <w:t>luty</w:t>
            </w:r>
          </w:p>
        </w:tc>
        <w:tc>
          <w:tcPr>
            <w:tcW w:w="617" w:type="dxa"/>
            <w:tcBorders>
              <w:top w:val="single" w:sz="4" w:space="0" w:color="auto"/>
              <w:left w:val="single" w:sz="4" w:space="0" w:color="auto"/>
              <w:bottom w:val="single" w:sz="4" w:space="0" w:color="auto"/>
              <w:right w:val="single" w:sz="4" w:space="0" w:color="auto"/>
            </w:tcBorders>
            <w:shd w:val="clear" w:color="auto" w:fill="C3E098" w:themeFill="accent1" w:themeFillTint="66"/>
            <w:textDirection w:val="btLr"/>
            <w:vAlign w:val="center"/>
          </w:tcPr>
          <w:p w14:paraId="12BFE4FB" w14:textId="1E306262" w:rsidR="00D155AA" w:rsidRPr="00655FC7" w:rsidRDefault="00D155AA" w:rsidP="00827748">
            <w:pPr>
              <w:tabs>
                <w:tab w:val="center" w:pos="0"/>
                <w:tab w:val="left" w:pos="3119"/>
              </w:tabs>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 w:val="18"/>
                <w:szCs w:val="18"/>
              </w:rPr>
            </w:pPr>
            <w:r w:rsidRPr="00655FC7">
              <w:rPr>
                <w:rFonts w:eastAsia="Times New Roman" w:cstheme="minorHAnsi"/>
                <w:color w:val="auto"/>
                <w:sz w:val="18"/>
                <w:szCs w:val="18"/>
                <w:lang w:eastAsia="pl-PL"/>
              </w:rPr>
              <w:t>marz</w:t>
            </w:r>
            <w:r w:rsidR="00DF17E4" w:rsidRPr="00655FC7">
              <w:rPr>
                <w:rFonts w:eastAsia="Times New Roman" w:cstheme="minorHAnsi"/>
                <w:color w:val="auto"/>
                <w:sz w:val="18"/>
                <w:szCs w:val="18"/>
                <w:lang w:eastAsia="pl-PL"/>
              </w:rPr>
              <w:t>ec</w:t>
            </w:r>
          </w:p>
        </w:tc>
        <w:tc>
          <w:tcPr>
            <w:tcW w:w="617" w:type="dxa"/>
            <w:tcBorders>
              <w:top w:val="single" w:sz="4" w:space="0" w:color="auto"/>
              <w:left w:val="single" w:sz="4" w:space="0" w:color="auto"/>
              <w:bottom w:val="single" w:sz="4" w:space="0" w:color="auto"/>
              <w:right w:val="single" w:sz="4" w:space="0" w:color="auto"/>
            </w:tcBorders>
            <w:shd w:val="clear" w:color="auto" w:fill="C3E098" w:themeFill="accent1" w:themeFillTint="66"/>
            <w:textDirection w:val="btLr"/>
            <w:vAlign w:val="center"/>
          </w:tcPr>
          <w:p w14:paraId="66C0391D" w14:textId="77777777" w:rsidR="00D155AA" w:rsidRPr="00655FC7" w:rsidRDefault="00D155AA" w:rsidP="00827748">
            <w:pPr>
              <w:tabs>
                <w:tab w:val="center" w:pos="0"/>
                <w:tab w:val="left" w:pos="3119"/>
              </w:tabs>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 w:val="18"/>
                <w:szCs w:val="18"/>
              </w:rPr>
            </w:pPr>
            <w:r w:rsidRPr="00655FC7">
              <w:rPr>
                <w:rFonts w:eastAsia="Times New Roman" w:cstheme="minorHAnsi"/>
                <w:color w:val="auto"/>
                <w:sz w:val="18"/>
                <w:szCs w:val="18"/>
                <w:lang w:eastAsia="pl-PL"/>
              </w:rPr>
              <w:t>kwiecień</w:t>
            </w:r>
          </w:p>
        </w:tc>
        <w:tc>
          <w:tcPr>
            <w:tcW w:w="617" w:type="dxa"/>
            <w:tcBorders>
              <w:top w:val="single" w:sz="4" w:space="0" w:color="auto"/>
              <w:left w:val="single" w:sz="4" w:space="0" w:color="auto"/>
              <w:bottom w:val="single" w:sz="4" w:space="0" w:color="auto"/>
              <w:right w:val="single" w:sz="4" w:space="0" w:color="auto"/>
            </w:tcBorders>
            <w:shd w:val="clear" w:color="auto" w:fill="C3E098" w:themeFill="accent1" w:themeFillTint="66"/>
            <w:textDirection w:val="btLr"/>
            <w:vAlign w:val="center"/>
          </w:tcPr>
          <w:p w14:paraId="775BF5C2" w14:textId="77777777" w:rsidR="00D155AA" w:rsidRPr="00655FC7" w:rsidRDefault="00D155AA" w:rsidP="00827748">
            <w:pPr>
              <w:tabs>
                <w:tab w:val="center" w:pos="0"/>
                <w:tab w:val="left" w:pos="3119"/>
              </w:tabs>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 w:val="18"/>
                <w:szCs w:val="18"/>
              </w:rPr>
            </w:pPr>
            <w:r w:rsidRPr="00655FC7">
              <w:rPr>
                <w:rFonts w:eastAsia="Times New Roman" w:cstheme="minorHAnsi"/>
                <w:color w:val="auto"/>
                <w:sz w:val="18"/>
                <w:szCs w:val="18"/>
                <w:lang w:eastAsia="pl-PL"/>
              </w:rPr>
              <w:t>maj</w:t>
            </w:r>
          </w:p>
        </w:tc>
        <w:tc>
          <w:tcPr>
            <w:tcW w:w="618" w:type="dxa"/>
            <w:tcBorders>
              <w:top w:val="single" w:sz="4" w:space="0" w:color="auto"/>
              <w:left w:val="single" w:sz="4" w:space="0" w:color="auto"/>
              <w:bottom w:val="single" w:sz="4" w:space="0" w:color="auto"/>
              <w:right w:val="single" w:sz="4" w:space="0" w:color="auto"/>
            </w:tcBorders>
            <w:shd w:val="clear" w:color="auto" w:fill="C3E098" w:themeFill="accent1" w:themeFillTint="66"/>
            <w:textDirection w:val="btLr"/>
            <w:vAlign w:val="center"/>
          </w:tcPr>
          <w:p w14:paraId="1DF006B8" w14:textId="77777777" w:rsidR="00D155AA" w:rsidRPr="00655FC7" w:rsidRDefault="00D155AA" w:rsidP="00827748">
            <w:pPr>
              <w:tabs>
                <w:tab w:val="center" w:pos="0"/>
                <w:tab w:val="left" w:pos="3119"/>
              </w:tabs>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 w:val="18"/>
                <w:szCs w:val="18"/>
              </w:rPr>
            </w:pPr>
            <w:r w:rsidRPr="00655FC7">
              <w:rPr>
                <w:rFonts w:eastAsia="Times New Roman" w:cstheme="minorHAnsi"/>
                <w:color w:val="auto"/>
                <w:sz w:val="18"/>
                <w:szCs w:val="18"/>
                <w:lang w:eastAsia="pl-PL"/>
              </w:rPr>
              <w:t>czerwiec</w:t>
            </w:r>
          </w:p>
        </w:tc>
        <w:tc>
          <w:tcPr>
            <w:tcW w:w="680" w:type="dxa"/>
            <w:tcBorders>
              <w:top w:val="single" w:sz="4" w:space="0" w:color="auto"/>
              <w:left w:val="single" w:sz="4" w:space="0" w:color="auto"/>
              <w:bottom w:val="single" w:sz="4" w:space="0" w:color="auto"/>
              <w:right w:val="single" w:sz="4" w:space="0" w:color="auto"/>
            </w:tcBorders>
            <w:shd w:val="clear" w:color="auto" w:fill="C3E098" w:themeFill="accent1" w:themeFillTint="66"/>
            <w:textDirection w:val="btLr"/>
            <w:vAlign w:val="center"/>
          </w:tcPr>
          <w:p w14:paraId="1C3E8269" w14:textId="77777777" w:rsidR="00D155AA" w:rsidRPr="00655FC7" w:rsidRDefault="00D155AA" w:rsidP="00827748">
            <w:pPr>
              <w:tabs>
                <w:tab w:val="center" w:pos="0"/>
                <w:tab w:val="left" w:pos="3119"/>
              </w:tabs>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 w:val="18"/>
                <w:szCs w:val="18"/>
              </w:rPr>
            </w:pPr>
            <w:r w:rsidRPr="00655FC7">
              <w:rPr>
                <w:rFonts w:eastAsia="Times New Roman" w:cstheme="minorHAnsi"/>
                <w:color w:val="auto"/>
                <w:sz w:val="18"/>
                <w:szCs w:val="18"/>
                <w:lang w:eastAsia="pl-PL"/>
              </w:rPr>
              <w:t>lipiec</w:t>
            </w:r>
          </w:p>
        </w:tc>
        <w:tc>
          <w:tcPr>
            <w:tcW w:w="618" w:type="dxa"/>
            <w:tcBorders>
              <w:top w:val="single" w:sz="4" w:space="0" w:color="auto"/>
              <w:left w:val="single" w:sz="4" w:space="0" w:color="auto"/>
              <w:bottom w:val="single" w:sz="4" w:space="0" w:color="auto"/>
              <w:right w:val="single" w:sz="4" w:space="0" w:color="auto"/>
            </w:tcBorders>
            <w:shd w:val="clear" w:color="auto" w:fill="C3E098" w:themeFill="accent1" w:themeFillTint="66"/>
            <w:textDirection w:val="btLr"/>
            <w:vAlign w:val="center"/>
          </w:tcPr>
          <w:p w14:paraId="251DA726" w14:textId="77777777" w:rsidR="00D155AA" w:rsidRPr="00655FC7" w:rsidRDefault="00D155AA" w:rsidP="00827748">
            <w:pPr>
              <w:tabs>
                <w:tab w:val="center" w:pos="0"/>
                <w:tab w:val="left" w:pos="3119"/>
              </w:tabs>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 w:val="18"/>
                <w:szCs w:val="18"/>
              </w:rPr>
            </w:pPr>
            <w:r w:rsidRPr="00655FC7">
              <w:rPr>
                <w:rFonts w:eastAsia="Times New Roman" w:cstheme="minorHAnsi"/>
                <w:color w:val="auto"/>
                <w:sz w:val="18"/>
                <w:szCs w:val="18"/>
                <w:lang w:eastAsia="pl-PL"/>
              </w:rPr>
              <w:t>sierpień</w:t>
            </w:r>
          </w:p>
        </w:tc>
        <w:tc>
          <w:tcPr>
            <w:tcW w:w="617" w:type="dxa"/>
            <w:tcBorders>
              <w:top w:val="single" w:sz="4" w:space="0" w:color="auto"/>
              <w:left w:val="single" w:sz="4" w:space="0" w:color="auto"/>
              <w:bottom w:val="single" w:sz="4" w:space="0" w:color="auto"/>
              <w:right w:val="single" w:sz="4" w:space="0" w:color="auto"/>
            </w:tcBorders>
            <w:shd w:val="clear" w:color="auto" w:fill="C3E098" w:themeFill="accent1" w:themeFillTint="66"/>
            <w:textDirection w:val="btLr"/>
            <w:vAlign w:val="center"/>
          </w:tcPr>
          <w:p w14:paraId="7DA22EB3" w14:textId="77777777" w:rsidR="00D155AA" w:rsidRPr="00655FC7" w:rsidRDefault="00D155AA" w:rsidP="00827748">
            <w:pPr>
              <w:tabs>
                <w:tab w:val="center" w:pos="0"/>
                <w:tab w:val="left" w:pos="3119"/>
              </w:tabs>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 w:val="18"/>
                <w:szCs w:val="18"/>
              </w:rPr>
            </w:pPr>
            <w:r w:rsidRPr="00655FC7">
              <w:rPr>
                <w:rFonts w:eastAsia="Times New Roman" w:cstheme="minorHAnsi"/>
                <w:color w:val="auto"/>
                <w:sz w:val="18"/>
                <w:szCs w:val="18"/>
                <w:lang w:eastAsia="pl-PL"/>
              </w:rPr>
              <w:t>wrzesień</w:t>
            </w:r>
          </w:p>
        </w:tc>
        <w:tc>
          <w:tcPr>
            <w:tcW w:w="618" w:type="dxa"/>
            <w:tcBorders>
              <w:top w:val="single" w:sz="4" w:space="0" w:color="auto"/>
              <w:left w:val="single" w:sz="4" w:space="0" w:color="auto"/>
              <w:bottom w:val="single" w:sz="4" w:space="0" w:color="auto"/>
              <w:right w:val="single" w:sz="4" w:space="0" w:color="auto"/>
            </w:tcBorders>
            <w:shd w:val="clear" w:color="auto" w:fill="C3E098" w:themeFill="accent1" w:themeFillTint="66"/>
            <w:textDirection w:val="btLr"/>
            <w:vAlign w:val="center"/>
          </w:tcPr>
          <w:p w14:paraId="51E67752" w14:textId="77777777" w:rsidR="00D155AA" w:rsidRPr="00655FC7" w:rsidRDefault="00D155AA" w:rsidP="00827748">
            <w:pPr>
              <w:tabs>
                <w:tab w:val="center" w:pos="0"/>
                <w:tab w:val="left" w:pos="3119"/>
              </w:tabs>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 w:val="18"/>
                <w:szCs w:val="18"/>
              </w:rPr>
            </w:pPr>
            <w:r w:rsidRPr="00655FC7">
              <w:rPr>
                <w:rFonts w:eastAsia="Times New Roman" w:cstheme="minorHAnsi"/>
                <w:color w:val="auto"/>
                <w:sz w:val="18"/>
                <w:szCs w:val="18"/>
                <w:lang w:eastAsia="pl-PL"/>
              </w:rPr>
              <w:t>październik</w:t>
            </w:r>
          </w:p>
        </w:tc>
        <w:tc>
          <w:tcPr>
            <w:tcW w:w="618" w:type="dxa"/>
            <w:tcBorders>
              <w:top w:val="single" w:sz="4" w:space="0" w:color="auto"/>
              <w:left w:val="single" w:sz="4" w:space="0" w:color="auto"/>
              <w:bottom w:val="single" w:sz="4" w:space="0" w:color="auto"/>
              <w:right w:val="single" w:sz="4" w:space="0" w:color="auto"/>
            </w:tcBorders>
            <w:shd w:val="clear" w:color="auto" w:fill="C3E098" w:themeFill="accent1" w:themeFillTint="66"/>
            <w:textDirection w:val="btLr"/>
            <w:vAlign w:val="center"/>
          </w:tcPr>
          <w:p w14:paraId="117C6D04" w14:textId="77777777" w:rsidR="00D155AA" w:rsidRPr="00655FC7" w:rsidRDefault="00D155AA" w:rsidP="00827748">
            <w:pPr>
              <w:tabs>
                <w:tab w:val="center" w:pos="0"/>
                <w:tab w:val="left" w:pos="3119"/>
              </w:tabs>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 w:val="18"/>
                <w:szCs w:val="18"/>
              </w:rPr>
            </w:pPr>
            <w:r w:rsidRPr="00655FC7">
              <w:rPr>
                <w:rFonts w:eastAsia="Times New Roman" w:cstheme="minorHAnsi"/>
                <w:color w:val="auto"/>
                <w:sz w:val="18"/>
                <w:szCs w:val="18"/>
                <w:lang w:eastAsia="pl-PL"/>
              </w:rPr>
              <w:t>listopad</w:t>
            </w:r>
          </w:p>
        </w:tc>
        <w:tc>
          <w:tcPr>
            <w:tcW w:w="618" w:type="dxa"/>
            <w:tcBorders>
              <w:top w:val="single" w:sz="4" w:space="0" w:color="auto"/>
              <w:left w:val="single" w:sz="4" w:space="0" w:color="auto"/>
              <w:bottom w:val="single" w:sz="4" w:space="0" w:color="auto"/>
              <w:right w:val="single" w:sz="4" w:space="0" w:color="auto"/>
            </w:tcBorders>
            <w:shd w:val="clear" w:color="auto" w:fill="C3E098" w:themeFill="accent1" w:themeFillTint="66"/>
            <w:textDirection w:val="btLr"/>
            <w:vAlign w:val="center"/>
          </w:tcPr>
          <w:p w14:paraId="6D6EFF54" w14:textId="77777777" w:rsidR="00D155AA" w:rsidRPr="00655FC7" w:rsidRDefault="00D155AA" w:rsidP="00827748">
            <w:pPr>
              <w:tabs>
                <w:tab w:val="center" w:pos="0"/>
                <w:tab w:val="left" w:pos="3119"/>
              </w:tabs>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 w:val="18"/>
                <w:szCs w:val="18"/>
              </w:rPr>
            </w:pPr>
            <w:r w:rsidRPr="00655FC7">
              <w:rPr>
                <w:rFonts w:eastAsia="Times New Roman" w:cstheme="minorHAnsi"/>
                <w:color w:val="auto"/>
                <w:sz w:val="18"/>
                <w:szCs w:val="18"/>
                <w:lang w:eastAsia="pl-PL"/>
              </w:rPr>
              <w:t>grudzień</w:t>
            </w:r>
          </w:p>
        </w:tc>
      </w:tr>
      <w:tr w:rsidR="00D155AA" w:rsidRPr="00655FC7" w14:paraId="0030B3FB" w14:textId="77777777" w:rsidTr="00827748">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1668" w:type="dxa"/>
            <w:tcBorders>
              <w:top w:val="single" w:sz="4" w:space="0" w:color="auto"/>
              <w:left w:val="single" w:sz="4" w:space="0" w:color="auto"/>
              <w:bottom w:val="single" w:sz="4" w:space="0" w:color="auto"/>
            </w:tcBorders>
            <w:shd w:val="clear" w:color="auto" w:fill="C3E098" w:themeFill="accent1" w:themeFillTint="66"/>
            <w:vAlign w:val="center"/>
          </w:tcPr>
          <w:p w14:paraId="5B7803C0" w14:textId="77777777" w:rsidR="00D155AA" w:rsidRPr="00655FC7" w:rsidRDefault="00D155AA" w:rsidP="00827748">
            <w:pPr>
              <w:ind w:firstLine="0"/>
              <w:jc w:val="center"/>
              <w:rPr>
                <w:rFonts w:cstheme="minorHAnsi"/>
                <w:b/>
                <w:bCs/>
                <w:i w:val="0"/>
                <w:iCs w:val="0"/>
                <w:color w:val="auto"/>
                <w:sz w:val="18"/>
                <w:szCs w:val="18"/>
              </w:rPr>
            </w:pPr>
            <w:r w:rsidRPr="00655FC7">
              <w:rPr>
                <w:rFonts w:cstheme="minorHAnsi"/>
                <w:b/>
                <w:bCs/>
                <w:i w:val="0"/>
                <w:iCs w:val="0"/>
                <w:sz w:val="18"/>
                <w:szCs w:val="18"/>
              </w:rPr>
              <w:t>śr. temperatura [°C]</w:t>
            </w:r>
          </w:p>
        </w:tc>
        <w:tc>
          <w:tcPr>
            <w:tcW w:w="611" w:type="dxa"/>
            <w:tcBorders>
              <w:top w:val="single" w:sz="4" w:space="0" w:color="auto"/>
            </w:tcBorders>
            <w:vAlign w:val="center"/>
          </w:tcPr>
          <w:p w14:paraId="2634BDDC"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-2,5</w:t>
            </w:r>
          </w:p>
        </w:tc>
        <w:tc>
          <w:tcPr>
            <w:tcW w:w="617" w:type="dxa"/>
            <w:tcBorders>
              <w:top w:val="single" w:sz="4" w:space="0" w:color="auto"/>
            </w:tcBorders>
            <w:vAlign w:val="center"/>
          </w:tcPr>
          <w:p w14:paraId="506463FB"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-1,2</w:t>
            </w:r>
          </w:p>
        </w:tc>
        <w:tc>
          <w:tcPr>
            <w:tcW w:w="617" w:type="dxa"/>
            <w:tcBorders>
              <w:top w:val="single" w:sz="4" w:space="0" w:color="auto"/>
            </w:tcBorders>
            <w:vAlign w:val="center"/>
          </w:tcPr>
          <w:p w14:paraId="365C83D4"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3,0</w:t>
            </w:r>
          </w:p>
        </w:tc>
        <w:tc>
          <w:tcPr>
            <w:tcW w:w="617" w:type="dxa"/>
            <w:tcBorders>
              <w:top w:val="single" w:sz="4" w:space="0" w:color="auto"/>
            </w:tcBorders>
            <w:vAlign w:val="center"/>
          </w:tcPr>
          <w:p w14:paraId="163A2838"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9,4</w:t>
            </w:r>
          </w:p>
        </w:tc>
        <w:tc>
          <w:tcPr>
            <w:tcW w:w="617" w:type="dxa"/>
            <w:tcBorders>
              <w:top w:val="single" w:sz="4" w:space="0" w:color="auto"/>
            </w:tcBorders>
            <w:vAlign w:val="center"/>
          </w:tcPr>
          <w:p w14:paraId="5025BBC4"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14,6</w:t>
            </w:r>
          </w:p>
        </w:tc>
        <w:tc>
          <w:tcPr>
            <w:tcW w:w="618" w:type="dxa"/>
            <w:tcBorders>
              <w:top w:val="single" w:sz="4" w:space="0" w:color="auto"/>
            </w:tcBorders>
            <w:vAlign w:val="center"/>
          </w:tcPr>
          <w:p w14:paraId="52A13CB9"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18,1</w:t>
            </w:r>
          </w:p>
        </w:tc>
        <w:tc>
          <w:tcPr>
            <w:tcW w:w="680" w:type="dxa"/>
            <w:tcBorders>
              <w:top w:val="single" w:sz="4" w:space="0" w:color="auto"/>
            </w:tcBorders>
            <w:vAlign w:val="center"/>
          </w:tcPr>
          <w:p w14:paraId="0EA35BFA"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20,0</w:t>
            </w:r>
          </w:p>
        </w:tc>
        <w:tc>
          <w:tcPr>
            <w:tcW w:w="618" w:type="dxa"/>
            <w:tcBorders>
              <w:top w:val="single" w:sz="4" w:space="0" w:color="auto"/>
            </w:tcBorders>
            <w:vAlign w:val="center"/>
          </w:tcPr>
          <w:p w14:paraId="2C0C4656"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19,5</w:t>
            </w:r>
          </w:p>
        </w:tc>
        <w:tc>
          <w:tcPr>
            <w:tcW w:w="617" w:type="dxa"/>
            <w:tcBorders>
              <w:top w:val="single" w:sz="4" w:space="0" w:color="auto"/>
            </w:tcBorders>
            <w:vAlign w:val="center"/>
          </w:tcPr>
          <w:p w14:paraId="6DF313C7"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14,6</w:t>
            </w:r>
          </w:p>
        </w:tc>
        <w:tc>
          <w:tcPr>
            <w:tcW w:w="618" w:type="dxa"/>
            <w:tcBorders>
              <w:top w:val="single" w:sz="4" w:space="0" w:color="auto"/>
            </w:tcBorders>
            <w:vAlign w:val="center"/>
          </w:tcPr>
          <w:p w14:paraId="214A9E86"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9,2</w:t>
            </w:r>
          </w:p>
        </w:tc>
        <w:tc>
          <w:tcPr>
            <w:tcW w:w="618" w:type="dxa"/>
            <w:tcBorders>
              <w:top w:val="single" w:sz="4" w:space="0" w:color="auto"/>
            </w:tcBorders>
            <w:vAlign w:val="center"/>
          </w:tcPr>
          <w:p w14:paraId="46B03D71"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4,6</w:t>
            </w:r>
          </w:p>
        </w:tc>
        <w:tc>
          <w:tcPr>
            <w:tcW w:w="618" w:type="dxa"/>
            <w:tcBorders>
              <w:top w:val="single" w:sz="4" w:space="0" w:color="auto"/>
            </w:tcBorders>
            <w:vAlign w:val="center"/>
          </w:tcPr>
          <w:p w14:paraId="7231EBD1"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-0,1</w:t>
            </w:r>
          </w:p>
        </w:tc>
      </w:tr>
      <w:tr w:rsidR="00D155AA" w:rsidRPr="00655FC7" w14:paraId="3764DADD" w14:textId="77777777" w:rsidTr="00827748">
        <w:trPr>
          <w:trHeight w:val="621"/>
          <w:jc w:val="center"/>
        </w:trPr>
        <w:tc>
          <w:tcPr>
            <w:cnfStyle w:val="001000000000" w:firstRow="0" w:lastRow="0" w:firstColumn="1" w:lastColumn="0" w:oddVBand="0" w:evenVBand="0" w:oddHBand="0" w:evenHBand="0" w:firstRowFirstColumn="0" w:firstRowLastColumn="0" w:lastRowFirstColumn="0" w:lastRowLastColumn="0"/>
            <w:tcW w:w="1668" w:type="dxa"/>
            <w:tcBorders>
              <w:top w:val="single" w:sz="4" w:space="0" w:color="auto"/>
              <w:left w:val="none" w:sz="0" w:space="0" w:color="auto"/>
              <w:bottom w:val="none" w:sz="0" w:space="0" w:color="auto"/>
            </w:tcBorders>
            <w:shd w:val="clear" w:color="auto" w:fill="C3E098" w:themeFill="accent1" w:themeFillTint="66"/>
            <w:vAlign w:val="center"/>
          </w:tcPr>
          <w:p w14:paraId="67754BD2" w14:textId="77777777" w:rsidR="00D155AA" w:rsidRPr="00655FC7" w:rsidRDefault="00D155AA" w:rsidP="00827748">
            <w:pPr>
              <w:ind w:firstLine="0"/>
              <w:jc w:val="center"/>
              <w:rPr>
                <w:rFonts w:cstheme="minorHAnsi"/>
                <w:b/>
                <w:bCs/>
                <w:i w:val="0"/>
                <w:iCs w:val="0"/>
                <w:color w:val="auto"/>
                <w:sz w:val="18"/>
                <w:szCs w:val="18"/>
              </w:rPr>
            </w:pPr>
            <w:r w:rsidRPr="00655FC7">
              <w:rPr>
                <w:rFonts w:cstheme="minorHAnsi"/>
                <w:b/>
                <w:bCs/>
                <w:i w:val="0"/>
                <w:iCs w:val="0"/>
                <w:sz w:val="18"/>
                <w:szCs w:val="18"/>
              </w:rPr>
              <w:t>min. temperatura [°C]</w:t>
            </w:r>
          </w:p>
        </w:tc>
        <w:tc>
          <w:tcPr>
            <w:tcW w:w="611" w:type="dxa"/>
            <w:vAlign w:val="center"/>
          </w:tcPr>
          <w:p w14:paraId="19EA9481"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-5,2</w:t>
            </w:r>
          </w:p>
        </w:tc>
        <w:tc>
          <w:tcPr>
            <w:tcW w:w="617" w:type="dxa"/>
            <w:vAlign w:val="center"/>
          </w:tcPr>
          <w:p w14:paraId="574FD93A"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-4,5</w:t>
            </w:r>
          </w:p>
        </w:tc>
        <w:tc>
          <w:tcPr>
            <w:tcW w:w="617" w:type="dxa"/>
            <w:vAlign w:val="center"/>
          </w:tcPr>
          <w:p w14:paraId="2D4D6109"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-1,2</w:t>
            </w:r>
          </w:p>
        </w:tc>
        <w:tc>
          <w:tcPr>
            <w:tcW w:w="617" w:type="dxa"/>
            <w:vAlign w:val="center"/>
          </w:tcPr>
          <w:p w14:paraId="0C905D61"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4,1</w:t>
            </w:r>
          </w:p>
        </w:tc>
        <w:tc>
          <w:tcPr>
            <w:tcW w:w="617" w:type="dxa"/>
            <w:vAlign w:val="center"/>
          </w:tcPr>
          <w:p w14:paraId="195B142E"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9,4</w:t>
            </w:r>
          </w:p>
        </w:tc>
        <w:tc>
          <w:tcPr>
            <w:tcW w:w="618" w:type="dxa"/>
            <w:vAlign w:val="center"/>
          </w:tcPr>
          <w:p w14:paraId="5621D631"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13,1</w:t>
            </w:r>
          </w:p>
        </w:tc>
        <w:tc>
          <w:tcPr>
            <w:tcW w:w="680" w:type="dxa"/>
            <w:vAlign w:val="center"/>
          </w:tcPr>
          <w:p w14:paraId="6B22F974"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15,3</w:t>
            </w:r>
          </w:p>
        </w:tc>
        <w:tc>
          <w:tcPr>
            <w:tcW w:w="618" w:type="dxa"/>
            <w:vAlign w:val="center"/>
          </w:tcPr>
          <w:p w14:paraId="37C8C74F"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14,6</w:t>
            </w:r>
          </w:p>
        </w:tc>
        <w:tc>
          <w:tcPr>
            <w:tcW w:w="617" w:type="dxa"/>
            <w:vAlign w:val="center"/>
          </w:tcPr>
          <w:p w14:paraId="2C92F865"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10,4</w:t>
            </w:r>
          </w:p>
        </w:tc>
        <w:tc>
          <w:tcPr>
            <w:tcW w:w="618" w:type="dxa"/>
            <w:vAlign w:val="center"/>
          </w:tcPr>
          <w:p w14:paraId="1D4FF43D"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5,8</w:t>
            </w:r>
          </w:p>
        </w:tc>
        <w:tc>
          <w:tcPr>
            <w:tcW w:w="618" w:type="dxa"/>
            <w:vAlign w:val="center"/>
          </w:tcPr>
          <w:p w14:paraId="1F598ED2"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2,0</w:t>
            </w:r>
          </w:p>
        </w:tc>
        <w:tc>
          <w:tcPr>
            <w:tcW w:w="618" w:type="dxa"/>
            <w:vAlign w:val="center"/>
          </w:tcPr>
          <w:p w14:paraId="49C8CCC7"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-2,3</w:t>
            </w:r>
          </w:p>
        </w:tc>
      </w:tr>
      <w:tr w:rsidR="00D155AA" w:rsidRPr="00655FC7" w14:paraId="2A277CCE" w14:textId="77777777" w:rsidTr="00827748">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one" w:sz="0" w:space="0" w:color="auto"/>
              <w:bottom w:val="none" w:sz="0" w:space="0" w:color="auto"/>
            </w:tcBorders>
            <w:shd w:val="clear" w:color="auto" w:fill="C3E098" w:themeFill="accent1" w:themeFillTint="66"/>
            <w:vAlign w:val="center"/>
          </w:tcPr>
          <w:p w14:paraId="332D31B1" w14:textId="77777777" w:rsidR="00D155AA" w:rsidRPr="00655FC7" w:rsidRDefault="00D155AA" w:rsidP="00827748">
            <w:pPr>
              <w:ind w:firstLine="0"/>
              <w:jc w:val="center"/>
              <w:rPr>
                <w:rFonts w:cstheme="minorHAnsi"/>
                <w:b/>
                <w:bCs/>
                <w:i w:val="0"/>
                <w:iCs w:val="0"/>
                <w:color w:val="auto"/>
                <w:sz w:val="18"/>
                <w:szCs w:val="18"/>
              </w:rPr>
            </w:pPr>
            <w:r w:rsidRPr="00655FC7">
              <w:rPr>
                <w:rFonts w:cstheme="minorHAnsi"/>
                <w:b/>
                <w:bCs/>
                <w:i w:val="0"/>
                <w:iCs w:val="0"/>
                <w:sz w:val="18"/>
                <w:szCs w:val="18"/>
              </w:rPr>
              <w:t>max. temperatura [°C]</w:t>
            </w:r>
          </w:p>
        </w:tc>
        <w:tc>
          <w:tcPr>
            <w:tcW w:w="611" w:type="dxa"/>
            <w:vAlign w:val="center"/>
          </w:tcPr>
          <w:p w14:paraId="67D8323C"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0,0</w:t>
            </w:r>
          </w:p>
        </w:tc>
        <w:tc>
          <w:tcPr>
            <w:tcW w:w="617" w:type="dxa"/>
            <w:vAlign w:val="center"/>
          </w:tcPr>
          <w:p w14:paraId="6C0C06F4"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1,8</w:t>
            </w:r>
          </w:p>
        </w:tc>
        <w:tc>
          <w:tcPr>
            <w:tcW w:w="617" w:type="dxa"/>
            <w:vAlign w:val="center"/>
          </w:tcPr>
          <w:p w14:paraId="2473B2B5"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7,1</w:t>
            </w:r>
          </w:p>
        </w:tc>
        <w:tc>
          <w:tcPr>
            <w:tcW w:w="617" w:type="dxa"/>
            <w:vAlign w:val="center"/>
          </w:tcPr>
          <w:p w14:paraId="059B8B2C"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14,2</w:t>
            </w:r>
          </w:p>
        </w:tc>
        <w:tc>
          <w:tcPr>
            <w:tcW w:w="617" w:type="dxa"/>
            <w:vAlign w:val="center"/>
          </w:tcPr>
          <w:p w14:paraId="3B36BA0D"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19,2</w:t>
            </w:r>
          </w:p>
        </w:tc>
        <w:tc>
          <w:tcPr>
            <w:tcW w:w="618" w:type="dxa"/>
            <w:vAlign w:val="center"/>
          </w:tcPr>
          <w:p w14:paraId="3D8C5EDD"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22,4</w:t>
            </w:r>
          </w:p>
        </w:tc>
        <w:tc>
          <w:tcPr>
            <w:tcW w:w="680" w:type="dxa"/>
            <w:vAlign w:val="center"/>
          </w:tcPr>
          <w:p w14:paraId="4D200B77"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24,3</w:t>
            </w:r>
          </w:p>
        </w:tc>
        <w:tc>
          <w:tcPr>
            <w:tcW w:w="618" w:type="dxa"/>
            <w:vAlign w:val="center"/>
          </w:tcPr>
          <w:p w14:paraId="6164C37F"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23,9</w:t>
            </w:r>
          </w:p>
        </w:tc>
        <w:tc>
          <w:tcPr>
            <w:tcW w:w="617" w:type="dxa"/>
            <w:vAlign w:val="center"/>
          </w:tcPr>
          <w:p w14:paraId="71ACD539"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18,7</w:t>
            </w:r>
          </w:p>
        </w:tc>
        <w:tc>
          <w:tcPr>
            <w:tcW w:w="618" w:type="dxa"/>
            <w:vAlign w:val="center"/>
          </w:tcPr>
          <w:p w14:paraId="0E7CCFBD"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12,8</w:t>
            </w:r>
          </w:p>
        </w:tc>
        <w:tc>
          <w:tcPr>
            <w:tcW w:w="618" w:type="dxa"/>
            <w:vAlign w:val="center"/>
          </w:tcPr>
          <w:p w14:paraId="653A4C04"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7,3</w:t>
            </w:r>
          </w:p>
        </w:tc>
        <w:tc>
          <w:tcPr>
            <w:tcW w:w="618" w:type="dxa"/>
            <w:vAlign w:val="center"/>
          </w:tcPr>
          <w:p w14:paraId="088324CD"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2,0</w:t>
            </w:r>
          </w:p>
        </w:tc>
      </w:tr>
      <w:tr w:rsidR="00D155AA" w:rsidRPr="00655FC7" w14:paraId="55109132" w14:textId="77777777" w:rsidTr="00827748">
        <w:trPr>
          <w:trHeight w:val="621"/>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one" w:sz="0" w:space="0" w:color="auto"/>
              <w:bottom w:val="none" w:sz="0" w:space="0" w:color="auto"/>
            </w:tcBorders>
            <w:shd w:val="clear" w:color="auto" w:fill="C3E098" w:themeFill="accent1" w:themeFillTint="66"/>
            <w:vAlign w:val="center"/>
          </w:tcPr>
          <w:p w14:paraId="47EBA461" w14:textId="77777777" w:rsidR="00D155AA" w:rsidRPr="00655FC7" w:rsidRDefault="00D155AA" w:rsidP="00827748">
            <w:pPr>
              <w:ind w:firstLine="0"/>
              <w:jc w:val="center"/>
              <w:rPr>
                <w:rFonts w:cstheme="minorHAnsi"/>
                <w:b/>
                <w:bCs/>
                <w:i w:val="0"/>
                <w:iCs w:val="0"/>
                <w:color w:val="auto"/>
                <w:sz w:val="18"/>
                <w:szCs w:val="18"/>
              </w:rPr>
            </w:pPr>
            <w:r w:rsidRPr="00655FC7">
              <w:rPr>
                <w:rFonts w:cstheme="minorHAnsi"/>
                <w:b/>
                <w:bCs/>
                <w:i w:val="0"/>
                <w:iCs w:val="0"/>
                <w:sz w:val="18"/>
                <w:szCs w:val="18"/>
              </w:rPr>
              <w:t>opady / opady deszczu [mm]</w:t>
            </w:r>
          </w:p>
        </w:tc>
        <w:tc>
          <w:tcPr>
            <w:tcW w:w="611" w:type="dxa"/>
            <w:vAlign w:val="center"/>
          </w:tcPr>
          <w:p w14:paraId="360E0A43"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49,0</w:t>
            </w:r>
          </w:p>
        </w:tc>
        <w:tc>
          <w:tcPr>
            <w:tcW w:w="617" w:type="dxa"/>
            <w:vAlign w:val="center"/>
          </w:tcPr>
          <w:p w14:paraId="53AC6AD4"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47,0</w:t>
            </w:r>
          </w:p>
        </w:tc>
        <w:tc>
          <w:tcPr>
            <w:tcW w:w="617" w:type="dxa"/>
            <w:vAlign w:val="center"/>
          </w:tcPr>
          <w:p w14:paraId="188B3397"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53,0</w:t>
            </w:r>
          </w:p>
        </w:tc>
        <w:tc>
          <w:tcPr>
            <w:tcW w:w="617" w:type="dxa"/>
            <w:vAlign w:val="center"/>
          </w:tcPr>
          <w:p w14:paraId="2F46E2E6"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59,0</w:t>
            </w:r>
          </w:p>
        </w:tc>
        <w:tc>
          <w:tcPr>
            <w:tcW w:w="617" w:type="dxa"/>
            <w:vAlign w:val="center"/>
          </w:tcPr>
          <w:p w14:paraId="4D7B707D"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86,0</w:t>
            </w:r>
          </w:p>
        </w:tc>
        <w:tc>
          <w:tcPr>
            <w:tcW w:w="618" w:type="dxa"/>
            <w:vAlign w:val="center"/>
          </w:tcPr>
          <w:p w14:paraId="13974A92"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85,0</w:t>
            </w:r>
          </w:p>
        </w:tc>
        <w:tc>
          <w:tcPr>
            <w:tcW w:w="680" w:type="dxa"/>
            <w:vAlign w:val="center"/>
          </w:tcPr>
          <w:p w14:paraId="2E1490BE"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105,0</w:t>
            </w:r>
          </w:p>
        </w:tc>
        <w:tc>
          <w:tcPr>
            <w:tcW w:w="618" w:type="dxa"/>
            <w:vAlign w:val="center"/>
          </w:tcPr>
          <w:p w14:paraId="66018A5C"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72,0</w:t>
            </w:r>
          </w:p>
        </w:tc>
        <w:tc>
          <w:tcPr>
            <w:tcW w:w="617" w:type="dxa"/>
            <w:vAlign w:val="center"/>
          </w:tcPr>
          <w:p w14:paraId="6425D43F"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76,0</w:t>
            </w:r>
          </w:p>
        </w:tc>
        <w:tc>
          <w:tcPr>
            <w:tcW w:w="618" w:type="dxa"/>
            <w:vAlign w:val="center"/>
          </w:tcPr>
          <w:p w14:paraId="1A4C5326"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56,0</w:t>
            </w:r>
          </w:p>
        </w:tc>
        <w:tc>
          <w:tcPr>
            <w:tcW w:w="618" w:type="dxa"/>
            <w:vAlign w:val="center"/>
          </w:tcPr>
          <w:p w14:paraId="7D1E9F9C"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53,0</w:t>
            </w:r>
          </w:p>
        </w:tc>
        <w:tc>
          <w:tcPr>
            <w:tcW w:w="618" w:type="dxa"/>
            <w:vAlign w:val="center"/>
          </w:tcPr>
          <w:p w14:paraId="1ADE1677"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49,0</w:t>
            </w:r>
          </w:p>
        </w:tc>
      </w:tr>
      <w:tr w:rsidR="00D155AA" w:rsidRPr="00655FC7" w14:paraId="5CFADD80" w14:textId="77777777" w:rsidTr="00827748">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one" w:sz="0" w:space="0" w:color="auto"/>
              <w:bottom w:val="none" w:sz="0" w:space="0" w:color="auto"/>
            </w:tcBorders>
            <w:shd w:val="clear" w:color="auto" w:fill="C3E098" w:themeFill="accent1" w:themeFillTint="66"/>
            <w:vAlign w:val="center"/>
          </w:tcPr>
          <w:p w14:paraId="779F0D51" w14:textId="77777777" w:rsidR="00D155AA" w:rsidRPr="00655FC7" w:rsidRDefault="00D155AA" w:rsidP="00827748">
            <w:pPr>
              <w:ind w:firstLine="0"/>
              <w:jc w:val="center"/>
              <w:rPr>
                <w:rFonts w:cstheme="minorHAnsi"/>
                <w:b/>
                <w:bCs/>
                <w:i w:val="0"/>
                <w:iCs w:val="0"/>
                <w:color w:val="auto"/>
                <w:sz w:val="18"/>
                <w:szCs w:val="18"/>
              </w:rPr>
            </w:pPr>
            <w:r w:rsidRPr="00655FC7">
              <w:rPr>
                <w:rFonts w:cstheme="minorHAnsi"/>
                <w:b/>
                <w:bCs/>
                <w:i w:val="0"/>
                <w:iCs w:val="0"/>
                <w:sz w:val="18"/>
                <w:szCs w:val="18"/>
              </w:rPr>
              <w:t>wilgotność [%]</w:t>
            </w:r>
          </w:p>
        </w:tc>
        <w:tc>
          <w:tcPr>
            <w:tcW w:w="611" w:type="dxa"/>
            <w:vAlign w:val="center"/>
          </w:tcPr>
          <w:p w14:paraId="2BCEDAAE"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0,8</w:t>
            </w:r>
          </w:p>
        </w:tc>
        <w:tc>
          <w:tcPr>
            <w:tcW w:w="617" w:type="dxa"/>
            <w:vAlign w:val="center"/>
          </w:tcPr>
          <w:p w14:paraId="39A82199"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0,8</w:t>
            </w:r>
          </w:p>
        </w:tc>
        <w:tc>
          <w:tcPr>
            <w:tcW w:w="617" w:type="dxa"/>
            <w:vAlign w:val="center"/>
          </w:tcPr>
          <w:p w14:paraId="021DC300"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0,8</w:t>
            </w:r>
          </w:p>
        </w:tc>
        <w:tc>
          <w:tcPr>
            <w:tcW w:w="617" w:type="dxa"/>
            <w:vAlign w:val="center"/>
          </w:tcPr>
          <w:p w14:paraId="4ACE975D"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0,7</w:t>
            </w:r>
          </w:p>
        </w:tc>
        <w:tc>
          <w:tcPr>
            <w:tcW w:w="617" w:type="dxa"/>
            <w:vAlign w:val="center"/>
          </w:tcPr>
          <w:p w14:paraId="7291A5BF"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0,7</w:t>
            </w:r>
          </w:p>
        </w:tc>
        <w:tc>
          <w:tcPr>
            <w:tcW w:w="618" w:type="dxa"/>
            <w:vAlign w:val="center"/>
          </w:tcPr>
          <w:p w14:paraId="589094DC"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0,7</w:t>
            </w:r>
          </w:p>
        </w:tc>
        <w:tc>
          <w:tcPr>
            <w:tcW w:w="680" w:type="dxa"/>
            <w:vAlign w:val="center"/>
          </w:tcPr>
          <w:p w14:paraId="3DAB9B28"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0,7</w:t>
            </w:r>
          </w:p>
        </w:tc>
        <w:tc>
          <w:tcPr>
            <w:tcW w:w="618" w:type="dxa"/>
            <w:vAlign w:val="center"/>
          </w:tcPr>
          <w:p w14:paraId="7B6C2232"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0,7</w:t>
            </w:r>
          </w:p>
        </w:tc>
        <w:tc>
          <w:tcPr>
            <w:tcW w:w="617" w:type="dxa"/>
            <w:vAlign w:val="center"/>
          </w:tcPr>
          <w:p w14:paraId="7E68E21B"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0,7</w:t>
            </w:r>
          </w:p>
        </w:tc>
        <w:tc>
          <w:tcPr>
            <w:tcW w:w="618" w:type="dxa"/>
            <w:vAlign w:val="center"/>
          </w:tcPr>
          <w:p w14:paraId="18B70F16"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0,8</w:t>
            </w:r>
          </w:p>
        </w:tc>
        <w:tc>
          <w:tcPr>
            <w:tcW w:w="618" w:type="dxa"/>
            <w:vAlign w:val="center"/>
          </w:tcPr>
          <w:p w14:paraId="41CA7A69"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0,8</w:t>
            </w:r>
          </w:p>
        </w:tc>
        <w:tc>
          <w:tcPr>
            <w:tcW w:w="618" w:type="dxa"/>
            <w:vAlign w:val="center"/>
          </w:tcPr>
          <w:p w14:paraId="0FC6E98F"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0,8</w:t>
            </w:r>
          </w:p>
        </w:tc>
      </w:tr>
      <w:tr w:rsidR="00D155AA" w:rsidRPr="00655FC7" w14:paraId="0F07DAC9" w14:textId="77777777" w:rsidTr="00827748">
        <w:trPr>
          <w:trHeight w:val="621"/>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one" w:sz="0" w:space="0" w:color="auto"/>
              <w:bottom w:val="none" w:sz="0" w:space="0" w:color="auto"/>
            </w:tcBorders>
            <w:shd w:val="clear" w:color="auto" w:fill="C3E098" w:themeFill="accent1" w:themeFillTint="66"/>
            <w:vAlign w:val="center"/>
          </w:tcPr>
          <w:p w14:paraId="1F106D71" w14:textId="77777777" w:rsidR="00D155AA" w:rsidRPr="00655FC7" w:rsidRDefault="00D155AA" w:rsidP="00827748">
            <w:pPr>
              <w:ind w:firstLine="0"/>
              <w:jc w:val="center"/>
              <w:rPr>
                <w:rFonts w:cstheme="minorHAnsi"/>
                <w:b/>
                <w:bCs/>
                <w:i w:val="0"/>
                <w:iCs w:val="0"/>
                <w:color w:val="auto"/>
                <w:sz w:val="18"/>
                <w:szCs w:val="18"/>
              </w:rPr>
            </w:pPr>
            <w:r w:rsidRPr="00655FC7">
              <w:rPr>
                <w:rFonts w:cstheme="minorHAnsi"/>
                <w:b/>
                <w:bCs/>
                <w:i w:val="0"/>
                <w:iCs w:val="0"/>
                <w:sz w:val="18"/>
                <w:szCs w:val="18"/>
              </w:rPr>
              <w:t>deszczowe dni [d]</w:t>
            </w:r>
          </w:p>
        </w:tc>
        <w:tc>
          <w:tcPr>
            <w:tcW w:w="611" w:type="dxa"/>
            <w:vAlign w:val="center"/>
          </w:tcPr>
          <w:p w14:paraId="544337C7"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9,0</w:t>
            </w:r>
          </w:p>
        </w:tc>
        <w:tc>
          <w:tcPr>
            <w:tcW w:w="617" w:type="dxa"/>
            <w:vAlign w:val="center"/>
          </w:tcPr>
          <w:p w14:paraId="31BFC22F"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8,0</w:t>
            </w:r>
          </w:p>
        </w:tc>
        <w:tc>
          <w:tcPr>
            <w:tcW w:w="617" w:type="dxa"/>
            <w:vAlign w:val="center"/>
          </w:tcPr>
          <w:p w14:paraId="24894657"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9,0</w:t>
            </w:r>
          </w:p>
        </w:tc>
        <w:tc>
          <w:tcPr>
            <w:tcW w:w="617" w:type="dxa"/>
            <w:vAlign w:val="center"/>
          </w:tcPr>
          <w:p w14:paraId="415C3319"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9,0</w:t>
            </w:r>
          </w:p>
        </w:tc>
        <w:tc>
          <w:tcPr>
            <w:tcW w:w="617" w:type="dxa"/>
            <w:vAlign w:val="center"/>
          </w:tcPr>
          <w:p w14:paraId="09212877"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10,0</w:t>
            </w:r>
          </w:p>
        </w:tc>
        <w:tc>
          <w:tcPr>
            <w:tcW w:w="618" w:type="dxa"/>
            <w:vAlign w:val="center"/>
          </w:tcPr>
          <w:p w14:paraId="581A23A9"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10,0</w:t>
            </w:r>
          </w:p>
        </w:tc>
        <w:tc>
          <w:tcPr>
            <w:tcW w:w="680" w:type="dxa"/>
            <w:vAlign w:val="center"/>
          </w:tcPr>
          <w:p w14:paraId="7DD700B4"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11,0</w:t>
            </w:r>
          </w:p>
        </w:tc>
        <w:tc>
          <w:tcPr>
            <w:tcW w:w="618" w:type="dxa"/>
            <w:vAlign w:val="center"/>
          </w:tcPr>
          <w:p w14:paraId="3C42F253"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8,0</w:t>
            </w:r>
          </w:p>
        </w:tc>
        <w:tc>
          <w:tcPr>
            <w:tcW w:w="617" w:type="dxa"/>
            <w:vAlign w:val="center"/>
          </w:tcPr>
          <w:p w14:paraId="6F573A95"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8,0</w:t>
            </w:r>
          </w:p>
        </w:tc>
        <w:tc>
          <w:tcPr>
            <w:tcW w:w="618" w:type="dxa"/>
            <w:vAlign w:val="center"/>
          </w:tcPr>
          <w:p w14:paraId="006F5D92"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7,0</w:t>
            </w:r>
          </w:p>
        </w:tc>
        <w:tc>
          <w:tcPr>
            <w:tcW w:w="618" w:type="dxa"/>
            <w:vAlign w:val="center"/>
          </w:tcPr>
          <w:p w14:paraId="4B654BD5"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8,0</w:t>
            </w:r>
          </w:p>
        </w:tc>
        <w:tc>
          <w:tcPr>
            <w:tcW w:w="618" w:type="dxa"/>
            <w:vAlign w:val="center"/>
          </w:tcPr>
          <w:p w14:paraId="081B0127" w14:textId="77777777" w:rsidR="00D155AA" w:rsidRPr="00655FC7" w:rsidRDefault="00D155AA" w:rsidP="00827748">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18"/>
                <w:szCs w:val="18"/>
              </w:rPr>
            </w:pPr>
            <w:r w:rsidRPr="00655FC7">
              <w:rPr>
                <w:rFonts w:cstheme="minorHAnsi"/>
                <w:color w:val="000000"/>
                <w:sz w:val="18"/>
                <w:szCs w:val="18"/>
              </w:rPr>
              <w:t>8,0</w:t>
            </w:r>
          </w:p>
        </w:tc>
      </w:tr>
      <w:tr w:rsidR="00D155AA" w:rsidRPr="00655FC7" w14:paraId="3135B387" w14:textId="77777777" w:rsidTr="00827748">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1668" w:type="dxa"/>
            <w:tcBorders>
              <w:left w:val="none" w:sz="0" w:space="0" w:color="auto"/>
              <w:bottom w:val="none" w:sz="0" w:space="0" w:color="auto"/>
            </w:tcBorders>
            <w:shd w:val="clear" w:color="auto" w:fill="C3E098" w:themeFill="accent1" w:themeFillTint="66"/>
            <w:vAlign w:val="center"/>
          </w:tcPr>
          <w:p w14:paraId="3B610B8A" w14:textId="77777777" w:rsidR="00D155AA" w:rsidRPr="00655FC7" w:rsidRDefault="00D155AA" w:rsidP="00827748">
            <w:pPr>
              <w:ind w:firstLine="0"/>
              <w:jc w:val="center"/>
              <w:rPr>
                <w:rFonts w:cstheme="minorHAnsi"/>
                <w:b/>
                <w:bCs/>
                <w:i w:val="0"/>
                <w:iCs w:val="0"/>
                <w:sz w:val="18"/>
                <w:szCs w:val="18"/>
              </w:rPr>
            </w:pPr>
            <w:r w:rsidRPr="00655FC7">
              <w:rPr>
                <w:rFonts w:cstheme="minorHAnsi"/>
                <w:b/>
                <w:bCs/>
                <w:i w:val="0"/>
                <w:iCs w:val="0"/>
                <w:sz w:val="18"/>
                <w:szCs w:val="18"/>
              </w:rPr>
              <w:t>godziny słoneczne [g]</w:t>
            </w:r>
          </w:p>
        </w:tc>
        <w:tc>
          <w:tcPr>
            <w:tcW w:w="611" w:type="dxa"/>
            <w:vAlign w:val="center"/>
          </w:tcPr>
          <w:p w14:paraId="150481A8"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2,8</w:t>
            </w:r>
          </w:p>
        </w:tc>
        <w:tc>
          <w:tcPr>
            <w:tcW w:w="617" w:type="dxa"/>
            <w:vAlign w:val="center"/>
          </w:tcPr>
          <w:p w14:paraId="68EEB94F"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3,7</w:t>
            </w:r>
          </w:p>
        </w:tc>
        <w:tc>
          <w:tcPr>
            <w:tcW w:w="617" w:type="dxa"/>
            <w:vAlign w:val="center"/>
          </w:tcPr>
          <w:p w14:paraId="2947FD24"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5,6</w:t>
            </w:r>
          </w:p>
        </w:tc>
        <w:tc>
          <w:tcPr>
            <w:tcW w:w="617" w:type="dxa"/>
            <w:vAlign w:val="center"/>
          </w:tcPr>
          <w:p w14:paraId="49C72811"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8,8</w:t>
            </w:r>
          </w:p>
        </w:tc>
        <w:tc>
          <w:tcPr>
            <w:tcW w:w="617" w:type="dxa"/>
            <w:vAlign w:val="center"/>
          </w:tcPr>
          <w:p w14:paraId="7858F3C8"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10,0</w:t>
            </w:r>
          </w:p>
        </w:tc>
        <w:tc>
          <w:tcPr>
            <w:tcW w:w="618" w:type="dxa"/>
            <w:vAlign w:val="center"/>
          </w:tcPr>
          <w:p w14:paraId="078D372C"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10,9</w:t>
            </w:r>
          </w:p>
        </w:tc>
        <w:tc>
          <w:tcPr>
            <w:tcW w:w="680" w:type="dxa"/>
            <w:vAlign w:val="center"/>
          </w:tcPr>
          <w:p w14:paraId="4F8A3BAB"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10,8</w:t>
            </w:r>
          </w:p>
        </w:tc>
        <w:tc>
          <w:tcPr>
            <w:tcW w:w="618" w:type="dxa"/>
            <w:vAlign w:val="center"/>
          </w:tcPr>
          <w:p w14:paraId="0520012A"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10,1</w:t>
            </w:r>
          </w:p>
        </w:tc>
        <w:tc>
          <w:tcPr>
            <w:tcW w:w="617" w:type="dxa"/>
            <w:vAlign w:val="center"/>
          </w:tcPr>
          <w:p w14:paraId="37D96D45"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7,2</w:t>
            </w:r>
          </w:p>
        </w:tc>
        <w:tc>
          <w:tcPr>
            <w:tcW w:w="618" w:type="dxa"/>
            <w:vAlign w:val="center"/>
          </w:tcPr>
          <w:p w14:paraId="2B41AEB5"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5,3</w:t>
            </w:r>
          </w:p>
        </w:tc>
        <w:tc>
          <w:tcPr>
            <w:tcW w:w="618" w:type="dxa"/>
            <w:vAlign w:val="center"/>
          </w:tcPr>
          <w:p w14:paraId="11D829E7"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3,7</w:t>
            </w:r>
          </w:p>
        </w:tc>
        <w:tc>
          <w:tcPr>
            <w:tcW w:w="618" w:type="dxa"/>
            <w:vAlign w:val="center"/>
          </w:tcPr>
          <w:p w14:paraId="2CCC35B9" w14:textId="77777777" w:rsidR="00D155AA" w:rsidRPr="00655FC7" w:rsidRDefault="00D155AA" w:rsidP="00827748">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655FC7">
              <w:rPr>
                <w:rFonts w:cstheme="minorHAnsi"/>
                <w:color w:val="000000"/>
                <w:sz w:val="18"/>
                <w:szCs w:val="18"/>
              </w:rPr>
              <w:t>2,8</w:t>
            </w:r>
          </w:p>
        </w:tc>
      </w:tr>
    </w:tbl>
    <w:p w14:paraId="74351A28" w14:textId="77777777" w:rsidR="00D155AA" w:rsidRPr="00655FC7" w:rsidRDefault="00D155AA" w:rsidP="00D155AA">
      <w:pPr>
        <w:pStyle w:val="Cytat"/>
      </w:pPr>
      <w:r w:rsidRPr="00655FC7">
        <w:t>źródło: https://pl.climate-data.org/</w:t>
      </w:r>
    </w:p>
    <w:p w14:paraId="343961C0" w14:textId="77777777" w:rsidR="00D155AA" w:rsidRPr="00655FC7" w:rsidRDefault="00D155AA" w:rsidP="00D155AA">
      <w:pPr>
        <w:tabs>
          <w:tab w:val="left" w:pos="3119"/>
        </w:tabs>
        <w:spacing w:line="240" w:lineRule="auto"/>
        <w:jc w:val="center"/>
        <w:rPr>
          <w:rFonts w:cstheme="minorHAnsi"/>
          <w:color w:val="auto"/>
        </w:rPr>
      </w:pPr>
    </w:p>
    <w:p w14:paraId="1867C7E9" w14:textId="77777777" w:rsidR="00D155AA" w:rsidRPr="00655FC7" w:rsidRDefault="00D155AA" w:rsidP="00D155AA">
      <w:r w:rsidRPr="00655FC7">
        <w:lastRenderedPageBreak/>
        <w:t>Miesiącem z najwyższą temperaturą jest lipiec ze średnią temperaturą z ostatnich 30 lat (1991-2021) wynoszącą 20,0</w:t>
      </w:r>
      <w:r w:rsidRPr="00655FC7">
        <w:rPr>
          <w:rFonts w:cstheme="minorHAnsi"/>
        </w:rPr>
        <w:t>°</w:t>
      </w:r>
      <w:r w:rsidRPr="00655FC7">
        <w:t>C, a miesiącem z najniższą temperaturą– styczeń, gdzie średnia temperatura wyniosła -2,5</w:t>
      </w:r>
      <w:r w:rsidRPr="00655FC7">
        <w:rPr>
          <w:rFonts w:cstheme="minorHAnsi"/>
        </w:rPr>
        <w:t>°</w:t>
      </w:r>
      <w:r w:rsidRPr="00655FC7">
        <w:t>C. Amplituda temperatur wynosi zatem 22,5</w:t>
      </w:r>
      <w:r w:rsidRPr="00655FC7">
        <w:rPr>
          <w:rFonts w:cstheme="minorHAnsi"/>
        </w:rPr>
        <w:t>°</w:t>
      </w:r>
      <w:r w:rsidRPr="00655FC7">
        <w:t>C.</w:t>
      </w:r>
    </w:p>
    <w:p w14:paraId="606D0238" w14:textId="77777777" w:rsidR="00D155AA" w:rsidRPr="00655FC7" w:rsidRDefault="00D155AA" w:rsidP="00D155AA">
      <w:r w:rsidRPr="00655FC7">
        <w:t>Suma opadów oznaczona w ostatnim 30-leciu wyniosła 790,0 mm. Zdecydowanie najbardziej obfitym w opady miesiącem jest lipiec, w którym średnia suma opadów wyniosła 105,0 mm. Kolejno, miesiącami z wysokimi opadami są także maj i czerwiec.</w:t>
      </w:r>
    </w:p>
    <w:p w14:paraId="50FB109C" w14:textId="77777777" w:rsidR="00D155AA" w:rsidRPr="00655FC7" w:rsidRDefault="00D155AA" w:rsidP="00D155AA">
      <w:r w:rsidRPr="00655FC7">
        <w:t xml:space="preserve">Wilgotność omawianego obszaru i liczba dni deszczowych w poszczególnych miesiącach są dość podobne. Najwięcej deszczowych dni mają oczywiście miesiące, które odznaczają się najwyższą średnią sumą opadów. </w:t>
      </w:r>
    </w:p>
    <w:p w14:paraId="4AB90A96" w14:textId="77777777" w:rsidR="00D155AA" w:rsidRPr="00655FC7" w:rsidRDefault="00D155AA" w:rsidP="00D155AA"/>
    <w:p w14:paraId="37D7F522" w14:textId="77777777" w:rsidR="00D155AA" w:rsidRPr="00655FC7" w:rsidRDefault="00D155AA" w:rsidP="00D155AA">
      <w:pPr>
        <w:tabs>
          <w:tab w:val="left" w:pos="3119"/>
        </w:tabs>
      </w:pPr>
      <w:r w:rsidRPr="00655FC7">
        <w:t>Poniżej przedstawiono również średnie dane dla 30-letniego okresu, w formie graficznej.</w:t>
      </w:r>
    </w:p>
    <w:p w14:paraId="0E737DEE" w14:textId="77777777" w:rsidR="004F5201" w:rsidRPr="00655FC7" w:rsidRDefault="004F5201" w:rsidP="00D155AA">
      <w:pPr>
        <w:tabs>
          <w:tab w:val="left" w:pos="3119"/>
        </w:tabs>
      </w:pPr>
    </w:p>
    <w:p w14:paraId="72E3EE9E" w14:textId="77777777" w:rsidR="00D155AA" w:rsidRPr="00655FC7" w:rsidRDefault="00D155AA" w:rsidP="00D155AA">
      <w:pPr>
        <w:tabs>
          <w:tab w:val="left" w:pos="3119"/>
        </w:tabs>
        <w:rPr>
          <w:rFonts w:cstheme="minorHAnsi"/>
          <w:color w:val="auto"/>
        </w:rPr>
      </w:pPr>
      <w:r w:rsidRPr="00655FC7">
        <w:rPr>
          <w:rFonts w:cstheme="minorHAnsi"/>
          <w:color w:val="auto"/>
        </w:rPr>
        <w:t>„Średnia maksymalna wartość dzienna" (czerwona linia ciągła) pokazuje maksymalną temperaturę przeciętnego dnia dla każdego miesiąca dla Miasta Tarnogród. Podobnie „średnia minimalna wartość dzienna" (niebieska linia ciągła) pokazuje średnią minimalną temperaturę. Gorące dni i zimne noce (czerwone i niebieskie przerywane linie) pokazują średnią temperaturę najgorętszych dni i najzimniejszych nocy każdego miesiąca w ciągu ostatnich 30 lat (1992-2022).</w:t>
      </w:r>
    </w:p>
    <w:p w14:paraId="2D46185D" w14:textId="77777777" w:rsidR="00D155AA" w:rsidRPr="00655FC7" w:rsidRDefault="00D155AA" w:rsidP="00D155AA"/>
    <w:p w14:paraId="75217017" w14:textId="77777777" w:rsidR="00D155AA" w:rsidRPr="00655FC7" w:rsidRDefault="00D155AA" w:rsidP="00D155AA">
      <w:pPr>
        <w:tabs>
          <w:tab w:val="left" w:pos="3119"/>
        </w:tabs>
        <w:spacing w:line="240" w:lineRule="auto"/>
        <w:ind w:firstLine="0"/>
        <w:jc w:val="center"/>
        <w:rPr>
          <w:rFonts w:eastAsiaTheme="majorEastAsia" w:cstheme="minorHAnsi"/>
          <w:b/>
          <w:color w:val="auto"/>
          <w:sz w:val="20"/>
          <w:szCs w:val="20"/>
          <w:lang w:eastAsia="pl-PL"/>
        </w:rPr>
      </w:pPr>
      <w:r w:rsidRPr="00655FC7">
        <w:rPr>
          <w:rFonts w:eastAsiaTheme="majorEastAsia" w:cstheme="minorHAnsi"/>
          <w:b/>
          <w:noProof/>
          <w:color w:val="auto"/>
          <w:sz w:val="20"/>
          <w:szCs w:val="20"/>
          <w:lang w:eastAsia="pl-PL"/>
        </w:rPr>
        <w:drawing>
          <wp:inline distT="0" distB="0" distL="0" distR="0" wp14:anchorId="6D3E03AE" wp14:editId="7F20114F">
            <wp:extent cx="5759450" cy="3839845"/>
            <wp:effectExtent l="19050" t="19050" r="12700" b="27305"/>
            <wp:docPr id="428867188" name="Obraz 4" descr="Obraz zawierający zrzut ekranu, tekst, linia, Równolegl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867188" name="Obraz 4" descr="Obraz zawierający zrzut ekranu, tekst, linia, Równolegle&#10;&#10;Opis wygenerowany automatycznie"/>
                    <pic:cNvPicPr/>
                  </pic:nvPicPr>
                  <pic:blipFill>
                    <a:blip r:embed="rId80">
                      <a:extLst>
                        <a:ext uri="{28A0092B-C50C-407E-A947-70E740481C1C}">
                          <a14:useLocalDpi xmlns:a14="http://schemas.microsoft.com/office/drawing/2010/main" val="0"/>
                        </a:ext>
                      </a:extLst>
                    </a:blip>
                    <a:stretch>
                      <a:fillRect/>
                    </a:stretch>
                  </pic:blipFill>
                  <pic:spPr>
                    <a:xfrm>
                      <a:off x="0" y="0"/>
                      <a:ext cx="5759450" cy="3839845"/>
                    </a:xfrm>
                    <a:prstGeom prst="rect">
                      <a:avLst/>
                    </a:prstGeom>
                    <a:ln>
                      <a:solidFill>
                        <a:schemeClr val="tx1"/>
                      </a:solidFill>
                    </a:ln>
                  </pic:spPr>
                </pic:pic>
              </a:graphicData>
            </a:graphic>
          </wp:inline>
        </w:drawing>
      </w:r>
    </w:p>
    <w:p w14:paraId="1ED60710" w14:textId="11358453" w:rsidR="00D155AA" w:rsidRPr="00655FC7" w:rsidRDefault="00D155AA" w:rsidP="00D155AA">
      <w:pPr>
        <w:pStyle w:val="Stylrysunek"/>
      </w:pPr>
      <w:bookmarkStart w:id="186" w:name="_Toc178846373"/>
      <w:r w:rsidRPr="00655FC7">
        <w:t xml:space="preserve">Rysunek </w:t>
      </w:r>
      <w:r w:rsidR="00EA4C85">
        <w:fldChar w:fldCharType="begin"/>
      </w:r>
      <w:r w:rsidR="00EA4C85">
        <w:instrText xml:space="preserve"> SEQ Rysunek \* ARABIC </w:instrText>
      </w:r>
      <w:r w:rsidR="00EA4C85">
        <w:fldChar w:fldCharType="separate"/>
      </w:r>
      <w:r w:rsidR="00A654D8">
        <w:rPr>
          <w:noProof/>
        </w:rPr>
        <w:t>31</w:t>
      </w:r>
      <w:r w:rsidR="00EA4C85">
        <w:rPr>
          <w:noProof/>
        </w:rPr>
        <w:fldChar w:fldCharType="end"/>
      </w:r>
      <w:r w:rsidRPr="00655FC7">
        <w:t>. Średnie temperatury powietrza oraz opady atmosferyczne.</w:t>
      </w:r>
      <w:bookmarkEnd w:id="186"/>
    </w:p>
    <w:p w14:paraId="13D9A916" w14:textId="77777777" w:rsidR="00D155AA" w:rsidRPr="00655FC7" w:rsidRDefault="00D155AA" w:rsidP="00D155AA">
      <w:pPr>
        <w:pStyle w:val="Cytat"/>
      </w:pPr>
      <w:r w:rsidRPr="00655FC7">
        <w:t>Źródło: meteoblue.com</w:t>
      </w:r>
    </w:p>
    <w:p w14:paraId="20387448" w14:textId="77777777" w:rsidR="00D155AA" w:rsidRPr="00655FC7" w:rsidRDefault="00D155AA" w:rsidP="00D155AA">
      <w:pPr>
        <w:tabs>
          <w:tab w:val="left" w:pos="3119"/>
        </w:tabs>
        <w:rPr>
          <w:rFonts w:cstheme="minorHAnsi"/>
          <w:color w:val="auto"/>
        </w:rPr>
      </w:pPr>
    </w:p>
    <w:p w14:paraId="30D1A5FB" w14:textId="77777777" w:rsidR="00D155AA" w:rsidRPr="00655FC7" w:rsidRDefault="00D155AA" w:rsidP="00D155AA">
      <w:pPr>
        <w:ind w:firstLine="0"/>
        <w:jc w:val="center"/>
        <w:rPr>
          <w:rFonts w:cstheme="minorHAnsi"/>
        </w:rPr>
      </w:pPr>
      <w:r w:rsidRPr="00655FC7">
        <w:rPr>
          <w:rFonts w:cstheme="minorHAnsi"/>
          <w:noProof/>
        </w:rPr>
        <w:lastRenderedPageBreak/>
        <w:drawing>
          <wp:inline distT="0" distB="0" distL="0" distR="0" wp14:anchorId="0C450182" wp14:editId="4E578ACD">
            <wp:extent cx="5759450" cy="6719570"/>
            <wp:effectExtent l="19050" t="19050" r="12700" b="24130"/>
            <wp:docPr id="166411721" name="Obraz 5" descr="Obraz zawierający zrzut ekranu, krąg, Wielobarwność,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11721" name="Obraz 5" descr="Obraz zawierający zrzut ekranu, krąg, Wielobarwność, diagram&#10;&#10;Opis wygenerowany automatycznie"/>
                    <pic:cNvPicPr/>
                  </pic:nvPicPr>
                  <pic:blipFill>
                    <a:blip r:embed="rId81">
                      <a:extLst>
                        <a:ext uri="{28A0092B-C50C-407E-A947-70E740481C1C}">
                          <a14:useLocalDpi xmlns:a14="http://schemas.microsoft.com/office/drawing/2010/main" val="0"/>
                        </a:ext>
                      </a:extLst>
                    </a:blip>
                    <a:stretch>
                      <a:fillRect/>
                    </a:stretch>
                  </pic:blipFill>
                  <pic:spPr>
                    <a:xfrm>
                      <a:off x="0" y="0"/>
                      <a:ext cx="5759450" cy="6719570"/>
                    </a:xfrm>
                    <a:prstGeom prst="rect">
                      <a:avLst/>
                    </a:prstGeom>
                    <a:ln>
                      <a:solidFill>
                        <a:schemeClr val="tx1"/>
                      </a:solidFill>
                    </a:ln>
                  </pic:spPr>
                </pic:pic>
              </a:graphicData>
            </a:graphic>
          </wp:inline>
        </w:drawing>
      </w:r>
    </w:p>
    <w:p w14:paraId="75D94E05" w14:textId="0E722A60" w:rsidR="00D155AA" w:rsidRPr="00655FC7" w:rsidRDefault="00D155AA" w:rsidP="00D155AA">
      <w:pPr>
        <w:pStyle w:val="Stylrysunek"/>
      </w:pPr>
      <w:bookmarkStart w:id="187" w:name="_Toc178846374"/>
      <w:r w:rsidRPr="00655FC7">
        <w:t xml:space="preserve">Rysunek </w:t>
      </w:r>
      <w:r w:rsidR="00EA4C85">
        <w:fldChar w:fldCharType="begin"/>
      </w:r>
      <w:r w:rsidR="00EA4C85">
        <w:instrText xml:space="preserve"> SEQ Rysunek \* ARABIC </w:instrText>
      </w:r>
      <w:r w:rsidR="00EA4C85">
        <w:fldChar w:fldCharType="separate"/>
      </w:r>
      <w:r w:rsidR="00A654D8">
        <w:rPr>
          <w:noProof/>
        </w:rPr>
        <w:t>32</w:t>
      </w:r>
      <w:r w:rsidR="00EA4C85">
        <w:rPr>
          <w:noProof/>
        </w:rPr>
        <w:fldChar w:fldCharType="end"/>
      </w:r>
      <w:r w:rsidRPr="00655FC7">
        <w:t>. Róża wiatrów.</w:t>
      </w:r>
      <w:bookmarkEnd w:id="187"/>
    </w:p>
    <w:p w14:paraId="2C930CBB" w14:textId="77777777" w:rsidR="00D155AA" w:rsidRPr="00655FC7" w:rsidRDefault="00D155AA" w:rsidP="00D155AA">
      <w:pPr>
        <w:pStyle w:val="Cytat"/>
      </w:pPr>
      <w:r w:rsidRPr="00655FC7">
        <w:t>Źródło: meteoblue.com</w:t>
      </w:r>
    </w:p>
    <w:p w14:paraId="205C1F9A" w14:textId="77777777" w:rsidR="00D155AA" w:rsidRPr="00655FC7" w:rsidRDefault="00D155AA" w:rsidP="00D155AA">
      <w:pPr>
        <w:tabs>
          <w:tab w:val="left" w:pos="3119"/>
        </w:tabs>
        <w:rPr>
          <w:rFonts w:cstheme="minorHAnsi"/>
          <w:color w:val="auto"/>
        </w:rPr>
      </w:pPr>
    </w:p>
    <w:p w14:paraId="09351D3B" w14:textId="77777777" w:rsidR="00D155AA" w:rsidRPr="00655FC7" w:rsidRDefault="00D155AA" w:rsidP="00D155AA">
      <w:pPr>
        <w:tabs>
          <w:tab w:val="left" w:pos="3119"/>
        </w:tabs>
        <w:rPr>
          <w:rFonts w:cstheme="minorHAnsi"/>
          <w:color w:val="auto"/>
        </w:rPr>
      </w:pPr>
      <w:r w:rsidRPr="00655FC7">
        <w:rPr>
          <w:rFonts w:cstheme="minorHAnsi"/>
          <w:color w:val="auto"/>
        </w:rPr>
        <w:t>Róża wiatrów dla Miasta Tarnogród pokazuje liczbę godzin w ciągu roku, gdy wiatr wieje we wskazanym kierunku. Jak można zaobserwować najczęściej wiatr pojawia się z kierunku zachodniego (W) oraz zachodniego południowego zachodu (WSW). Wiatr o najwyższych prędkościach, rzędu powyżej 50 km/h pojawia się stosunkowo rzadko, raptem przez kilka godzin w ciągu roku. Najczęściej wieje wiatr o prędkości nieprzekraczającej 28 km/h.</w:t>
      </w:r>
    </w:p>
    <w:p w14:paraId="55AF2272" w14:textId="77777777" w:rsidR="00D155AA" w:rsidRPr="00655FC7" w:rsidRDefault="00D155AA" w:rsidP="00D155AA">
      <w:pPr>
        <w:tabs>
          <w:tab w:val="left" w:pos="3119"/>
        </w:tabs>
        <w:rPr>
          <w:rFonts w:cstheme="minorHAnsi"/>
          <w:color w:val="auto"/>
        </w:rPr>
      </w:pPr>
    </w:p>
    <w:p w14:paraId="3AC94A3A" w14:textId="77777777" w:rsidR="00D155AA" w:rsidRPr="00655FC7" w:rsidRDefault="00D155AA" w:rsidP="00B62479">
      <w:pPr>
        <w:pStyle w:val="Nagwek2"/>
      </w:pPr>
      <w:bookmarkStart w:id="188" w:name="_Toc177732063"/>
      <w:bookmarkEnd w:id="135"/>
      <w:bookmarkEnd w:id="136"/>
      <w:bookmarkEnd w:id="177"/>
      <w:bookmarkEnd w:id="184"/>
      <w:r w:rsidRPr="00655FC7">
        <w:lastRenderedPageBreak/>
        <w:t>Główne zagrożenia wynikające ze zmian klimatu</w:t>
      </w:r>
      <w:bookmarkEnd w:id="188"/>
    </w:p>
    <w:p w14:paraId="5731729A" w14:textId="77777777" w:rsidR="00D155AA" w:rsidRPr="00655FC7" w:rsidRDefault="00D155AA" w:rsidP="00D155AA">
      <w:pPr>
        <w:tabs>
          <w:tab w:val="left" w:pos="3119"/>
        </w:tabs>
        <w:rPr>
          <w:rFonts w:cstheme="minorHAnsi"/>
          <w:color w:val="auto"/>
        </w:rPr>
      </w:pPr>
      <w:r w:rsidRPr="00655FC7">
        <w:rPr>
          <w:rFonts w:cstheme="minorHAnsi"/>
          <w:color w:val="auto"/>
        </w:rPr>
        <w:t>Ocenę podatności miasta na zmiany klimatu oraz jego potrzeb adaptacyjnych przeprowadza się w kilkuetapowym procesie - zidentyfikowanie zjawisk klimatycznych, które mogą negatywnie wpływać na życie w mieście, rozpoczyna etap oceny podatności miasta. W tym celu przeanalizowano dostępne dane z wielolecia oraz występowanie ekstremalnych zjawisk pogodowych.</w:t>
      </w:r>
    </w:p>
    <w:p w14:paraId="1F066E7D" w14:textId="77777777" w:rsidR="00D155AA" w:rsidRPr="00655FC7" w:rsidRDefault="00D155AA" w:rsidP="00D155AA">
      <w:pPr>
        <w:tabs>
          <w:tab w:val="left" w:pos="3119"/>
        </w:tabs>
        <w:rPr>
          <w:rFonts w:cstheme="minorHAnsi"/>
          <w:color w:val="auto"/>
        </w:rPr>
      </w:pPr>
      <w:r w:rsidRPr="00655FC7">
        <w:rPr>
          <w:rFonts w:cstheme="minorHAnsi"/>
          <w:color w:val="auto"/>
        </w:rPr>
        <w:t>Szczegółowa analiza historycznych danych klimatycznych i hydrologicznych z wielolecia oraz wyników scenariuszy klimatycznych umożliwia ocenę ekspozycji miasta na zmiany klimatu przy uwzględnieniu wybranych wskaźników charakteryzujących zjawiska klimatyczne. Pozwala to wskazać najbardziej wrażliwe sektory miasta, przy uwzględnieniu także jego lokalnej charakterystyki (warunki życia mieszkańców, infrastruktura miejska, struktura przestrzenna itp.)</w:t>
      </w:r>
    </w:p>
    <w:p w14:paraId="54C98481" w14:textId="77777777" w:rsidR="00D155AA" w:rsidRPr="00655FC7" w:rsidRDefault="00D155AA" w:rsidP="00D155AA"/>
    <w:p w14:paraId="51ED338F" w14:textId="77777777" w:rsidR="00D155AA" w:rsidRPr="00655FC7" w:rsidRDefault="00D155AA" w:rsidP="00D155AA">
      <w:pPr>
        <w:pStyle w:val="Nagwek3"/>
      </w:pPr>
      <w:bookmarkStart w:id="189" w:name="_Toc45188221"/>
      <w:bookmarkStart w:id="190" w:name="_Toc177732064"/>
      <w:r w:rsidRPr="00655FC7">
        <w:t>Temperatury i opady</w:t>
      </w:r>
      <w:bookmarkEnd w:id="189"/>
      <w:bookmarkEnd w:id="190"/>
    </w:p>
    <w:p w14:paraId="13DFE7F8" w14:textId="0BB9F201" w:rsidR="00D155AA" w:rsidRPr="00655FC7" w:rsidRDefault="00D155AA" w:rsidP="00D155AA">
      <w:pPr>
        <w:tabs>
          <w:tab w:val="left" w:pos="3119"/>
        </w:tabs>
        <w:rPr>
          <w:rFonts w:cstheme="minorHAnsi"/>
          <w:color w:val="auto"/>
        </w:rPr>
      </w:pPr>
      <w:r w:rsidRPr="00655FC7">
        <w:rPr>
          <w:rFonts w:cstheme="minorHAnsi"/>
          <w:color w:val="auto"/>
        </w:rPr>
        <w:t>Na poniższym rysunku zaprezentowano wykres średniej temperatury powietrza dla ostatnich 12</w:t>
      </w:r>
      <w:r w:rsidR="004F5201" w:rsidRPr="00655FC7">
        <w:rPr>
          <w:rFonts w:cstheme="minorHAnsi"/>
          <w:color w:val="auto"/>
        </w:rPr>
        <w:t> </w:t>
      </w:r>
      <w:r w:rsidRPr="00655FC7">
        <w:rPr>
          <w:rFonts w:cstheme="minorHAnsi"/>
          <w:color w:val="auto"/>
        </w:rPr>
        <w:t xml:space="preserve">miesięcy (luty 2023 – marzec 2024) w porównaniu do 30-letniego klimatu. </w:t>
      </w:r>
    </w:p>
    <w:p w14:paraId="0FD2C19B" w14:textId="77777777" w:rsidR="00D155AA" w:rsidRPr="00655FC7" w:rsidRDefault="00D155AA" w:rsidP="00D155AA">
      <w:pPr>
        <w:tabs>
          <w:tab w:val="left" w:pos="3119"/>
        </w:tabs>
        <w:rPr>
          <w:rFonts w:cstheme="minorHAnsi"/>
          <w:color w:val="auto"/>
        </w:rPr>
      </w:pPr>
    </w:p>
    <w:p w14:paraId="235A06BE" w14:textId="77777777" w:rsidR="00D155AA" w:rsidRPr="00655FC7" w:rsidRDefault="00D155AA" w:rsidP="00D155AA">
      <w:pPr>
        <w:tabs>
          <w:tab w:val="left" w:pos="3119"/>
        </w:tabs>
        <w:spacing w:line="240" w:lineRule="auto"/>
        <w:ind w:firstLine="0"/>
        <w:jc w:val="center"/>
        <w:rPr>
          <w:rFonts w:eastAsiaTheme="majorEastAsia" w:cstheme="minorHAnsi"/>
          <w:color w:val="auto"/>
          <w:sz w:val="20"/>
          <w:szCs w:val="20"/>
          <w:lang w:eastAsia="pl-PL"/>
        </w:rPr>
      </w:pPr>
      <w:r w:rsidRPr="00655FC7">
        <w:rPr>
          <w:rFonts w:eastAsiaTheme="majorEastAsia" w:cstheme="minorHAnsi"/>
          <w:noProof/>
          <w:color w:val="auto"/>
          <w:sz w:val="20"/>
          <w:szCs w:val="20"/>
          <w:lang w:eastAsia="pl-PL"/>
        </w:rPr>
        <w:drawing>
          <wp:inline distT="0" distB="0" distL="0" distR="0" wp14:anchorId="0F74CB9E" wp14:editId="25A28A69">
            <wp:extent cx="5759450" cy="2843530"/>
            <wp:effectExtent l="19050" t="19050" r="12700" b="13970"/>
            <wp:docPr id="158651316" name="Obraz 1" descr="Obraz zawierający tekst, Wykre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51316" name="Obraz 1" descr="Obraz zawierający tekst, Wykres, diagram&#10;&#10;Opis wygenerowany automatyczni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59450" cy="2843530"/>
                    </a:xfrm>
                    <a:prstGeom prst="rect">
                      <a:avLst/>
                    </a:prstGeom>
                    <a:ln>
                      <a:solidFill>
                        <a:schemeClr val="tx1"/>
                      </a:solidFill>
                    </a:ln>
                  </pic:spPr>
                </pic:pic>
              </a:graphicData>
            </a:graphic>
          </wp:inline>
        </w:drawing>
      </w:r>
    </w:p>
    <w:p w14:paraId="4FC159AD" w14:textId="42E24AE9" w:rsidR="00D155AA" w:rsidRPr="00655FC7" w:rsidRDefault="00D155AA" w:rsidP="00D155AA">
      <w:pPr>
        <w:pStyle w:val="Stylrysunek"/>
      </w:pPr>
      <w:bookmarkStart w:id="191" w:name="_Toc178846375"/>
      <w:r w:rsidRPr="00655FC7">
        <w:t xml:space="preserve">Rysunek </w:t>
      </w:r>
      <w:r w:rsidR="00EA4C85">
        <w:fldChar w:fldCharType="begin"/>
      </w:r>
      <w:r w:rsidR="00EA4C85">
        <w:instrText xml:space="preserve"> SEQ Rysunek \* ARABIC </w:instrText>
      </w:r>
      <w:r w:rsidR="00EA4C85">
        <w:fldChar w:fldCharType="separate"/>
      </w:r>
      <w:r w:rsidR="00A654D8">
        <w:rPr>
          <w:noProof/>
        </w:rPr>
        <w:t>33</w:t>
      </w:r>
      <w:r w:rsidR="00EA4C85">
        <w:rPr>
          <w:noProof/>
        </w:rPr>
        <w:fldChar w:fldCharType="end"/>
      </w:r>
      <w:r w:rsidRPr="00655FC7">
        <w:t>. Porównanie klimatyczne: miesięczna średnia temperatura powietrza. Ostatnie 12 miesięcy</w:t>
      </w:r>
      <w:r w:rsidRPr="00655FC7">
        <w:br/>
        <w:t>(kwiecień 2023 – marzec 2024) – czarna linia oraz 30-letni klimat dla Miasta Tarnogród.</w:t>
      </w:r>
      <w:bookmarkEnd w:id="191"/>
      <w:r w:rsidRPr="00655FC7">
        <w:t xml:space="preserve"> </w:t>
      </w:r>
    </w:p>
    <w:p w14:paraId="479A1398" w14:textId="77777777" w:rsidR="00D155AA" w:rsidRPr="00655FC7" w:rsidRDefault="00D155AA" w:rsidP="00D155AA">
      <w:pPr>
        <w:pStyle w:val="Cytat"/>
      </w:pPr>
      <w:r w:rsidRPr="00655FC7">
        <w:t>Źródło: meteoblue.com</w:t>
      </w:r>
    </w:p>
    <w:p w14:paraId="7CEE8E93" w14:textId="77777777" w:rsidR="00D155AA" w:rsidRPr="00655FC7" w:rsidRDefault="00D155AA" w:rsidP="00D155AA">
      <w:pPr>
        <w:tabs>
          <w:tab w:val="left" w:pos="3119"/>
        </w:tabs>
        <w:spacing w:line="240" w:lineRule="auto"/>
        <w:ind w:firstLine="0"/>
        <w:jc w:val="center"/>
        <w:rPr>
          <w:rFonts w:cstheme="minorHAnsi"/>
          <w:color w:val="auto"/>
        </w:rPr>
      </w:pPr>
    </w:p>
    <w:p w14:paraId="66E08DDE" w14:textId="77777777" w:rsidR="00D155AA" w:rsidRPr="00655FC7" w:rsidRDefault="00D155AA" w:rsidP="00D155AA">
      <w:pPr>
        <w:tabs>
          <w:tab w:val="left" w:pos="3119"/>
        </w:tabs>
        <w:rPr>
          <w:rFonts w:cstheme="minorHAnsi"/>
          <w:color w:val="auto"/>
        </w:rPr>
      </w:pPr>
      <w:r w:rsidRPr="00655FC7">
        <w:rPr>
          <w:rFonts w:cstheme="minorHAnsi"/>
          <w:color w:val="auto"/>
        </w:rPr>
        <w:t>Z powyższego wykresu wynika, iż średnia temperatura w ostatnim roku w niemal każdym miesiącu była wyższa niż średnia miesięczna temperatura z 30-lecia. Wyjątkiem jest tutaj maj 2023 r., kiedy temperatura ta była niższa. Natomiast na szczególną uwagę zasługują wrzesień-październik 2023 r. oraz luty 2024 r., gdy średnia temperatura miesięczna była wyższa niż maksymalna średnia miesięczna temperatura. Taki trend wskazuje na ocieplanie się klimatu.</w:t>
      </w:r>
    </w:p>
    <w:p w14:paraId="4FAF7037" w14:textId="77777777" w:rsidR="00D155AA" w:rsidRPr="00655FC7" w:rsidRDefault="00D155AA" w:rsidP="00D155AA">
      <w:pPr>
        <w:tabs>
          <w:tab w:val="left" w:pos="3119"/>
        </w:tabs>
        <w:rPr>
          <w:rFonts w:cstheme="minorHAnsi"/>
          <w:color w:val="auto"/>
        </w:rPr>
      </w:pPr>
    </w:p>
    <w:p w14:paraId="1870BD68" w14:textId="77777777" w:rsidR="00D155AA" w:rsidRPr="00655FC7" w:rsidRDefault="00D155AA" w:rsidP="00D155AA">
      <w:pPr>
        <w:tabs>
          <w:tab w:val="left" w:pos="3119"/>
        </w:tabs>
        <w:rPr>
          <w:rFonts w:cstheme="minorHAnsi"/>
          <w:color w:val="auto"/>
        </w:rPr>
      </w:pPr>
      <w:r w:rsidRPr="00655FC7">
        <w:rPr>
          <w:rFonts w:cstheme="minorHAnsi"/>
          <w:color w:val="auto"/>
        </w:rPr>
        <w:t>Na poniższym rysunku zaprezentowano również wykres miesięcznych opadów dla ostatnich 12 miesięcy (luty 2023 r. – marzec 2024 r.) w porównaniu do 30-letniego klimatu.</w:t>
      </w:r>
    </w:p>
    <w:p w14:paraId="381F06F0" w14:textId="77777777" w:rsidR="00D155AA" w:rsidRPr="00655FC7" w:rsidRDefault="00D155AA" w:rsidP="00D155AA">
      <w:pPr>
        <w:tabs>
          <w:tab w:val="left" w:pos="3119"/>
        </w:tabs>
        <w:rPr>
          <w:rFonts w:cstheme="minorHAnsi"/>
          <w:color w:val="auto"/>
        </w:rPr>
      </w:pPr>
    </w:p>
    <w:p w14:paraId="1959FBF5" w14:textId="77777777" w:rsidR="00D155AA" w:rsidRPr="00655FC7" w:rsidRDefault="00D155AA" w:rsidP="00D155AA">
      <w:pPr>
        <w:tabs>
          <w:tab w:val="left" w:pos="3119"/>
        </w:tabs>
        <w:spacing w:line="240" w:lineRule="auto"/>
        <w:ind w:firstLine="0"/>
        <w:jc w:val="center"/>
        <w:rPr>
          <w:rFonts w:eastAsiaTheme="minorEastAsia" w:cstheme="minorHAnsi"/>
          <w:b/>
          <w:color w:val="auto"/>
          <w:sz w:val="20"/>
          <w:szCs w:val="20"/>
          <w:lang w:eastAsia="pl-PL"/>
        </w:rPr>
      </w:pPr>
      <w:r w:rsidRPr="00655FC7">
        <w:rPr>
          <w:rFonts w:eastAsiaTheme="minorEastAsia" w:cstheme="minorHAnsi"/>
          <w:b/>
          <w:noProof/>
          <w:color w:val="auto"/>
          <w:sz w:val="20"/>
          <w:szCs w:val="20"/>
          <w:lang w:eastAsia="pl-PL"/>
        </w:rPr>
        <w:lastRenderedPageBreak/>
        <w:drawing>
          <wp:inline distT="0" distB="0" distL="0" distR="0" wp14:anchorId="30CFD3AF" wp14:editId="5B675130">
            <wp:extent cx="5759450" cy="2169160"/>
            <wp:effectExtent l="19050" t="19050" r="12700" b="21590"/>
            <wp:docPr id="1938737728" name="Obraz 2" descr="Obraz zawierający tekst, zrzut ekranu, diagram, li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737728" name="Obraz 2" descr="Obraz zawierający tekst, zrzut ekranu, diagram, linia&#10;&#10;Opis wygenerowany automatyczni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59450" cy="2169160"/>
                    </a:xfrm>
                    <a:prstGeom prst="rect">
                      <a:avLst/>
                    </a:prstGeom>
                    <a:ln>
                      <a:solidFill>
                        <a:schemeClr val="tx1"/>
                      </a:solidFill>
                    </a:ln>
                  </pic:spPr>
                </pic:pic>
              </a:graphicData>
            </a:graphic>
          </wp:inline>
        </w:drawing>
      </w:r>
    </w:p>
    <w:p w14:paraId="2C23A685" w14:textId="1D155AF6" w:rsidR="00D155AA" w:rsidRPr="00655FC7" w:rsidRDefault="00D155AA" w:rsidP="00D155AA">
      <w:pPr>
        <w:pStyle w:val="Stylrysunek"/>
      </w:pPr>
      <w:bookmarkStart w:id="192" w:name="_Toc178846376"/>
      <w:r w:rsidRPr="00655FC7">
        <w:t xml:space="preserve">Rysunek </w:t>
      </w:r>
      <w:r w:rsidR="00EA4C85">
        <w:fldChar w:fldCharType="begin"/>
      </w:r>
      <w:r w:rsidR="00EA4C85">
        <w:instrText xml:space="preserve"> SEQ Rysunek \* ARABIC </w:instrText>
      </w:r>
      <w:r w:rsidR="00EA4C85">
        <w:fldChar w:fldCharType="separate"/>
      </w:r>
      <w:r w:rsidR="00A654D8">
        <w:rPr>
          <w:noProof/>
        </w:rPr>
        <w:t>34</w:t>
      </w:r>
      <w:r w:rsidR="00EA4C85">
        <w:rPr>
          <w:noProof/>
        </w:rPr>
        <w:fldChar w:fldCharType="end"/>
      </w:r>
      <w:r w:rsidRPr="00655FC7">
        <w:t>. Porównanie klimatyczne: miesięczne opady. Ostatnie 12 miesięcy (luty 2023 – styczeń 2024) – czarna linia oraz 30-letni klimat dla Miasta Tarnogród.</w:t>
      </w:r>
      <w:bookmarkEnd w:id="192"/>
    </w:p>
    <w:p w14:paraId="6EB7FEDA" w14:textId="77777777" w:rsidR="00D155AA" w:rsidRPr="00655FC7" w:rsidRDefault="00D155AA" w:rsidP="00D155AA">
      <w:pPr>
        <w:pStyle w:val="Cytat"/>
      </w:pPr>
      <w:r w:rsidRPr="00655FC7">
        <w:t>Źródło: meteoblue.com</w:t>
      </w:r>
    </w:p>
    <w:p w14:paraId="23B8D66D" w14:textId="77777777" w:rsidR="00D155AA" w:rsidRPr="00655FC7" w:rsidRDefault="00D155AA" w:rsidP="00D155AA">
      <w:pPr>
        <w:ind w:firstLine="0"/>
        <w:jc w:val="left"/>
        <w:rPr>
          <w:rFonts w:cstheme="minorHAnsi"/>
          <w:color w:val="auto"/>
        </w:rPr>
      </w:pPr>
    </w:p>
    <w:p w14:paraId="0506D65D" w14:textId="77777777" w:rsidR="00D155AA" w:rsidRPr="00655FC7" w:rsidRDefault="00D155AA" w:rsidP="00D155AA">
      <w:r w:rsidRPr="00655FC7">
        <w:t>W przypadku wysokości miesięcznych opadów w ostatnim roku w porównaniu do średniej 30-letniej, brak jest zauważalnego trendu. W niektórych miesiącach suma opadów mieściła się w średniej z ostatnich 30 lat, w innych znajdowała się w górnej granicy średnich opadów maksymalnych. Wyjątek stanowi styczeń 2024, który był wyjątkowo obfity w opady, przekraczając maksymalne średnie opady z 30-lecia. Wykres wskazuje, iż zmienia się charakter opadów – mamy do czynienia zarówno z okresami intensywnych opadów jak i okresami ubogimi w opady, co przyczyni się do intensyfikacji zjawisk suszy oraz powodzi.</w:t>
      </w:r>
    </w:p>
    <w:p w14:paraId="725A5B30" w14:textId="77777777" w:rsidR="00D155AA" w:rsidRPr="00655FC7" w:rsidRDefault="00D155AA" w:rsidP="0006128B">
      <w:r w:rsidRPr="00655FC7">
        <w:t>Trend zmian zauważalny jest szczególnie, gdy bezpośrednio porównane zostaną roczne zmiany temperatury i opadów z ostatnich kilkudziesięciu lat. Takie wykresy zaprezentowano poniżej.</w:t>
      </w:r>
    </w:p>
    <w:p w14:paraId="0F69437E" w14:textId="77777777" w:rsidR="00D155AA" w:rsidRPr="00655FC7" w:rsidRDefault="00D155AA" w:rsidP="00D155AA">
      <w:pPr>
        <w:ind w:firstLine="0"/>
      </w:pPr>
    </w:p>
    <w:p w14:paraId="544EE069" w14:textId="77777777" w:rsidR="00D155AA" w:rsidRPr="00655FC7" w:rsidRDefault="00D155AA" w:rsidP="00D155AA">
      <w:pPr>
        <w:jc w:val="left"/>
        <w:rPr>
          <w:rFonts w:cstheme="minorHAnsi"/>
          <w:color w:val="auto"/>
        </w:rPr>
        <w:sectPr w:rsidR="00D155AA" w:rsidRPr="00655FC7" w:rsidSect="006A4AE9">
          <w:headerReference w:type="even" r:id="rId84"/>
          <w:headerReference w:type="default" r:id="rId85"/>
          <w:pgSz w:w="11906" w:h="16838"/>
          <w:pgMar w:top="1418" w:right="1418" w:bottom="1418" w:left="1418" w:header="709" w:footer="709" w:gutter="0"/>
          <w:cols w:space="708"/>
          <w:docGrid w:linePitch="360"/>
        </w:sectPr>
      </w:pPr>
    </w:p>
    <w:p w14:paraId="7103F95A" w14:textId="77777777" w:rsidR="00D155AA" w:rsidRPr="00655FC7" w:rsidRDefault="00D155AA" w:rsidP="00D155AA">
      <w:pPr>
        <w:ind w:firstLine="0"/>
        <w:jc w:val="center"/>
        <w:rPr>
          <w:rFonts w:cstheme="minorHAnsi"/>
          <w:color w:val="auto"/>
        </w:rPr>
      </w:pPr>
      <w:r w:rsidRPr="00655FC7">
        <w:rPr>
          <w:rFonts w:cstheme="minorHAnsi"/>
          <w:noProof/>
          <w:color w:val="auto"/>
        </w:rPr>
        <w:lastRenderedPageBreak/>
        <w:drawing>
          <wp:inline distT="0" distB="0" distL="0" distR="0" wp14:anchorId="728D57C4" wp14:editId="336CEAF9">
            <wp:extent cx="8460000" cy="5076000"/>
            <wp:effectExtent l="19050" t="19050" r="17780" b="10795"/>
            <wp:docPr id="2023755422" name="Obraz 5" descr="Obraz zawierający tekst, linia, Wykres,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755422" name="Obraz 5" descr="Obraz zawierający tekst, linia, Wykres, Czcionka&#10;&#10;Opis wygenerowany automatycznie"/>
                    <pic:cNvPicPr/>
                  </pic:nvPicPr>
                  <pic:blipFill>
                    <a:blip r:embed="rId86">
                      <a:extLst>
                        <a:ext uri="{28A0092B-C50C-407E-A947-70E740481C1C}">
                          <a14:useLocalDpi xmlns:a14="http://schemas.microsoft.com/office/drawing/2010/main" val="0"/>
                        </a:ext>
                      </a:extLst>
                    </a:blip>
                    <a:stretch>
                      <a:fillRect/>
                    </a:stretch>
                  </pic:blipFill>
                  <pic:spPr>
                    <a:xfrm>
                      <a:off x="0" y="0"/>
                      <a:ext cx="8460000" cy="5076000"/>
                    </a:xfrm>
                    <a:prstGeom prst="rect">
                      <a:avLst/>
                    </a:prstGeom>
                    <a:ln>
                      <a:solidFill>
                        <a:schemeClr val="tx1"/>
                      </a:solidFill>
                    </a:ln>
                  </pic:spPr>
                </pic:pic>
              </a:graphicData>
            </a:graphic>
          </wp:inline>
        </w:drawing>
      </w:r>
    </w:p>
    <w:p w14:paraId="4081F066" w14:textId="7780BE85" w:rsidR="00D155AA" w:rsidRPr="00655FC7" w:rsidRDefault="00D155AA" w:rsidP="00D155AA">
      <w:pPr>
        <w:pStyle w:val="Stylrysunek"/>
      </w:pPr>
      <w:bookmarkStart w:id="193" w:name="_Toc178846377"/>
      <w:r w:rsidRPr="00655FC7">
        <w:t xml:space="preserve">Rysunek </w:t>
      </w:r>
      <w:r w:rsidR="00EA4C85">
        <w:fldChar w:fldCharType="begin"/>
      </w:r>
      <w:r w:rsidR="00EA4C85">
        <w:instrText xml:space="preserve"> SEQ Rysunek \* ARABIC </w:instrText>
      </w:r>
      <w:r w:rsidR="00EA4C85">
        <w:fldChar w:fldCharType="separate"/>
      </w:r>
      <w:r w:rsidR="00A654D8">
        <w:rPr>
          <w:noProof/>
        </w:rPr>
        <w:t>35</w:t>
      </w:r>
      <w:r w:rsidR="00EA4C85">
        <w:rPr>
          <w:noProof/>
        </w:rPr>
        <w:fldChar w:fldCharType="end"/>
      </w:r>
      <w:r w:rsidRPr="00655FC7">
        <w:t>. Roczna zmiana temperatury.</w:t>
      </w:r>
      <w:bookmarkEnd w:id="193"/>
    </w:p>
    <w:p w14:paraId="53F058E3" w14:textId="77777777" w:rsidR="00D155AA" w:rsidRPr="00655FC7" w:rsidRDefault="00D155AA" w:rsidP="00D155AA">
      <w:pPr>
        <w:pStyle w:val="Cytat"/>
      </w:pPr>
      <w:r w:rsidRPr="00655FC7">
        <w:t>Źródło: meteoblue.com</w:t>
      </w:r>
    </w:p>
    <w:p w14:paraId="468EE284" w14:textId="77777777" w:rsidR="00D155AA" w:rsidRPr="00655FC7" w:rsidRDefault="00D155AA" w:rsidP="00D155AA">
      <w:pPr>
        <w:tabs>
          <w:tab w:val="left" w:pos="3119"/>
        </w:tabs>
        <w:spacing w:line="240" w:lineRule="auto"/>
        <w:ind w:firstLine="0"/>
        <w:jc w:val="center"/>
        <w:rPr>
          <w:rFonts w:cstheme="minorHAnsi"/>
          <w:color w:val="auto"/>
          <w:sz w:val="20"/>
          <w:szCs w:val="20"/>
        </w:rPr>
      </w:pPr>
      <w:r w:rsidRPr="00655FC7">
        <w:rPr>
          <w:rFonts w:cstheme="minorHAnsi"/>
          <w:noProof/>
          <w:color w:val="auto"/>
          <w:sz w:val="20"/>
          <w:szCs w:val="20"/>
        </w:rPr>
        <w:lastRenderedPageBreak/>
        <w:drawing>
          <wp:inline distT="0" distB="0" distL="0" distR="0" wp14:anchorId="747F142B" wp14:editId="4A359AED">
            <wp:extent cx="8460000" cy="5076000"/>
            <wp:effectExtent l="19050" t="19050" r="17780" b="10795"/>
            <wp:docPr id="2119562114" name="Obraz 6" descr="Obraz zawierający tekst, linia, Wykres,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562114" name="Obraz 6" descr="Obraz zawierający tekst, linia, Wykres, diagram&#10;&#10;Opis wygenerowany automatycznie"/>
                    <pic:cNvPicPr/>
                  </pic:nvPicPr>
                  <pic:blipFill>
                    <a:blip r:embed="rId87">
                      <a:extLst>
                        <a:ext uri="{28A0092B-C50C-407E-A947-70E740481C1C}">
                          <a14:useLocalDpi xmlns:a14="http://schemas.microsoft.com/office/drawing/2010/main" val="0"/>
                        </a:ext>
                      </a:extLst>
                    </a:blip>
                    <a:stretch>
                      <a:fillRect/>
                    </a:stretch>
                  </pic:blipFill>
                  <pic:spPr>
                    <a:xfrm>
                      <a:off x="0" y="0"/>
                      <a:ext cx="8460000" cy="5076000"/>
                    </a:xfrm>
                    <a:prstGeom prst="rect">
                      <a:avLst/>
                    </a:prstGeom>
                    <a:ln>
                      <a:solidFill>
                        <a:schemeClr val="tx1"/>
                      </a:solidFill>
                    </a:ln>
                  </pic:spPr>
                </pic:pic>
              </a:graphicData>
            </a:graphic>
          </wp:inline>
        </w:drawing>
      </w:r>
    </w:p>
    <w:p w14:paraId="7294CAED" w14:textId="11D443D3" w:rsidR="00D155AA" w:rsidRPr="00655FC7" w:rsidRDefault="00D155AA" w:rsidP="00D155AA">
      <w:pPr>
        <w:pStyle w:val="Stylrysunek"/>
      </w:pPr>
      <w:bookmarkStart w:id="194" w:name="_Toc178846378"/>
      <w:r w:rsidRPr="00655FC7">
        <w:t xml:space="preserve">Rysunek </w:t>
      </w:r>
      <w:r w:rsidR="00EA4C85">
        <w:fldChar w:fldCharType="begin"/>
      </w:r>
      <w:r w:rsidR="00EA4C85">
        <w:instrText xml:space="preserve"> SEQ Rysunek \* ARABIC </w:instrText>
      </w:r>
      <w:r w:rsidR="00EA4C85">
        <w:fldChar w:fldCharType="separate"/>
      </w:r>
      <w:r w:rsidR="00A654D8">
        <w:rPr>
          <w:noProof/>
        </w:rPr>
        <w:t>36</w:t>
      </w:r>
      <w:r w:rsidR="00EA4C85">
        <w:rPr>
          <w:noProof/>
        </w:rPr>
        <w:fldChar w:fldCharType="end"/>
      </w:r>
      <w:r w:rsidRPr="00655FC7">
        <w:t>. Roczna zmiana opadów.</w:t>
      </w:r>
      <w:bookmarkEnd w:id="194"/>
    </w:p>
    <w:p w14:paraId="5139D24B" w14:textId="77777777" w:rsidR="00D155AA" w:rsidRPr="00655FC7" w:rsidRDefault="00D155AA" w:rsidP="00D155AA">
      <w:pPr>
        <w:pStyle w:val="Cytat"/>
      </w:pPr>
      <w:r w:rsidRPr="00655FC7">
        <w:t>Źródło: meteoblue.com</w:t>
      </w:r>
    </w:p>
    <w:p w14:paraId="32456C2D" w14:textId="77777777" w:rsidR="00D155AA" w:rsidRPr="00655FC7" w:rsidRDefault="00D155AA" w:rsidP="00D155AA">
      <w:pPr>
        <w:ind w:firstLine="0"/>
        <w:jc w:val="center"/>
        <w:rPr>
          <w:rFonts w:cstheme="minorHAnsi"/>
          <w:color w:val="auto"/>
        </w:rPr>
      </w:pPr>
      <w:r w:rsidRPr="00655FC7">
        <w:rPr>
          <w:rFonts w:cstheme="minorHAnsi"/>
          <w:noProof/>
          <w:color w:val="auto"/>
        </w:rPr>
        <w:lastRenderedPageBreak/>
        <w:drawing>
          <wp:inline distT="0" distB="0" distL="0" distR="0" wp14:anchorId="05853FC2" wp14:editId="63EB97CB">
            <wp:extent cx="8460000" cy="5076000"/>
            <wp:effectExtent l="19050" t="19050" r="17780" b="10795"/>
            <wp:docPr id="1640966732" name="Obraz 7" descr="Obraz zawierający tekst, Wykres, diagram, li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966732" name="Obraz 7" descr="Obraz zawierający tekst, Wykres, diagram, linia&#10;&#10;Opis wygenerowany automatycznie"/>
                    <pic:cNvPicPr/>
                  </pic:nvPicPr>
                  <pic:blipFill>
                    <a:blip r:embed="rId88">
                      <a:extLst>
                        <a:ext uri="{28A0092B-C50C-407E-A947-70E740481C1C}">
                          <a14:useLocalDpi xmlns:a14="http://schemas.microsoft.com/office/drawing/2010/main" val="0"/>
                        </a:ext>
                      </a:extLst>
                    </a:blip>
                    <a:stretch>
                      <a:fillRect/>
                    </a:stretch>
                  </pic:blipFill>
                  <pic:spPr>
                    <a:xfrm>
                      <a:off x="0" y="0"/>
                      <a:ext cx="8460000" cy="5076000"/>
                    </a:xfrm>
                    <a:prstGeom prst="rect">
                      <a:avLst/>
                    </a:prstGeom>
                    <a:ln>
                      <a:solidFill>
                        <a:schemeClr val="tx1"/>
                      </a:solidFill>
                    </a:ln>
                  </pic:spPr>
                </pic:pic>
              </a:graphicData>
            </a:graphic>
          </wp:inline>
        </w:drawing>
      </w:r>
    </w:p>
    <w:p w14:paraId="2C53C786" w14:textId="0402FF2B" w:rsidR="00D155AA" w:rsidRPr="00655FC7" w:rsidRDefault="00D155AA" w:rsidP="00D155AA">
      <w:pPr>
        <w:pStyle w:val="Stylrysunek"/>
      </w:pPr>
      <w:bookmarkStart w:id="195" w:name="_Toc178846379"/>
      <w:r w:rsidRPr="00655FC7">
        <w:t xml:space="preserve">Rysunek </w:t>
      </w:r>
      <w:r w:rsidR="00EA4C85">
        <w:fldChar w:fldCharType="begin"/>
      </w:r>
      <w:r w:rsidR="00EA4C85">
        <w:instrText xml:space="preserve"> SEQ Rysunek \* ARABIC </w:instrText>
      </w:r>
      <w:r w:rsidR="00EA4C85">
        <w:fldChar w:fldCharType="separate"/>
      </w:r>
      <w:r w:rsidR="00A654D8">
        <w:rPr>
          <w:noProof/>
        </w:rPr>
        <w:t>37</w:t>
      </w:r>
      <w:r w:rsidR="00EA4C85">
        <w:rPr>
          <w:noProof/>
        </w:rPr>
        <w:fldChar w:fldCharType="end"/>
      </w:r>
      <w:r w:rsidRPr="00655FC7">
        <w:t>. Miesięczne anomalie temperatury i opadów.</w:t>
      </w:r>
      <w:bookmarkEnd w:id="195"/>
    </w:p>
    <w:p w14:paraId="251A3CF8" w14:textId="77777777" w:rsidR="00D155AA" w:rsidRPr="00655FC7" w:rsidRDefault="00D155AA" w:rsidP="00D155AA">
      <w:pPr>
        <w:pStyle w:val="Cytat"/>
      </w:pPr>
      <w:r w:rsidRPr="00655FC7">
        <w:t>Źródło: meteoblue.com</w:t>
      </w:r>
    </w:p>
    <w:p w14:paraId="7AA1AF09" w14:textId="77777777" w:rsidR="00D155AA" w:rsidRPr="00655FC7" w:rsidRDefault="00D155AA" w:rsidP="00D155AA">
      <w:pPr>
        <w:ind w:firstLine="0"/>
        <w:jc w:val="left"/>
        <w:rPr>
          <w:rFonts w:cstheme="minorHAnsi"/>
          <w:color w:val="auto"/>
        </w:rPr>
        <w:sectPr w:rsidR="00D155AA" w:rsidRPr="00655FC7" w:rsidSect="006A4AE9">
          <w:headerReference w:type="even" r:id="rId89"/>
          <w:headerReference w:type="default" r:id="rId90"/>
          <w:footerReference w:type="even" r:id="rId91"/>
          <w:footerReference w:type="default" r:id="rId92"/>
          <w:pgSz w:w="16838" w:h="11906" w:orient="landscape"/>
          <w:pgMar w:top="1418" w:right="1418" w:bottom="1418" w:left="1418" w:header="709" w:footer="709" w:gutter="0"/>
          <w:cols w:space="708"/>
          <w:docGrid w:linePitch="360"/>
        </w:sectPr>
      </w:pPr>
    </w:p>
    <w:p w14:paraId="27C4EE46" w14:textId="77777777" w:rsidR="00D155AA" w:rsidRPr="00655FC7" w:rsidRDefault="00D155AA" w:rsidP="00D155AA">
      <w:pPr>
        <w:tabs>
          <w:tab w:val="left" w:pos="3119"/>
        </w:tabs>
        <w:rPr>
          <w:rFonts w:cstheme="minorHAnsi"/>
          <w:color w:val="auto"/>
        </w:rPr>
      </w:pPr>
      <w:r w:rsidRPr="00655FC7">
        <w:rPr>
          <w:rFonts w:cstheme="minorHAnsi"/>
          <w:color w:val="auto"/>
        </w:rPr>
        <w:lastRenderedPageBreak/>
        <w:t>Z powyższych wykresów wynikają następujące wnioski:</w:t>
      </w:r>
    </w:p>
    <w:p w14:paraId="48F5AC9A" w14:textId="77777777" w:rsidR="00D155AA" w:rsidRPr="00655FC7" w:rsidRDefault="00D155AA">
      <w:pPr>
        <w:numPr>
          <w:ilvl w:val="0"/>
          <w:numId w:val="30"/>
        </w:numPr>
        <w:tabs>
          <w:tab w:val="left" w:pos="3119"/>
        </w:tabs>
        <w:contextualSpacing/>
        <w:rPr>
          <w:rFonts w:cstheme="minorHAnsi"/>
          <w:iCs/>
          <w:color w:val="auto"/>
        </w:rPr>
      </w:pPr>
      <w:r w:rsidRPr="00655FC7">
        <w:rPr>
          <w:rFonts w:cstheme="minorHAnsi"/>
          <w:iCs/>
          <w:color w:val="auto"/>
        </w:rPr>
        <w:t xml:space="preserve">Na obszarze miasta wyraźny jest trend wzrostu średniej temperatury. Przerywana linia na wykresie </w:t>
      </w:r>
      <w:r w:rsidRPr="00655FC7">
        <w:rPr>
          <w:rFonts w:cstheme="minorHAnsi"/>
          <w:i/>
          <w:color w:val="auto"/>
        </w:rPr>
        <w:t>Roczna zmiana temperatury</w:t>
      </w:r>
      <w:r w:rsidRPr="00655FC7">
        <w:rPr>
          <w:rFonts w:cstheme="minorHAnsi"/>
          <w:iCs/>
          <w:color w:val="auto"/>
        </w:rPr>
        <w:t xml:space="preserve"> wskazuje trend średniej temperatury z każdego analizowanego roku. Między rokiem 1979 a 2023 średnia temperatura powietrza w Mieście Tarnogród wzrosła o ok. 2°C.</w:t>
      </w:r>
    </w:p>
    <w:p w14:paraId="13EB5A21" w14:textId="77777777" w:rsidR="00D155AA" w:rsidRPr="00655FC7" w:rsidRDefault="00D155AA">
      <w:pPr>
        <w:numPr>
          <w:ilvl w:val="0"/>
          <w:numId w:val="30"/>
        </w:numPr>
        <w:tabs>
          <w:tab w:val="left" w:pos="3119"/>
        </w:tabs>
        <w:contextualSpacing/>
        <w:rPr>
          <w:rFonts w:cstheme="minorHAnsi"/>
          <w:iCs/>
          <w:color w:val="auto"/>
        </w:rPr>
      </w:pPr>
      <w:r w:rsidRPr="00655FC7">
        <w:rPr>
          <w:rFonts w:cstheme="minorHAnsi"/>
          <w:iCs/>
          <w:color w:val="auto"/>
        </w:rPr>
        <w:t>Kolorowe paski znajdujące się w dolnej części tego samego wykresu wskazują na odchylenie średniej temperatury w danym roku od średniej z lat 1980-2010. Niebieskie paski oznaczają lata chłodniejsze, a czerwone – lata cieplejsze. Jak można zauważyć, od 2011 roku nieprzerwanie mamy do czynienia z latami cieplejszymi, które dodatkowo odznaczają się większym odchyleniem (kolor bardziej intensywny). Wskazuje to na nasilanie się zjawiska ocieplenia.</w:t>
      </w:r>
    </w:p>
    <w:p w14:paraId="46ED50B8" w14:textId="77777777" w:rsidR="00D155AA" w:rsidRPr="00655FC7" w:rsidRDefault="00D155AA">
      <w:pPr>
        <w:pStyle w:val="Akapitzlist"/>
        <w:numPr>
          <w:ilvl w:val="0"/>
          <w:numId w:val="30"/>
        </w:numPr>
        <w:tabs>
          <w:tab w:val="left" w:pos="3119"/>
        </w:tabs>
        <w:rPr>
          <w:rFonts w:cstheme="minorHAnsi"/>
          <w:color w:val="auto"/>
        </w:rPr>
      </w:pPr>
      <w:r w:rsidRPr="00655FC7">
        <w:rPr>
          <w:rFonts w:cstheme="minorHAnsi"/>
          <w:color w:val="auto"/>
        </w:rPr>
        <w:t>W przypadku średnich rocznych opadów nie zaobserwowano wyraźnego trendu w kierunku zwiększenia lub zmniejszenia opadów. Linia trendu średniej rocznej sumy opadów z okresu 1979-2023 utrzymuje się na poziomie około 800 mm/rok. Suma opadów zatem się nie zmienia.</w:t>
      </w:r>
    </w:p>
    <w:p w14:paraId="193E8D8B" w14:textId="77777777" w:rsidR="00D155AA" w:rsidRPr="00655FC7" w:rsidRDefault="00D155AA">
      <w:pPr>
        <w:pStyle w:val="Akapitzlist"/>
        <w:numPr>
          <w:ilvl w:val="0"/>
          <w:numId w:val="30"/>
        </w:numPr>
        <w:tabs>
          <w:tab w:val="left" w:pos="3119"/>
        </w:tabs>
        <w:rPr>
          <w:rFonts w:cstheme="minorHAnsi"/>
          <w:color w:val="auto"/>
        </w:rPr>
      </w:pPr>
      <w:r w:rsidRPr="00655FC7">
        <w:rPr>
          <w:rFonts w:cstheme="minorHAnsi"/>
          <w:color w:val="auto"/>
        </w:rPr>
        <w:t>Zmianie uległa natomiast charakterystyka opadów. K</w:t>
      </w:r>
      <w:r w:rsidRPr="00655FC7">
        <w:rPr>
          <w:rFonts w:cstheme="minorHAnsi"/>
          <w:iCs/>
          <w:color w:val="auto"/>
        </w:rPr>
        <w:t>olorowe paski znajdujące się w dolnej części tego samego wykresu wskazują na odchylenie średniej sumy opadów w danym roku od średniej z lat 1980-2010. Można zauważyć, iż lata 2018-2019 oraz 2022 były suche, natomiast lata 2020-2021 oraz 2023 – mokre. Mamy zatem do czynienia naprzemiennie z okresami obfitymi i ubogimi w opady.</w:t>
      </w:r>
    </w:p>
    <w:p w14:paraId="0FC8DA27" w14:textId="77777777" w:rsidR="00D155AA" w:rsidRPr="00655FC7" w:rsidRDefault="00D155AA">
      <w:pPr>
        <w:pStyle w:val="Akapitzlist"/>
        <w:numPr>
          <w:ilvl w:val="0"/>
          <w:numId w:val="30"/>
        </w:numPr>
        <w:tabs>
          <w:tab w:val="left" w:pos="3119"/>
        </w:tabs>
        <w:rPr>
          <w:rFonts w:cstheme="minorHAnsi"/>
          <w:color w:val="auto"/>
        </w:rPr>
      </w:pPr>
      <w:r w:rsidRPr="00655FC7">
        <w:rPr>
          <w:rFonts w:cstheme="minorHAnsi"/>
          <w:iCs/>
          <w:color w:val="auto"/>
        </w:rPr>
        <w:t>Analizując wyłącznie anomalie temperatury i opadów każdego miesiąca w latach 1979-2023 względem średniej z lat 1980-2010, wyraźnie przybyło dodatnich anomalii temperaturowych. Występują także kilkumiesięczne okresy temperatury wyższej od średniej, co nasiliło się szczególnie w 2005 roku. W przypadku opadów zauważalny jest natomiast trend dodatnich anomalii miesięcznych naprzemiennie z anomaliami ujemnymi.</w:t>
      </w:r>
    </w:p>
    <w:p w14:paraId="2765B6AD" w14:textId="77777777" w:rsidR="00D155AA" w:rsidRPr="00655FC7" w:rsidRDefault="00D155AA" w:rsidP="00D155AA">
      <w:pPr>
        <w:pStyle w:val="Akapitzlist"/>
        <w:tabs>
          <w:tab w:val="left" w:pos="3119"/>
        </w:tabs>
        <w:ind w:left="1004" w:firstLine="0"/>
        <w:rPr>
          <w:rFonts w:cstheme="minorHAnsi"/>
          <w:color w:val="auto"/>
        </w:rPr>
      </w:pPr>
    </w:p>
    <w:p w14:paraId="041DE0A5" w14:textId="77777777" w:rsidR="00D155AA" w:rsidRPr="00655FC7" w:rsidRDefault="00D155AA" w:rsidP="00D155AA">
      <w:pPr>
        <w:pStyle w:val="Nagwek3"/>
      </w:pPr>
      <w:bookmarkStart w:id="196" w:name="_Toc177732065"/>
      <w:r w:rsidRPr="00655FC7">
        <w:t>Powodzie i podtopienia</w:t>
      </w:r>
      <w:bookmarkEnd w:id="196"/>
    </w:p>
    <w:p w14:paraId="093FCC99" w14:textId="77777777" w:rsidR="00D155AA" w:rsidRPr="00655FC7" w:rsidRDefault="00D155AA" w:rsidP="00D155AA">
      <w:pPr>
        <w:tabs>
          <w:tab w:val="left" w:pos="3119"/>
        </w:tabs>
        <w:rPr>
          <w:rFonts w:cstheme="minorHAnsi"/>
          <w:i/>
          <w:color w:val="auto"/>
        </w:rPr>
      </w:pPr>
      <w:r w:rsidRPr="00655FC7">
        <w:rPr>
          <w:rFonts w:cstheme="minorHAnsi"/>
          <w:color w:val="auto"/>
        </w:rPr>
        <w:t>Zgodnie z ustawą z dnia 20 lipca 2017 r. Prawo wodne (t.j. Dz.U. z 2023 r. poz. 1478) powódź to: „</w:t>
      </w:r>
      <w:r w:rsidRPr="00655FC7">
        <w:rPr>
          <w:rFonts w:cstheme="minorHAnsi"/>
          <w:i/>
          <w:color w:val="auto"/>
        </w:rPr>
        <w:t>czasowe pokrycie przez wodę terenu, który w normalnych warunkach nie jest pokryty wodą, w szczególności wywołane przez wezbranie wody w ciekach naturalnych, zbiornikach wodnych, kanałach oraz od strony morza z wyłączeniem pokrycia przez wodę terenu wywołanego przez wezbranie wody w systemach kanalizacyjnych”.</w:t>
      </w:r>
    </w:p>
    <w:p w14:paraId="6F98B4F7" w14:textId="77777777" w:rsidR="00D155AA" w:rsidRPr="00655FC7" w:rsidRDefault="00D155AA" w:rsidP="00D155AA">
      <w:pPr>
        <w:tabs>
          <w:tab w:val="left" w:pos="3119"/>
        </w:tabs>
        <w:rPr>
          <w:rFonts w:cstheme="minorHAnsi"/>
          <w:color w:val="auto"/>
        </w:rPr>
      </w:pPr>
      <w:r w:rsidRPr="00655FC7">
        <w:rPr>
          <w:rFonts w:cstheme="minorHAnsi"/>
          <w:color w:val="auto"/>
        </w:rPr>
        <w:t>Ze względu na źródło wezbrań poziomu wody, powódź dzieli się na:</w:t>
      </w:r>
    </w:p>
    <w:p w14:paraId="50634816" w14:textId="77777777" w:rsidR="00D155AA" w:rsidRPr="00655FC7" w:rsidRDefault="00D155AA" w:rsidP="00D155AA">
      <w:pPr>
        <w:numPr>
          <w:ilvl w:val="0"/>
          <w:numId w:val="1"/>
        </w:numPr>
        <w:tabs>
          <w:tab w:val="left" w:pos="3119"/>
        </w:tabs>
        <w:rPr>
          <w:rFonts w:cstheme="minorHAnsi"/>
          <w:color w:val="auto"/>
        </w:rPr>
      </w:pPr>
      <w:r w:rsidRPr="00655FC7">
        <w:rPr>
          <w:rFonts w:cstheme="minorHAnsi"/>
          <w:color w:val="auto"/>
        </w:rPr>
        <w:t>powódź roztopową – wzrost poziomu wód w wyniku topnienia pokrywy śnieżnej,</w:t>
      </w:r>
    </w:p>
    <w:p w14:paraId="0BD1649D" w14:textId="77777777" w:rsidR="00D155AA" w:rsidRPr="00655FC7" w:rsidRDefault="00D155AA" w:rsidP="00D155AA">
      <w:pPr>
        <w:numPr>
          <w:ilvl w:val="0"/>
          <w:numId w:val="1"/>
        </w:numPr>
        <w:tabs>
          <w:tab w:val="left" w:pos="3119"/>
        </w:tabs>
        <w:rPr>
          <w:rFonts w:cstheme="minorHAnsi"/>
          <w:color w:val="auto"/>
        </w:rPr>
      </w:pPr>
      <w:r w:rsidRPr="00655FC7">
        <w:rPr>
          <w:rFonts w:cstheme="minorHAnsi"/>
          <w:color w:val="auto"/>
        </w:rPr>
        <w:t>powódź zatorową – wzrost poziomu wód w wyniku spiętrzenia wód spowodowanych zatorem lodu lub śniegu,</w:t>
      </w:r>
    </w:p>
    <w:p w14:paraId="7B0D8EBB" w14:textId="77777777" w:rsidR="00D155AA" w:rsidRPr="00655FC7" w:rsidRDefault="00D155AA" w:rsidP="00D155AA">
      <w:pPr>
        <w:numPr>
          <w:ilvl w:val="0"/>
          <w:numId w:val="1"/>
        </w:numPr>
        <w:tabs>
          <w:tab w:val="left" w:pos="3119"/>
        </w:tabs>
        <w:rPr>
          <w:rFonts w:cstheme="minorHAnsi"/>
          <w:color w:val="auto"/>
        </w:rPr>
      </w:pPr>
      <w:r w:rsidRPr="00655FC7">
        <w:rPr>
          <w:rFonts w:cstheme="minorHAnsi"/>
          <w:color w:val="auto"/>
        </w:rPr>
        <w:t>powódź opadową – wzrost poziomu wód w wyniku intensywnych opadów atmosferycznych.</w:t>
      </w:r>
    </w:p>
    <w:p w14:paraId="5229A8DF" w14:textId="77777777" w:rsidR="00D155AA" w:rsidRPr="00655FC7" w:rsidRDefault="00D155AA" w:rsidP="00D155AA">
      <w:pPr>
        <w:tabs>
          <w:tab w:val="left" w:pos="3119"/>
        </w:tabs>
        <w:rPr>
          <w:rFonts w:cstheme="minorHAnsi"/>
          <w:color w:val="auto"/>
          <w:lang w:eastAsia="pl-PL"/>
        </w:rPr>
      </w:pPr>
      <w:r w:rsidRPr="00655FC7">
        <w:rPr>
          <w:rFonts w:cstheme="minorHAnsi"/>
          <w:color w:val="auto"/>
          <w:lang w:eastAsia="pl-PL"/>
        </w:rPr>
        <w:t xml:space="preserve">Powodzie i podtopienia są szczególnie niebezpieczne na terenach zurbanizowanych, gdzie naturalne tereny zalewowe są przekształcane i zabudowywane. </w:t>
      </w:r>
    </w:p>
    <w:p w14:paraId="2340667A" w14:textId="77777777" w:rsidR="00D155AA" w:rsidRPr="00655FC7" w:rsidRDefault="00D155AA" w:rsidP="00D155AA">
      <w:pPr>
        <w:ind w:firstLine="709"/>
        <w:rPr>
          <w:rFonts w:cstheme="minorHAnsi"/>
          <w:szCs w:val="21"/>
        </w:rPr>
      </w:pPr>
    </w:p>
    <w:p w14:paraId="78A82CA2" w14:textId="77777777" w:rsidR="00D155AA" w:rsidRPr="00655FC7" w:rsidRDefault="00D155AA" w:rsidP="00D155AA">
      <w:r w:rsidRPr="00655FC7">
        <w:t>Według danych udostępnionych na stronie https://wody.isok.gov.pl/ Miasto Tarnogród nie znajduje się na obszarze zagrożenia powodziowego. Obszar ten nie jest również zagrożony podtopieniami.</w:t>
      </w:r>
    </w:p>
    <w:p w14:paraId="3A1A3148" w14:textId="77777777" w:rsidR="00D155AA" w:rsidRPr="00655FC7" w:rsidRDefault="00D155AA" w:rsidP="00D155AA">
      <w:r w:rsidRPr="00655FC7">
        <w:lastRenderedPageBreak/>
        <w:t>Na terenie miasta dochodzi natomiast do intensywnych opadów deszczu, które w połączeniu z budową geomorfologiczną (lokalizacja miasta w dolinie), powodują kumulowanie się wody na terenie zabudowanym, a więc powstawanie lokalnych wezbrań.</w:t>
      </w:r>
    </w:p>
    <w:p w14:paraId="202FB1A6" w14:textId="5E2653F8" w:rsidR="001208A4" w:rsidRPr="00655FC7" w:rsidRDefault="001208A4" w:rsidP="00D155AA">
      <w:r w:rsidRPr="00655FC7">
        <w:t xml:space="preserve">Niedawny remont drogi wojewódzkiej nr 835 i związane z tym przyłączenie kanalizacji deszczowej wzdłuż ul. 1 Maja do sieci miejskiej dodatkowo powoduje problem z podtopieniami. </w:t>
      </w:r>
      <w:r w:rsidR="0058381C" w:rsidRPr="00655FC7">
        <w:t>Nadmiarowa</w:t>
      </w:r>
      <w:r w:rsidRPr="00655FC7">
        <w:t xml:space="preserve"> ilość wody z drogi wojewódzkiej</w:t>
      </w:r>
      <w:r w:rsidR="00D27FB3" w:rsidRPr="00655FC7">
        <w:t xml:space="preserve"> przekracza przepustowość infrastruktury burzowej co</w:t>
      </w:r>
      <w:r w:rsidRPr="00655FC7">
        <w:t xml:space="preserve"> powoduje, iż wody opadowe kierowane są naturalnym spadkiem do ul.</w:t>
      </w:r>
      <w:r w:rsidR="0058381C" w:rsidRPr="00655FC7">
        <w:t xml:space="preserve"> </w:t>
      </w:r>
      <w:r w:rsidRPr="00655FC7">
        <w:t>Przedmieście Płuskie Wschód</w:t>
      </w:r>
      <w:r w:rsidR="0058381C" w:rsidRPr="00655FC7">
        <w:br/>
      </w:r>
      <w:r w:rsidRPr="00655FC7">
        <w:t>i</w:t>
      </w:r>
      <w:r w:rsidR="0058381C" w:rsidRPr="00655FC7">
        <w:t xml:space="preserve"> ul. </w:t>
      </w:r>
      <w:r w:rsidRPr="00655FC7">
        <w:t>Przedmieście Płuskie Zachód. W przypadku występowania gwałtownych opadów deszczu</w:t>
      </w:r>
      <w:r w:rsidR="0058381C" w:rsidRPr="00655FC7">
        <w:t>,</w:t>
      </w:r>
      <w:r w:rsidR="00D27FB3" w:rsidRPr="00655FC7">
        <w:t xml:space="preserve"> woda</w:t>
      </w:r>
      <w:r w:rsidRPr="00655FC7">
        <w:t xml:space="preserve"> powodu</w:t>
      </w:r>
      <w:r w:rsidR="00D27FB3" w:rsidRPr="00655FC7">
        <w:t xml:space="preserve">je </w:t>
      </w:r>
      <w:r w:rsidRPr="00655FC7">
        <w:t xml:space="preserve">okresowe podtopienia </w:t>
      </w:r>
      <w:r w:rsidR="0058381C" w:rsidRPr="00655FC7">
        <w:t xml:space="preserve">w </w:t>
      </w:r>
      <w:r w:rsidRPr="00655FC7">
        <w:t>tej części miasta, a ciek wodny nie jest w stanie odprowadzić tak dużej ilości wody.</w:t>
      </w:r>
    </w:p>
    <w:p w14:paraId="19E15ABF" w14:textId="77777777" w:rsidR="00D155AA" w:rsidRPr="00655FC7" w:rsidRDefault="00D155AA" w:rsidP="00D155AA">
      <w:pPr>
        <w:ind w:firstLine="709"/>
      </w:pPr>
    </w:p>
    <w:p w14:paraId="4EFE07A1" w14:textId="77777777" w:rsidR="0058381C" w:rsidRPr="00655FC7" w:rsidRDefault="0058381C" w:rsidP="0058381C">
      <w:pPr>
        <w:keepNext/>
        <w:ind w:firstLine="0"/>
      </w:pPr>
      <w:r w:rsidRPr="00655FC7">
        <w:rPr>
          <w:noProof/>
        </w:rPr>
        <w:drawing>
          <wp:inline distT="0" distB="0" distL="0" distR="0" wp14:anchorId="4A53DD5D" wp14:editId="38E77176">
            <wp:extent cx="5760720" cy="4609465"/>
            <wp:effectExtent l="19050" t="19050" r="11430" b="19685"/>
            <wp:docPr id="1243803417" name="Obraz 1" descr="Obraz zawierający na wolnym powietrzu, roślina, drzewo, wod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803417" name="Obraz 1" descr="Obraz zawierający na wolnym powietrzu, roślina, drzewo, woda&#10;&#10;Opis wygenerowany automatycznie"/>
                    <pic:cNvPicPr/>
                  </pic:nvPicPr>
                  <pic:blipFill>
                    <a:blip r:embed="rId93"/>
                    <a:stretch>
                      <a:fillRect/>
                    </a:stretch>
                  </pic:blipFill>
                  <pic:spPr>
                    <a:xfrm>
                      <a:off x="0" y="0"/>
                      <a:ext cx="5760720" cy="4609465"/>
                    </a:xfrm>
                    <a:prstGeom prst="rect">
                      <a:avLst/>
                    </a:prstGeom>
                    <a:ln>
                      <a:solidFill>
                        <a:schemeClr val="tx1"/>
                      </a:solidFill>
                    </a:ln>
                  </pic:spPr>
                </pic:pic>
              </a:graphicData>
            </a:graphic>
          </wp:inline>
        </w:drawing>
      </w:r>
    </w:p>
    <w:p w14:paraId="2FE3DA95" w14:textId="7A87853B" w:rsidR="0058381C" w:rsidRPr="00655FC7" w:rsidRDefault="0058381C" w:rsidP="0058381C">
      <w:pPr>
        <w:pStyle w:val="Stylrysunek"/>
      </w:pPr>
      <w:bookmarkStart w:id="197" w:name="_Toc178846380"/>
      <w:r w:rsidRPr="00655FC7">
        <w:t xml:space="preserve">Rysunek </w:t>
      </w:r>
      <w:r w:rsidR="00EA4C85">
        <w:fldChar w:fldCharType="begin"/>
      </w:r>
      <w:r w:rsidR="00EA4C85">
        <w:instrText xml:space="preserve"> SEQ Rysunek \* ARABIC </w:instrText>
      </w:r>
      <w:r w:rsidR="00EA4C85">
        <w:fldChar w:fldCharType="separate"/>
      </w:r>
      <w:r w:rsidR="00A654D8">
        <w:rPr>
          <w:noProof/>
        </w:rPr>
        <w:t>38</w:t>
      </w:r>
      <w:r w:rsidR="00EA4C85">
        <w:rPr>
          <w:noProof/>
        </w:rPr>
        <w:fldChar w:fldCharType="end"/>
      </w:r>
      <w:r w:rsidRPr="00655FC7">
        <w:t>. Podtopienia na ul. Przedmieście Płuskie Wschód i ul. Przedmieście Płuskie Zachód.</w:t>
      </w:r>
      <w:bookmarkEnd w:id="197"/>
    </w:p>
    <w:p w14:paraId="4761811D" w14:textId="01628E08" w:rsidR="0058381C" w:rsidRDefault="0058381C" w:rsidP="0058381C">
      <w:pPr>
        <w:pStyle w:val="Cytat"/>
      </w:pPr>
      <w:r w:rsidRPr="00655FC7">
        <w:t>Źródło: Udostępnione z prywatnego zasobu pracownika Urzędu Miejskiego w Tarnogrodzie</w:t>
      </w:r>
    </w:p>
    <w:p w14:paraId="4F077D5F" w14:textId="77777777" w:rsidR="008F2B93" w:rsidRPr="008F2B93" w:rsidRDefault="008F2B93" w:rsidP="008F2B93">
      <w:pPr>
        <w:rPr>
          <w:lang w:eastAsia="ar-SA"/>
        </w:rPr>
      </w:pPr>
    </w:p>
    <w:p w14:paraId="7562FEB7" w14:textId="77777777" w:rsidR="00D155AA" w:rsidRPr="00655FC7" w:rsidRDefault="00D155AA" w:rsidP="00D155AA">
      <w:pPr>
        <w:pStyle w:val="Nagwek3"/>
      </w:pPr>
      <w:bookmarkStart w:id="198" w:name="_Toc177732066"/>
      <w:r w:rsidRPr="00655FC7">
        <w:t>Susza</w:t>
      </w:r>
      <w:bookmarkEnd w:id="198"/>
    </w:p>
    <w:p w14:paraId="71D2AE8F" w14:textId="77777777" w:rsidR="00D155AA" w:rsidRPr="00655FC7" w:rsidRDefault="00D155AA" w:rsidP="00D155AA">
      <w:pPr>
        <w:rPr>
          <w:lang w:eastAsia="pl-PL"/>
        </w:rPr>
      </w:pPr>
      <w:r w:rsidRPr="00655FC7">
        <w:rPr>
          <w:lang w:eastAsia="pl-PL"/>
        </w:rPr>
        <w:t>Susza jest zjawiskiem ciągłym o zasięgu regionalnym i oznacza dostępność wody poniżej średniej w określonych warunkach naturalnych. Suszą nazywa się nie tylko zjawiska ekstremalne, ale wszystkie, które występują w warunkach mniejszej dostępności wody dla danego regionu. Wyróżnia się następujące typy suszy:</w:t>
      </w:r>
    </w:p>
    <w:p w14:paraId="3A7F9C5C" w14:textId="77777777" w:rsidR="00D155AA" w:rsidRPr="00655FC7" w:rsidRDefault="00D155AA">
      <w:pPr>
        <w:numPr>
          <w:ilvl w:val="0"/>
          <w:numId w:val="18"/>
        </w:numPr>
        <w:contextualSpacing/>
        <w:rPr>
          <w:rFonts w:cstheme="minorHAnsi"/>
        </w:rPr>
      </w:pPr>
      <w:r w:rsidRPr="00655FC7">
        <w:rPr>
          <w:rFonts w:cstheme="minorHAnsi"/>
        </w:rPr>
        <w:lastRenderedPageBreak/>
        <w:t>susza atmosferyczna,</w:t>
      </w:r>
    </w:p>
    <w:p w14:paraId="4C9E4B5D" w14:textId="77777777" w:rsidR="00D155AA" w:rsidRPr="00655FC7" w:rsidRDefault="00D155AA">
      <w:pPr>
        <w:numPr>
          <w:ilvl w:val="0"/>
          <w:numId w:val="18"/>
        </w:numPr>
        <w:contextualSpacing/>
        <w:rPr>
          <w:rFonts w:cstheme="minorHAnsi"/>
        </w:rPr>
      </w:pPr>
      <w:r w:rsidRPr="00655FC7">
        <w:rPr>
          <w:rFonts w:cstheme="minorHAnsi"/>
        </w:rPr>
        <w:t>susza rolnicza,</w:t>
      </w:r>
    </w:p>
    <w:p w14:paraId="6FBE15BC" w14:textId="77777777" w:rsidR="00D155AA" w:rsidRPr="00655FC7" w:rsidRDefault="00D155AA">
      <w:pPr>
        <w:numPr>
          <w:ilvl w:val="0"/>
          <w:numId w:val="18"/>
        </w:numPr>
        <w:contextualSpacing/>
        <w:rPr>
          <w:rFonts w:cstheme="minorHAnsi"/>
        </w:rPr>
      </w:pPr>
      <w:r w:rsidRPr="00655FC7">
        <w:rPr>
          <w:rFonts w:cstheme="minorHAnsi"/>
        </w:rPr>
        <w:t>susza hydrologiczna,</w:t>
      </w:r>
    </w:p>
    <w:p w14:paraId="6A54BD2A" w14:textId="77777777" w:rsidR="00D155AA" w:rsidRPr="00655FC7" w:rsidRDefault="00D155AA">
      <w:pPr>
        <w:numPr>
          <w:ilvl w:val="0"/>
          <w:numId w:val="18"/>
        </w:numPr>
        <w:spacing w:after="240"/>
        <w:contextualSpacing/>
        <w:rPr>
          <w:rFonts w:cstheme="minorHAnsi"/>
        </w:rPr>
      </w:pPr>
      <w:r w:rsidRPr="00655FC7">
        <w:rPr>
          <w:rFonts w:cstheme="minorHAnsi"/>
        </w:rPr>
        <w:t>susza hydrogeologiczna.</w:t>
      </w:r>
    </w:p>
    <w:p w14:paraId="4FE9D570" w14:textId="57468980" w:rsidR="009C549F" w:rsidRPr="00655FC7" w:rsidRDefault="00D155AA" w:rsidP="00D155AA">
      <w:pPr>
        <w:rPr>
          <w:lang w:eastAsia="pl-PL"/>
        </w:rPr>
      </w:pPr>
      <w:r w:rsidRPr="00655FC7">
        <w:rPr>
          <w:lang w:eastAsia="pl-PL"/>
        </w:rPr>
        <w:t>Susza, obok zjawiska powodzi, jest jednym z najbardziej dotkliwych i bezpośrednich zjawisk naturalnych oddziałujących na środowisko, gospodarkę i lokalne społeczności. Jednakże w przeciwieństwie do powodzi nie ma praktycznie możliwości prowadzenia działań doraźnych, które przyczynią się do zminimalizowania skutków suszy. W walce z suszą potrzebne są działania długofalowe, strategiczne</w:t>
      </w:r>
      <w:r w:rsidR="009C549F" w:rsidRPr="00655FC7">
        <w:rPr>
          <w:lang w:eastAsia="pl-PL"/>
        </w:rPr>
        <w:t>,</w:t>
      </w:r>
      <w:r w:rsidRPr="00655FC7">
        <w:rPr>
          <w:lang w:eastAsia="pl-PL"/>
        </w:rPr>
        <w:t xml:space="preserve"> które poprzez swą ilość przyczynią się do minimalizowania jej skutków. Takim działaniem jest m.in. opracowanie planu przeciwdziałania skutkom suszy, który jest głównym, strategicznym dokumentem w Polsce, zgodnie z którym prowadzi się walkę z suszą. Dnia 15 lipca 2021 r. przyjęto Rozporządzenie Ministra Infrastruktury w sprawie Planu przeciwdziałania skutkom suszy (Dz. U. 2021 r., poz. 1615). Celem dokumentu jest wskazanie najistotniejszych kierunków działań, które pomogą zapobiec kryzysowi wodnemu w Polsce. Dzięki realizacji jego założeń możliwe będzie zapewnienie odpowiedniej ilości i co najmniej dobrej jakości wody niezbędnej dla społeczeństwa, środowiska i wszystkich sektorów gospodarki narodowej. Realizacja działań zawartych w</w:t>
      </w:r>
      <w:r w:rsidR="009C549F" w:rsidRPr="00655FC7">
        <w:rPr>
          <w:lang w:eastAsia="pl-PL"/>
        </w:rPr>
        <w:t xml:space="preserve"> </w:t>
      </w:r>
      <w:r w:rsidRPr="00655FC7">
        <w:rPr>
          <w:lang w:eastAsia="pl-PL"/>
        </w:rPr>
        <w:t>Planie przyczyni się do ograniczenia zjawiska suszy oraz minimalizowania skutków suszy. Wraz z</w:t>
      </w:r>
      <w:r w:rsidR="009C549F" w:rsidRPr="00655FC7">
        <w:rPr>
          <w:lang w:eastAsia="pl-PL"/>
        </w:rPr>
        <w:t xml:space="preserve"> </w:t>
      </w:r>
      <w:r w:rsidRPr="00655FC7">
        <w:rPr>
          <w:lang w:eastAsia="pl-PL"/>
        </w:rPr>
        <w:t>planami gospodarowania wodami oraz planami zarządzania ryzykiem powodziowym stanowić będzie program przyczyniający się do zintegrowanej ochrony wód i gospodarki wodami. Jego celem jest zapewnienie dobrej jakości oraz wystarczającej ilości wód służących wszystkim działom gospodarki narodowej oraz środowisku naturalnemu. W</w:t>
      </w:r>
      <w:r w:rsidR="009C549F" w:rsidRPr="00655FC7">
        <w:rPr>
          <w:lang w:eastAsia="pl-PL"/>
        </w:rPr>
        <w:t xml:space="preserve"> </w:t>
      </w:r>
      <w:r w:rsidRPr="00655FC7">
        <w:rPr>
          <w:lang w:eastAsia="pl-PL"/>
        </w:rPr>
        <w:t>ramach opracowania Planów zostanie dokonana identyfikacja i</w:t>
      </w:r>
      <w:r w:rsidR="009C549F" w:rsidRPr="00655FC7">
        <w:rPr>
          <w:lang w:eastAsia="pl-PL"/>
        </w:rPr>
        <w:t xml:space="preserve"> </w:t>
      </w:r>
      <w:r w:rsidRPr="00655FC7">
        <w:rPr>
          <w:lang w:eastAsia="pl-PL"/>
        </w:rPr>
        <w:t>hierarchizacja obszarów zagrożonych wystąpieniem zjawiska suszy na poszczególnych obszarach dorzeczy, ocena potrzeb w zakresie ochrony przed suszą. Zostanie również opracowany zestaw działań mający na celu zapobieganie i</w:t>
      </w:r>
      <w:r w:rsidR="009C549F" w:rsidRPr="00655FC7">
        <w:rPr>
          <w:lang w:eastAsia="pl-PL"/>
        </w:rPr>
        <w:t xml:space="preserve"> </w:t>
      </w:r>
      <w:r w:rsidRPr="00655FC7">
        <w:rPr>
          <w:lang w:eastAsia="pl-PL"/>
        </w:rPr>
        <w:t>łagodzenie skutków suszy na społeczeństwo, środowisko i</w:t>
      </w:r>
      <w:r w:rsidR="009C549F" w:rsidRPr="00655FC7">
        <w:rPr>
          <w:lang w:eastAsia="pl-PL"/>
        </w:rPr>
        <w:t xml:space="preserve"> </w:t>
      </w:r>
      <w:r w:rsidRPr="00655FC7">
        <w:rPr>
          <w:lang w:eastAsia="pl-PL"/>
        </w:rPr>
        <w:t>gospodarkę. Na poniższych rysunkach pokazano graficznie obszary Miasta Tarnogród o określonym stopniu zagrożenia na poszczególne rodzaje suszy.</w:t>
      </w:r>
    </w:p>
    <w:p w14:paraId="4815CE8A" w14:textId="77777777" w:rsidR="009C549F" w:rsidRPr="00655FC7" w:rsidRDefault="009C549F">
      <w:pPr>
        <w:spacing w:after="200"/>
        <w:ind w:firstLine="0"/>
        <w:jc w:val="left"/>
        <w:rPr>
          <w:lang w:eastAsia="pl-PL"/>
        </w:rPr>
      </w:pPr>
      <w:r w:rsidRPr="00655FC7">
        <w:rPr>
          <w:lang w:eastAsia="pl-PL"/>
        </w:rPr>
        <w:br w:type="page"/>
      </w:r>
    </w:p>
    <w:p w14:paraId="2A2B5CCA" w14:textId="77777777" w:rsidR="00D155AA" w:rsidRPr="00655FC7" w:rsidRDefault="00D155AA" w:rsidP="009C549F">
      <w:pPr>
        <w:spacing w:line="240" w:lineRule="auto"/>
        <w:ind w:firstLine="0"/>
        <w:jc w:val="center"/>
        <w:rPr>
          <w:rFonts w:cstheme="minorHAnsi"/>
        </w:rPr>
      </w:pPr>
      <w:r w:rsidRPr="00655FC7">
        <w:rPr>
          <w:rFonts w:cstheme="minorHAnsi"/>
          <w:noProof/>
        </w:rPr>
        <w:lastRenderedPageBreak/>
        <w:drawing>
          <wp:inline distT="0" distB="0" distL="0" distR="0" wp14:anchorId="602B27ED" wp14:editId="265664D7">
            <wp:extent cx="5544000" cy="3920488"/>
            <wp:effectExtent l="19050" t="19050" r="19050" b="23495"/>
            <wp:docPr id="25449798" name="Obraz 10" descr="Obraz zawierający diagram, tekst, Plan,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49798" name="Obraz 10" descr="Obraz zawierający diagram, tekst, Plan, mapa&#10;&#10;Opis wygenerowany automatyczni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544000" cy="3920488"/>
                    </a:xfrm>
                    <a:prstGeom prst="rect">
                      <a:avLst/>
                    </a:prstGeom>
                    <a:ln>
                      <a:solidFill>
                        <a:schemeClr val="tx1"/>
                      </a:solidFill>
                    </a:ln>
                  </pic:spPr>
                </pic:pic>
              </a:graphicData>
            </a:graphic>
          </wp:inline>
        </w:drawing>
      </w:r>
    </w:p>
    <w:p w14:paraId="5C937DF5" w14:textId="32036D6A" w:rsidR="00D155AA" w:rsidRPr="00655FC7" w:rsidRDefault="00D155AA" w:rsidP="009C549F">
      <w:pPr>
        <w:pStyle w:val="Stylrysunek"/>
      </w:pPr>
      <w:bookmarkStart w:id="199" w:name="_Toc106794465"/>
      <w:bookmarkStart w:id="200" w:name="_Toc178846381"/>
      <w:r w:rsidRPr="00655FC7">
        <w:t xml:space="preserve">Rysunek </w:t>
      </w:r>
      <w:r w:rsidR="00EA4C85">
        <w:fldChar w:fldCharType="begin"/>
      </w:r>
      <w:r w:rsidR="00EA4C85">
        <w:instrText xml:space="preserve"> SEQ Rysunek \* ARABIC </w:instrText>
      </w:r>
      <w:r w:rsidR="00EA4C85">
        <w:fldChar w:fldCharType="separate"/>
      </w:r>
      <w:r w:rsidR="00A654D8">
        <w:rPr>
          <w:noProof/>
        </w:rPr>
        <w:t>39</w:t>
      </w:r>
      <w:r w:rsidR="00EA4C85">
        <w:rPr>
          <w:noProof/>
        </w:rPr>
        <w:fldChar w:fldCharType="end"/>
      </w:r>
      <w:r w:rsidRPr="00655FC7">
        <w:t>. Klasy zagrożenia suszą rolniczą.</w:t>
      </w:r>
      <w:bookmarkEnd w:id="199"/>
      <w:bookmarkEnd w:id="200"/>
    </w:p>
    <w:p w14:paraId="21541246" w14:textId="77777777" w:rsidR="00D155AA" w:rsidRPr="00655FC7" w:rsidRDefault="00D155AA" w:rsidP="009C549F">
      <w:pPr>
        <w:pStyle w:val="Cytat"/>
      </w:pPr>
      <w:r w:rsidRPr="00655FC7">
        <w:t>źródło: opracowanie własne na podstawie https://wody.isok.gov.pl/</w:t>
      </w:r>
    </w:p>
    <w:p w14:paraId="314DBAFB" w14:textId="77777777" w:rsidR="00D155AA" w:rsidRPr="00655FC7" w:rsidRDefault="00D155AA" w:rsidP="009C549F">
      <w:pPr>
        <w:keepNext/>
        <w:spacing w:line="240" w:lineRule="auto"/>
        <w:ind w:firstLine="0"/>
        <w:jc w:val="center"/>
        <w:rPr>
          <w:rFonts w:cstheme="minorHAnsi"/>
        </w:rPr>
      </w:pPr>
      <w:r w:rsidRPr="00655FC7">
        <w:rPr>
          <w:rFonts w:cstheme="minorHAnsi"/>
          <w:noProof/>
        </w:rPr>
        <w:drawing>
          <wp:inline distT="0" distB="0" distL="0" distR="0" wp14:anchorId="239E69EF" wp14:editId="61DAEA2B">
            <wp:extent cx="5544000" cy="3920477"/>
            <wp:effectExtent l="19050" t="19050" r="19050" b="23495"/>
            <wp:docPr id="1890180061" name="Obraz 11"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180061" name="Obraz 11" descr="Obraz zawierający tekst, diagram, mapa&#10;&#10;Opis wygenerowany automatyczni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544000" cy="3920477"/>
                    </a:xfrm>
                    <a:prstGeom prst="rect">
                      <a:avLst/>
                    </a:prstGeom>
                    <a:ln>
                      <a:solidFill>
                        <a:schemeClr val="tx1"/>
                      </a:solidFill>
                    </a:ln>
                  </pic:spPr>
                </pic:pic>
              </a:graphicData>
            </a:graphic>
          </wp:inline>
        </w:drawing>
      </w:r>
    </w:p>
    <w:p w14:paraId="0E0B07D4" w14:textId="0A06D4BE" w:rsidR="00D155AA" w:rsidRPr="00655FC7" w:rsidRDefault="00D155AA" w:rsidP="009C549F">
      <w:pPr>
        <w:pStyle w:val="Stylrysunek"/>
      </w:pPr>
      <w:bookmarkStart w:id="201" w:name="_Toc178846382"/>
      <w:r w:rsidRPr="00655FC7">
        <w:t xml:space="preserve">Rysunek </w:t>
      </w:r>
      <w:r w:rsidR="00EA4C85">
        <w:fldChar w:fldCharType="begin"/>
      </w:r>
      <w:r w:rsidR="00EA4C85">
        <w:instrText xml:space="preserve"> SEQ Rysunek \* ARABIC </w:instrText>
      </w:r>
      <w:r w:rsidR="00EA4C85">
        <w:fldChar w:fldCharType="separate"/>
      </w:r>
      <w:r w:rsidR="00A654D8">
        <w:rPr>
          <w:noProof/>
        </w:rPr>
        <w:t>40</w:t>
      </w:r>
      <w:r w:rsidR="00EA4C85">
        <w:rPr>
          <w:noProof/>
        </w:rPr>
        <w:fldChar w:fldCharType="end"/>
      </w:r>
      <w:r w:rsidRPr="00655FC7">
        <w:t>. Klasy zagrożenia suszą atmosferyczną.</w:t>
      </w:r>
      <w:bookmarkEnd w:id="201"/>
    </w:p>
    <w:p w14:paraId="5837FEEB" w14:textId="77777777" w:rsidR="00D155AA" w:rsidRPr="00655FC7" w:rsidRDefault="00D155AA" w:rsidP="009C549F">
      <w:pPr>
        <w:pStyle w:val="Cytat"/>
      </w:pPr>
      <w:r w:rsidRPr="00655FC7">
        <w:t>źródło: opracowanie własne na podstawie https://wody.isok.gov.pl/</w:t>
      </w:r>
    </w:p>
    <w:p w14:paraId="773B7255" w14:textId="77777777" w:rsidR="00D155AA" w:rsidRPr="00655FC7" w:rsidRDefault="00D155AA" w:rsidP="009C549F">
      <w:pPr>
        <w:keepNext/>
        <w:spacing w:line="240" w:lineRule="auto"/>
        <w:ind w:firstLine="0"/>
        <w:jc w:val="center"/>
        <w:rPr>
          <w:rFonts w:cstheme="minorHAnsi"/>
        </w:rPr>
      </w:pPr>
      <w:r w:rsidRPr="00655FC7">
        <w:rPr>
          <w:rFonts w:cstheme="minorHAnsi"/>
          <w:noProof/>
        </w:rPr>
        <w:lastRenderedPageBreak/>
        <w:drawing>
          <wp:inline distT="0" distB="0" distL="0" distR="0" wp14:anchorId="74FB9530" wp14:editId="6DF16C76">
            <wp:extent cx="5544000" cy="3920477"/>
            <wp:effectExtent l="19050" t="19050" r="19050" b="23495"/>
            <wp:docPr id="457733998" name="Obraz 12" descr="Obraz zawierający tekst, diagram, zrzut ekranu, Plan&#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733998" name="Obraz 12" descr="Obraz zawierający tekst, diagram, zrzut ekranu, Plan&#10;&#10;Opis wygenerowany automatyczni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544000" cy="3920477"/>
                    </a:xfrm>
                    <a:prstGeom prst="rect">
                      <a:avLst/>
                    </a:prstGeom>
                    <a:ln>
                      <a:solidFill>
                        <a:schemeClr val="tx1"/>
                      </a:solidFill>
                    </a:ln>
                  </pic:spPr>
                </pic:pic>
              </a:graphicData>
            </a:graphic>
          </wp:inline>
        </w:drawing>
      </w:r>
    </w:p>
    <w:p w14:paraId="3E9E1579" w14:textId="0CFEA5FB" w:rsidR="00D155AA" w:rsidRPr="00655FC7" w:rsidRDefault="00D155AA" w:rsidP="009C549F">
      <w:pPr>
        <w:pStyle w:val="Stylrysunek"/>
      </w:pPr>
      <w:bookmarkStart w:id="202" w:name="_Toc178846383"/>
      <w:r w:rsidRPr="00655FC7">
        <w:t xml:space="preserve">Rysunek </w:t>
      </w:r>
      <w:r w:rsidR="00EA4C85">
        <w:fldChar w:fldCharType="begin"/>
      </w:r>
      <w:r w:rsidR="00EA4C85">
        <w:instrText xml:space="preserve"> SEQ Rysunek \* ARABIC </w:instrText>
      </w:r>
      <w:r w:rsidR="00EA4C85">
        <w:fldChar w:fldCharType="separate"/>
      </w:r>
      <w:r w:rsidR="00A654D8">
        <w:rPr>
          <w:noProof/>
        </w:rPr>
        <w:t>41</w:t>
      </w:r>
      <w:r w:rsidR="00EA4C85">
        <w:rPr>
          <w:noProof/>
        </w:rPr>
        <w:fldChar w:fldCharType="end"/>
      </w:r>
      <w:r w:rsidRPr="00655FC7">
        <w:t>. Klasy zagrożenia suszą hydrologiczną.</w:t>
      </w:r>
      <w:bookmarkEnd w:id="202"/>
    </w:p>
    <w:p w14:paraId="51AAA0B1" w14:textId="77777777" w:rsidR="00D155AA" w:rsidRPr="00655FC7" w:rsidRDefault="00D155AA" w:rsidP="009C549F">
      <w:pPr>
        <w:pStyle w:val="Cytat"/>
        <w:rPr>
          <w:lang w:eastAsia="en-GB"/>
        </w:rPr>
      </w:pPr>
      <w:r w:rsidRPr="00655FC7">
        <w:t>źródło: opracowanie własne na podstawie https://wody.isok.gov.pl/</w:t>
      </w:r>
    </w:p>
    <w:p w14:paraId="19E3890F" w14:textId="77777777" w:rsidR="00D155AA" w:rsidRPr="00655FC7" w:rsidRDefault="00D155AA" w:rsidP="009C549F">
      <w:pPr>
        <w:keepNext/>
        <w:spacing w:line="240" w:lineRule="auto"/>
        <w:ind w:firstLine="0"/>
        <w:jc w:val="center"/>
        <w:rPr>
          <w:rFonts w:cstheme="minorHAnsi"/>
        </w:rPr>
      </w:pPr>
      <w:r w:rsidRPr="00655FC7">
        <w:rPr>
          <w:rFonts w:cstheme="minorHAnsi"/>
          <w:noProof/>
        </w:rPr>
        <w:drawing>
          <wp:inline distT="0" distB="0" distL="0" distR="0" wp14:anchorId="31AEF64F" wp14:editId="7284DBCE">
            <wp:extent cx="5544000" cy="3920477"/>
            <wp:effectExtent l="19050" t="19050" r="19050" b="23495"/>
            <wp:docPr id="830064478" name="Obraz 13" descr="Obraz zawierający diagram, tekst, Plan,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064478" name="Obraz 13" descr="Obraz zawierający diagram, tekst, Plan, mapa&#10;&#10;Opis wygenerowany automatyczni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544000" cy="3920477"/>
                    </a:xfrm>
                    <a:prstGeom prst="rect">
                      <a:avLst/>
                    </a:prstGeom>
                    <a:ln>
                      <a:solidFill>
                        <a:schemeClr val="tx1"/>
                      </a:solidFill>
                    </a:ln>
                  </pic:spPr>
                </pic:pic>
              </a:graphicData>
            </a:graphic>
          </wp:inline>
        </w:drawing>
      </w:r>
    </w:p>
    <w:p w14:paraId="490DC75C" w14:textId="668DA1B3" w:rsidR="00D155AA" w:rsidRPr="00655FC7" w:rsidRDefault="00D155AA" w:rsidP="009C549F">
      <w:pPr>
        <w:pStyle w:val="Stylrysunek"/>
      </w:pPr>
      <w:bookmarkStart w:id="203" w:name="_Toc178846384"/>
      <w:r w:rsidRPr="00655FC7">
        <w:t xml:space="preserve">Rysunek </w:t>
      </w:r>
      <w:r w:rsidR="00EA4C85">
        <w:fldChar w:fldCharType="begin"/>
      </w:r>
      <w:r w:rsidR="00EA4C85">
        <w:instrText xml:space="preserve"> SEQ Rysunek \* ARABIC </w:instrText>
      </w:r>
      <w:r w:rsidR="00EA4C85">
        <w:fldChar w:fldCharType="separate"/>
      </w:r>
      <w:r w:rsidR="00A654D8">
        <w:rPr>
          <w:noProof/>
        </w:rPr>
        <w:t>42</w:t>
      </w:r>
      <w:r w:rsidR="00EA4C85">
        <w:rPr>
          <w:noProof/>
        </w:rPr>
        <w:fldChar w:fldCharType="end"/>
      </w:r>
      <w:r w:rsidRPr="00655FC7">
        <w:t>. Klasy zagrożenia suszą hydrogeologiczną.</w:t>
      </w:r>
      <w:bookmarkEnd w:id="203"/>
    </w:p>
    <w:p w14:paraId="30A5F621" w14:textId="77777777" w:rsidR="00D155AA" w:rsidRPr="00655FC7" w:rsidRDefault="00D155AA" w:rsidP="009C549F">
      <w:pPr>
        <w:pStyle w:val="Cytat"/>
      </w:pPr>
      <w:r w:rsidRPr="00655FC7">
        <w:t>źródło: opracowanie własne na podstawie https://wody.isok.gov.pl/</w:t>
      </w:r>
    </w:p>
    <w:p w14:paraId="69E0246E" w14:textId="77777777" w:rsidR="00D155AA" w:rsidRPr="00655FC7" w:rsidRDefault="00D155AA" w:rsidP="00D155AA">
      <w:pPr>
        <w:ind w:firstLine="0"/>
        <w:jc w:val="center"/>
        <w:rPr>
          <w:rFonts w:cstheme="minorHAnsi"/>
        </w:rPr>
      </w:pPr>
      <w:r w:rsidRPr="00655FC7">
        <w:rPr>
          <w:rFonts w:cstheme="minorHAnsi"/>
          <w:noProof/>
        </w:rPr>
        <w:lastRenderedPageBreak/>
        <w:drawing>
          <wp:inline distT="0" distB="0" distL="0" distR="0" wp14:anchorId="550E579D" wp14:editId="685BF462">
            <wp:extent cx="5760000" cy="4073225"/>
            <wp:effectExtent l="19050" t="19050" r="12700" b="22860"/>
            <wp:docPr id="411811400" name="Obraz 14" descr="Obraz zawierający tekst, diagram, Plan, zrzut ekranu&#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11400" name="Obraz 14" descr="Obraz zawierający tekst, diagram, Plan, zrzut ekranu&#10;&#10;Opis wygenerowany automatyczni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60000" cy="4073225"/>
                    </a:xfrm>
                    <a:prstGeom prst="rect">
                      <a:avLst/>
                    </a:prstGeom>
                    <a:ln>
                      <a:solidFill>
                        <a:schemeClr val="tx1"/>
                      </a:solidFill>
                    </a:ln>
                  </pic:spPr>
                </pic:pic>
              </a:graphicData>
            </a:graphic>
          </wp:inline>
        </w:drawing>
      </w:r>
    </w:p>
    <w:p w14:paraId="56E284FF" w14:textId="5EC7739B" w:rsidR="00D155AA" w:rsidRPr="00655FC7" w:rsidRDefault="00D155AA" w:rsidP="00D155AA">
      <w:pPr>
        <w:pStyle w:val="Stylrysunek"/>
      </w:pPr>
      <w:bookmarkStart w:id="204" w:name="_Toc178846385"/>
      <w:r w:rsidRPr="00655FC7">
        <w:t xml:space="preserve">Rysunek </w:t>
      </w:r>
      <w:r w:rsidR="00EA4C85">
        <w:fldChar w:fldCharType="begin"/>
      </w:r>
      <w:r w:rsidR="00EA4C85">
        <w:instrText xml:space="preserve"> SEQ Rysunek \* ARABIC </w:instrText>
      </w:r>
      <w:r w:rsidR="00EA4C85">
        <w:fldChar w:fldCharType="separate"/>
      </w:r>
      <w:r w:rsidR="00A654D8">
        <w:rPr>
          <w:noProof/>
        </w:rPr>
        <w:t>43</w:t>
      </w:r>
      <w:r w:rsidR="00EA4C85">
        <w:rPr>
          <w:noProof/>
        </w:rPr>
        <w:fldChar w:fldCharType="end"/>
      </w:r>
      <w:r w:rsidRPr="00655FC7">
        <w:t>. Klasy łącznego zagrożenia suszą.</w:t>
      </w:r>
      <w:bookmarkEnd w:id="204"/>
    </w:p>
    <w:p w14:paraId="4B152033" w14:textId="4E80398B" w:rsidR="009C549F" w:rsidRPr="00655FC7" w:rsidRDefault="00D155AA" w:rsidP="00D155AA">
      <w:pPr>
        <w:pStyle w:val="Cytat"/>
      </w:pPr>
      <w:r w:rsidRPr="00655FC7">
        <w:t>źródło: opracowanie własne na podstawie https://wody.isok.gov.pl/</w:t>
      </w:r>
    </w:p>
    <w:p w14:paraId="3E111BF7" w14:textId="77777777" w:rsidR="009C549F" w:rsidRPr="00655FC7" w:rsidRDefault="009C549F" w:rsidP="009C549F"/>
    <w:p w14:paraId="686E2E35" w14:textId="163D05B8" w:rsidR="00D155AA" w:rsidRPr="00655FC7" w:rsidRDefault="00D155AA" w:rsidP="009E32F5">
      <w:r w:rsidRPr="00655FC7">
        <w:t>Jak można zauważyć na zamieszczonych mapach, Miasto Tarnogród najbardziej zagrożone jest suszą hydrologiczną (silne zagrożenie). W przypadku suszy atmosferycznej mówimy o umiarkowanym zagrożeniu, a w przypadku zarówno suszy rolniczej jak i hydrogeologicznej, zagrożenie określono jako słabe.</w:t>
      </w:r>
    </w:p>
    <w:p w14:paraId="65EF8D01" w14:textId="77777777" w:rsidR="00D155AA" w:rsidRPr="00655FC7" w:rsidRDefault="00D155AA" w:rsidP="00D155AA">
      <w:r w:rsidRPr="00655FC7">
        <w:t>Łączne zagrożenie suszą na obszarze miasta jest umiarkowane.</w:t>
      </w:r>
    </w:p>
    <w:p w14:paraId="320152D4" w14:textId="77777777" w:rsidR="00D155AA" w:rsidRPr="00655FC7" w:rsidRDefault="00D155AA" w:rsidP="00D155AA">
      <w:pPr>
        <w:ind w:firstLine="0"/>
        <w:rPr>
          <w:rFonts w:cstheme="minorHAnsi"/>
          <w:color w:val="auto"/>
        </w:rPr>
      </w:pPr>
    </w:p>
    <w:p w14:paraId="77D36554" w14:textId="77777777" w:rsidR="00D155AA" w:rsidRPr="00655FC7" w:rsidRDefault="00D155AA" w:rsidP="00D155AA">
      <w:pPr>
        <w:pStyle w:val="Nagwek3"/>
      </w:pPr>
      <w:bookmarkStart w:id="205" w:name="_Toc177732067"/>
      <w:r w:rsidRPr="00655FC7">
        <w:t>Retencja wód</w:t>
      </w:r>
      <w:bookmarkEnd w:id="205"/>
    </w:p>
    <w:p w14:paraId="03E35150" w14:textId="5A36FD2A" w:rsidR="00D155AA" w:rsidRPr="00655FC7" w:rsidRDefault="00D155AA" w:rsidP="00D155AA">
      <w:pPr>
        <w:rPr>
          <w:rFonts w:cstheme="minorHAnsi"/>
          <w:color w:val="auto"/>
        </w:rPr>
      </w:pPr>
      <w:r w:rsidRPr="00655FC7">
        <w:rPr>
          <w:rFonts w:cstheme="minorHAnsi"/>
          <w:color w:val="auto"/>
        </w:rPr>
        <w:t>Retencja to magazynowanie wody opadowej na powierzchni ziemi, w gruncie oraz</w:t>
      </w:r>
      <w:r w:rsidR="009E32F5" w:rsidRPr="00655FC7">
        <w:rPr>
          <w:rFonts w:cstheme="minorHAnsi"/>
          <w:color w:val="auto"/>
        </w:rPr>
        <w:t xml:space="preserve"> </w:t>
      </w:r>
      <w:r w:rsidRPr="00655FC7">
        <w:rPr>
          <w:rFonts w:cstheme="minorHAnsi"/>
          <w:color w:val="auto"/>
        </w:rPr>
        <w:t>zbiornikach naturalnych i sztucznych. Szczególnie istotny element retencjonowania wód stanowi tzw. mała retencja. Obejmuje ona działania mające na celu zwiększenie zdolności retencyjnych zlewni rzecznej z wykorzystaniem zarówno metod technicznych, jak i nietechnicznych (naturalnych). Przywracanie naturalnych zdolności retencyjnych zlewni rzecznych można uznać za jedną z</w:t>
      </w:r>
      <w:r w:rsidR="009E32F5" w:rsidRPr="00655FC7">
        <w:rPr>
          <w:rFonts w:cstheme="minorHAnsi"/>
          <w:color w:val="auto"/>
        </w:rPr>
        <w:t xml:space="preserve"> </w:t>
      </w:r>
      <w:r w:rsidRPr="00655FC7">
        <w:rPr>
          <w:rFonts w:cstheme="minorHAnsi"/>
          <w:color w:val="auto"/>
        </w:rPr>
        <w:t>najbardziej przyjaznych środowisku metod pozwalających na ograniczenie suszy i</w:t>
      </w:r>
      <w:r w:rsidR="009E32F5" w:rsidRPr="00655FC7">
        <w:rPr>
          <w:rFonts w:cstheme="minorHAnsi"/>
          <w:color w:val="auto"/>
        </w:rPr>
        <w:t xml:space="preserve"> </w:t>
      </w:r>
      <w:r w:rsidRPr="00655FC7">
        <w:rPr>
          <w:rFonts w:cstheme="minorHAnsi"/>
          <w:color w:val="auto"/>
        </w:rPr>
        <w:t>zmniejszenie zagrożenia powodziowego</w:t>
      </w:r>
      <w:r w:rsidRPr="00655FC7">
        <w:rPr>
          <w:rFonts w:cstheme="minorHAnsi"/>
          <w:color w:val="auto"/>
          <w:vertAlign w:val="superscript"/>
        </w:rPr>
        <w:footnoteReference w:id="30"/>
      </w:r>
      <w:r w:rsidRPr="00655FC7">
        <w:rPr>
          <w:rFonts w:cstheme="minorHAnsi"/>
          <w:color w:val="auto"/>
        </w:rPr>
        <w:t>. Rozwój małej retencji wspierał program „Moja woda”. Kwoty udzielonych dotacji oraz pojemność zbiorników retencyjnych, które zrealizowano w ramach programu zostały zestawione w poniższej tabeli. Dzięki datacjom z</w:t>
      </w:r>
      <w:r w:rsidR="009E32F5" w:rsidRPr="00655FC7">
        <w:rPr>
          <w:rFonts w:cstheme="minorHAnsi"/>
          <w:color w:val="auto"/>
        </w:rPr>
        <w:t xml:space="preserve"> </w:t>
      </w:r>
      <w:r w:rsidRPr="00655FC7">
        <w:rPr>
          <w:rFonts w:cstheme="minorHAnsi"/>
          <w:color w:val="auto"/>
        </w:rPr>
        <w:t>programu udało się stworzyć zbiorniki retencyjne o łącznej pojemności 38 m</w:t>
      </w:r>
      <w:r w:rsidRPr="00655FC7">
        <w:rPr>
          <w:rFonts w:cstheme="minorHAnsi"/>
          <w:color w:val="auto"/>
          <w:vertAlign w:val="superscript"/>
        </w:rPr>
        <w:t>3</w:t>
      </w:r>
      <w:r w:rsidRPr="00655FC7">
        <w:rPr>
          <w:rFonts w:cstheme="minorHAnsi"/>
          <w:color w:val="auto"/>
        </w:rPr>
        <w:t xml:space="preserve">. </w:t>
      </w:r>
    </w:p>
    <w:p w14:paraId="42B31F09" w14:textId="77777777" w:rsidR="00D155AA" w:rsidRDefault="00D155AA" w:rsidP="00D155AA">
      <w:pPr>
        <w:rPr>
          <w:rFonts w:cstheme="minorHAnsi"/>
        </w:rPr>
      </w:pPr>
    </w:p>
    <w:p w14:paraId="530B9296" w14:textId="77777777" w:rsidR="008F2B93" w:rsidRPr="00655FC7" w:rsidRDefault="008F2B93" w:rsidP="00D155AA">
      <w:pPr>
        <w:rPr>
          <w:rFonts w:cstheme="minorHAnsi"/>
        </w:rPr>
      </w:pPr>
    </w:p>
    <w:p w14:paraId="6CBA8637" w14:textId="79E6696A" w:rsidR="00D155AA" w:rsidRPr="00655FC7" w:rsidRDefault="00D155AA" w:rsidP="00D155AA">
      <w:pPr>
        <w:pStyle w:val="Styltabela"/>
        <w:rPr>
          <w:rFonts w:eastAsiaTheme="minorEastAsia"/>
        </w:rPr>
      </w:pPr>
      <w:bookmarkStart w:id="206" w:name="_Toc178846329"/>
      <w:r w:rsidRPr="00655FC7">
        <w:rPr>
          <w:rFonts w:eastAsiaTheme="minorEastAsia"/>
        </w:rPr>
        <w:t xml:space="preserve">Tabela </w:t>
      </w:r>
      <w:r w:rsidR="00E833A9">
        <w:rPr>
          <w:rFonts w:eastAsiaTheme="minorEastAsia"/>
        </w:rPr>
        <w:fldChar w:fldCharType="begin"/>
      </w:r>
      <w:r w:rsidR="00E833A9">
        <w:rPr>
          <w:rFonts w:eastAsiaTheme="minorEastAsia"/>
        </w:rPr>
        <w:instrText xml:space="preserve"> SEQ Tabela \* ARABIC </w:instrText>
      </w:r>
      <w:r w:rsidR="00E833A9">
        <w:rPr>
          <w:rFonts w:eastAsiaTheme="minorEastAsia"/>
        </w:rPr>
        <w:fldChar w:fldCharType="separate"/>
      </w:r>
      <w:r w:rsidR="00A654D8">
        <w:rPr>
          <w:rFonts w:eastAsiaTheme="minorEastAsia"/>
          <w:noProof/>
        </w:rPr>
        <w:t>23</w:t>
      </w:r>
      <w:r w:rsidR="00E833A9">
        <w:rPr>
          <w:rFonts w:eastAsiaTheme="minorEastAsia"/>
        </w:rPr>
        <w:fldChar w:fldCharType="end"/>
      </w:r>
      <w:r w:rsidRPr="00655FC7">
        <w:rPr>
          <w:rFonts w:eastAsiaTheme="minorEastAsia"/>
        </w:rPr>
        <w:t>. Dotacje udzielone z programu „Moja woda”.</w:t>
      </w:r>
      <w:bookmarkEnd w:id="206"/>
    </w:p>
    <w:tbl>
      <w:tblPr>
        <w:tblStyle w:val="Tabelalisty2akcent1"/>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24"/>
        <w:gridCol w:w="3024"/>
        <w:gridCol w:w="3024"/>
      </w:tblGrid>
      <w:tr w:rsidR="00D155AA" w:rsidRPr="00655FC7" w14:paraId="2574E36D" w14:textId="77777777" w:rsidTr="007B1799">
        <w:trPr>
          <w:cnfStyle w:val="000000100000" w:firstRow="0" w:lastRow="0" w:firstColumn="0" w:lastColumn="0" w:oddVBand="0" w:evenVBand="0" w:oddHBand="1" w:evenHBand="0" w:firstRowFirstColumn="0" w:firstRowLastColumn="0" w:lastRowFirstColumn="0" w:lastRowLastColumn="0"/>
          <w:trHeight w:val="283"/>
          <w:jc w:val="center"/>
        </w:trPr>
        <w:tc>
          <w:tcPr>
            <w:cnfStyle w:val="000010000000" w:firstRow="0" w:lastRow="0" w:firstColumn="0" w:lastColumn="0" w:oddVBand="1" w:evenVBand="0" w:oddHBand="0" w:evenHBand="0" w:firstRowFirstColumn="0" w:firstRowLastColumn="0" w:lastRowFirstColumn="0" w:lastRowLastColumn="0"/>
            <w:tcW w:w="9080" w:type="dxa"/>
            <w:gridSpan w:val="3"/>
            <w:shd w:val="clear" w:color="auto" w:fill="C3E098" w:themeFill="accent1" w:themeFillTint="66"/>
            <w:vAlign w:val="center"/>
          </w:tcPr>
          <w:p w14:paraId="4ABBE60A" w14:textId="77777777" w:rsidR="00D155AA" w:rsidRPr="00655FC7" w:rsidRDefault="00D155AA" w:rsidP="00827748">
            <w:pPr>
              <w:widowControl w:val="0"/>
              <w:suppressLineNumbers/>
              <w:suppressAutoHyphens/>
              <w:ind w:firstLine="0"/>
              <w:jc w:val="center"/>
              <w:rPr>
                <w:rFonts w:eastAsia="NSimSun" w:cstheme="minorHAnsi"/>
                <w:color w:val="auto"/>
                <w:kern w:val="2"/>
                <w:sz w:val="18"/>
                <w:szCs w:val="18"/>
                <w:lang w:eastAsia="zh-CN" w:bidi="hi-IN"/>
              </w:rPr>
            </w:pPr>
            <w:r w:rsidRPr="00655FC7">
              <w:rPr>
                <w:rFonts w:eastAsia="NSimSun" w:cstheme="minorHAnsi"/>
                <w:color w:val="auto"/>
                <w:kern w:val="2"/>
                <w:sz w:val="18"/>
                <w:szCs w:val="18"/>
                <w:lang w:eastAsia="zh-CN" w:bidi="hi-IN"/>
              </w:rPr>
              <w:t>Ilość udzielonych dotacji (szt.)</w:t>
            </w:r>
          </w:p>
        </w:tc>
      </w:tr>
      <w:tr w:rsidR="00D155AA" w:rsidRPr="00655FC7" w14:paraId="5B99898E" w14:textId="77777777" w:rsidTr="00655FC7">
        <w:trPr>
          <w:trHeight w:val="283"/>
          <w:jc w:val="center"/>
        </w:trPr>
        <w:tc>
          <w:tcPr>
            <w:cnfStyle w:val="000010000000" w:firstRow="0" w:lastRow="0" w:firstColumn="0" w:lastColumn="0" w:oddVBand="1" w:evenVBand="0" w:oddHBand="0" w:evenHBand="0" w:firstRowFirstColumn="0" w:firstRowLastColumn="0" w:lastRowFirstColumn="0" w:lastRowLastColumn="0"/>
            <w:tcW w:w="3026" w:type="dxa"/>
            <w:vAlign w:val="center"/>
          </w:tcPr>
          <w:p w14:paraId="1045A59E" w14:textId="77777777" w:rsidR="00D155AA" w:rsidRPr="00655FC7" w:rsidRDefault="00D155AA" w:rsidP="00827748">
            <w:pPr>
              <w:widowControl w:val="0"/>
              <w:suppressLineNumbers/>
              <w:suppressAutoHyphens/>
              <w:ind w:firstLine="0"/>
              <w:jc w:val="center"/>
              <w:rPr>
                <w:rFonts w:eastAsia="NSimSun" w:cstheme="minorHAnsi"/>
                <w:color w:val="auto"/>
                <w:kern w:val="2"/>
                <w:sz w:val="18"/>
                <w:szCs w:val="18"/>
                <w:lang w:eastAsia="zh-CN" w:bidi="hi-IN"/>
              </w:rPr>
            </w:pPr>
            <w:r w:rsidRPr="00655FC7">
              <w:rPr>
                <w:rFonts w:eastAsia="NSimSun" w:cstheme="minorHAnsi"/>
                <w:color w:val="auto"/>
                <w:kern w:val="2"/>
                <w:sz w:val="18"/>
                <w:szCs w:val="18"/>
                <w:lang w:eastAsia="zh-CN" w:bidi="hi-IN"/>
              </w:rPr>
              <w:t>Edycja 1</w:t>
            </w:r>
          </w:p>
        </w:tc>
        <w:tc>
          <w:tcPr>
            <w:tcW w:w="3027" w:type="dxa"/>
            <w:shd w:val="clear" w:color="auto" w:fill="E1EFCB" w:themeFill="accent1" w:themeFillTint="33"/>
            <w:vAlign w:val="center"/>
          </w:tcPr>
          <w:p w14:paraId="5AEF49C8" w14:textId="77777777" w:rsidR="00D155AA" w:rsidRPr="00655FC7" w:rsidRDefault="00D155AA" w:rsidP="00827748">
            <w:pPr>
              <w:widowControl w:val="0"/>
              <w:suppressLineNumbers/>
              <w:suppressAutoHyphens/>
              <w:ind w:firstLine="0"/>
              <w:jc w:val="center"/>
              <w:cnfStyle w:val="000000000000" w:firstRow="0" w:lastRow="0" w:firstColumn="0" w:lastColumn="0" w:oddVBand="0" w:evenVBand="0" w:oddHBand="0" w:evenHBand="0" w:firstRowFirstColumn="0" w:firstRowLastColumn="0" w:lastRowFirstColumn="0" w:lastRowLastColumn="0"/>
              <w:rPr>
                <w:rFonts w:eastAsia="NSimSun" w:cstheme="minorHAnsi"/>
                <w:color w:val="auto"/>
                <w:kern w:val="2"/>
                <w:sz w:val="18"/>
                <w:szCs w:val="18"/>
                <w:lang w:eastAsia="zh-CN" w:bidi="hi-IN"/>
              </w:rPr>
            </w:pPr>
            <w:r w:rsidRPr="00655FC7">
              <w:rPr>
                <w:rFonts w:eastAsia="NSimSun" w:cstheme="minorHAnsi"/>
                <w:color w:val="auto"/>
                <w:kern w:val="2"/>
                <w:sz w:val="18"/>
                <w:szCs w:val="18"/>
                <w:lang w:eastAsia="zh-CN" w:bidi="hi-IN"/>
              </w:rPr>
              <w:t>Edycja 2</w:t>
            </w:r>
          </w:p>
        </w:tc>
        <w:tc>
          <w:tcPr>
            <w:cnfStyle w:val="000010000000" w:firstRow="0" w:lastRow="0" w:firstColumn="0" w:lastColumn="0" w:oddVBand="1" w:evenVBand="0" w:oddHBand="0" w:evenHBand="0" w:firstRowFirstColumn="0" w:firstRowLastColumn="0" w:lastRowFirstColumn="0" w:lastRowLastColumn="0"/>
            <w:tcW w:w="3027" w:type="dxa"/>
            <w:vAlign w:val="center"/>
          </w:tcPr>
          <w:p w14:paraId="28EE5E04" w14:textId="77777777" w:rsidR="00D155AA" w:rsidRPr="00655FC7" w:rsidRDefault="00D155AA" w:rsidP="00827748">
            <w:pPr>
              <w:widowControl w:val="0"/>
              <w:suppressLineNumbers/>
              <w:suppressAutoHyphens/>
              <w:ind w:firstLine="0"/>
              <w:jc w:val="center"/>
              <w:rPr>
                <w:rFonts w:eastAsia="NSimSun" w:cstheme="minorHAnsi"/>
                <w:color w:val="auto"/>
                <w:kern w:val="2"/>
                <w:sz w:val="18"/>
                <w:szCs w:val="18"/>
                <w:lang w:eastAsia="zh-CN" w:bidi="hi-IN"/>
              </w:rPr>
            </w:pPr>
            <w:r w:rsidRPr="00655FC7">
              <w:rPr>
                <w:rFonts w:eastAsia="NSimSun" w:cstheme="minorHAnsi"/>
                <w:color w:val="auto"/>
                <w:kern w:val="2"/>
                <w:sz w:val="18"/>
                <w:szCs w:val="18"/>
                <w:lang w:eastAsia="zh-CN" w:bidi="hi-IN"/>
              </w:rPr>
              <w:t>we wszystkich edycjach</w:t>
            </w:r>
          </w:p>
        </w:tc>
      </w:tr>
      <w:tr w:rsidR="00D155AA" w:rsidRPr="00655FC7" w14:paraId="1C56F671" w14:textId="77777777" w:rsidTr="007B1799">
        <w:trPr>
          <w:cnfStyle w:val="000000100000" w:firstRow="0" w:lastRow="0" w:firstColumn="0" w:lastColumn="0" w:oddVBand="0" w:evenVBand="0" w:oddHBand="1" w:evenHBand="0" w:firstRowFirstColumn="0" w:firstRowLastColumn="0" w:lastRowFirstColumn="0" w:lastRowLastColumn="0"/>
          <w:trHeight w:val="283"/>
          <w:jc w:val="center"/>
        </w:trPr>
        <w:tc>
          <w:tcPr>
            <w:cnfStyle w:val="000010000000" w:firstRow="0" w:lastRow="0" w:firstColumn="0" w:lastColumn="0" w:oddVBand="1" w:evenVBand="0" w:oddHBand="0" w:evenHBand="0" w:firstRowFirstColumn="0" w:firstRowLastColumn="0" w:lastRowFirstColumn="0" w:lastRowLastColumn="0"/>
            <w:tcW w:w="3026" w:type="dxa"/>
            <w:shd w:val="clear" w:color="auto" w:fill="auto"/>
            <w:vAlign w:val="center"/>
          </w:tcPr>
          <w:p w14:paraId="2C3EFF14" w14:textId="77777777" w:rsidR="00D155AA" w:rsidRPr="00655FC7" w:rsidRDefault="00D155AA" w:rsidP="00827748">
            <w:pPr>
              <w:widowControl w:val="0"/>
              <w:suppressLineNumbers/>
              <w:suppressAutoHyphens/>
              <w:ind w:firstLine="0"/>
              <w:jc w:val="center"/>
              <w:rPr>
                <w:rFonts w:eastAsia="NSimSun" w:cstheme="minorHAnsi"/>
                <w:color w:val="auto"/>
                <w:kern w:val="2"/>
                <w:sz w:val="18"/>
                <w:szCs w:val="18"/>
                <w:lang w:eastAsia="zh-CN" w:bidi="hi-IN"/>
              </w:rPr>
            </w:pPr>
            <w:r w:rsidRPr="00655FC7">
              <w:rPr>
                <w:rFonts w:eastAsia="NSimSun" w:cstheme="minorHAnsi"/>
                <w:color w:val="auto"/>
                <w:kern w:val="2"/>
                <w:sz w:val="18"/>
                <w:szCs w:val="18"/>
                <w:lang w:eastAsia="zh-CN" w:bidi="hi-IN"/>
              </w:rPr>
              <w:t>1</w:t>
            </w:r>
          </w:p>
        </w:tc>
        <w:tc>
          <w:tcPr>
            <w:tcW w:w="3027" w:type="dxa"/>
            <w:shd w:val="clear" w:color="auto" w:fill="auto"/>
            <w:vAlign w:val="center"/>
          </w:tcPr>
          <w:p w14:paraId="07CC6ABA" w14:textId="77777777" w:rsidR="00D155AA" w:rsidRPr="00655FC7" w:rsidRDefault="00D155AA" w:rsidP="00827748">
            <w:pPr>
              <w:widowControl w:val="0"/>
              <w:suppressLineNumbers/>
              <w:suppressAutoHyphens/>
              <w:ind w:firstLine="0"/>
              <w:jc w:val="center"/>
              <w:cnfStyle w:val="000000100000" w:firstRow="0" w:lastRow="0" w:firstColumn="0" w:lastColumn="0" w:oddVBand="0" w:evenVBand="0" w:oddHBand="1" w:evenHBand="0" w:firstRowFirstColumn="0" w:firstRowLastColumn="0" w:lastRowFirstColumn="0" w:lastRowLastColumn="0"/>
              <w:rPr>
                <w:rFonts w:eastAsia="NSimSun" w:cstheme="minorHAnsi"/>
                <w:color w:val="auto"/>
                <w:kern w:val="2"/>
                <w:sz w:val="18"/>
                <w:szCs w:val="18"/>
                <w:lang w:eastAsia="zh-CN" w:bidi="hi-IN"/>
              </w:rPr>
            </w:pPr>
            <w:r w:rsidRPr="00655FC7">
              <w:rPr>
                <w:rFonts w:eastAsia="NSimSun" w:cstheme="minorHAnsi"/>
                <w:color w:val="auto"/>
                <w:kern w:val="2"/>
                <w:sz w:val="18"/>
                <w:szCs w:val="18"/>
                <w:lang w:eastAsia="zh-CN" w:bidi="hi-IN"/>
              </w:rPr>
              <w:t>3</w:t>
            </w:r>
          </w:p>
        </w:tc>
        <w:tc>
          <w:tcPr>
            <w:cnfStyle w:val="000010000000" w:firstRow="0" w:lastRow="0" w:firstColumn="0" w:lastColumn="0" w:oddVBand="1" w:evenVBand="0" w:oddHBand="0" w:evenHBand="0" w:firstRowFirstColumn="0" w:firstRowLastColumn="0" w:lastRowFirstColumn="0" w:lastRowLastColumn="0"/>
            <w:tcW w:w="3027" w:type="dxa"/>
            <w:shd w:val="clear" w:color="auto" w:fill="auto"/>
            <w:vAlign w:val="center"/>
          </w:tcPr>
          <w:p w14:paraId="4827077C" w14:textId="77777777" w:rsidR="00D155AA" w:rsidRPr="00655FC7" w:rsidRDefault="00D155AA" w:rsidP="00827748">
            <w:pPr>
              <w:widowControl w:val="0"/>
              <w:suppressLineNumbers/>
              <w:suppressAutoHyphens/>
              <w:ind w:firstLine="0"/>
              <w:jc w:val="center"/>
              <w:rPr>
                <w:rFonts w:eastAsia="NSimSun" w:cstheme="minorHAnsi"/>
                <w:color w:val="auto"/>
                <w:kern w:val="2"/>
                <w:sz w:val="18"/>
                <w:szCs w:val="18"/>
                <w:lang w:eastAsia="zh-CN" w:bidi="hi-IN"/>
              </w:rPr>
            </w:pPr>
            <w:r w:rsidRPr="00655FC7">
              <w:rPr>
                <w:rFonts w:eastAsia="NSimSun" w:cstheme="minorHAnsi"/>
                <w:color w:val="auto"/>
                <w:kern w:val="2"/>
                <w:sz w:val="18"/>
                <w:szCs w:val="18"/>
                <w:lang w:eastAsia="zh-CN" w:bidi="hi-IN"/>
              </w:rPr>
              <w:t>4</w:t>
            </w:r>
          </w:p>
        </w:tc>
      </w:tr>
      <w:tr w:rsidR="00D155AA" w:rsidRPr="00655FC7" w14:paraId="5B515022" w14:textId="77777777" w:rsidTr="007B1799">
        <w:trPr>
          <w:trHeight w:val="283"/>
          <w:jc w:val="center"/>
        </w:trPr>
        <w:tc>
          <w:tcPr>
            <w:cnfStyle w:val="000010000000" w:firstRow="0" w:lastRow="0" w:firstColumn="0" w:lastColumn="0" w:oddVBand="1" w:evenVBand="0" w:oddHBand="0" w:evenHBand="0" w:firstRowFirstColumn="0" w:firstRowLastColumn="0" w:lastRowFirstColumn="0" w:lastRowLastColumn="0"/>
            <w:tcW w:w="9080" w:type="dxa"/>
            <w:gridSpan w:val="3"/>
            <w:shd w:val="clear" w:color="auto" w:fill="C3E098" w:themeFill="accent1" w:themeFillTint="66"/>
            <w:vAlign w:val="center"/>
          </w:tcPr>
          <w:p w14:paraId="4F391116" w14:textId="77777777" w:rsidR="00D155AA" w:rsidRPr="00655FC7" w:rsidRDefault="00D155AA" w:rsidP="00827748">
            <w:pPr>
              <w:widowControl w:val="0"/>
              <w:suppressLineNumbers/>
              <w:suppressAutoHyphens/>
              <w:ind w:firstLine="0"/>
              <w:jc w:val="center"/>
              <w:rPr>
                <w:rFonts w:eastAsia="NSimSun" w:cstheme="minorHAnsi"/>
                <w:color w:val="auto"/>
                <w:kern w:val="2"/>
                <w:sz w:val="18"/>
                <w:szCs w:val="18"/>
                <w:lang w:eastAsia="zh-CN" w:bidi="hi-IN"/>
              </w:rPr>
            </w:pPr>
            <w:r w:rsidRPr="00655FC7">
              <w:rPr>
                <w:rFonts w:eastAsia="NSimSun" w:cstheme="minorHAnsi"/>
                <w:color w:val="auto"/>
                <w:kern w:val="2"/>
                <w:sz w:val="18"/>
                <w:szCs w:val="18"/>
                <w:lang w:eastAsia="zh-CN" w:bidi="hi-IN"/>
              </w:rPr>
              <w:t>Sumaryczna kwota udzielonych dotacji (zł)</w:t>
            </w:r>
          </w:p>
        </w:tc>
      </w:tr>
      <w:tr w:rsidR="00D155AA" w:rsidRPr="00655FC7" w14:paraId="348E584F" w14:textId="77777777" w:rsidTr="007B1799">
        <w:trPr>
          <w:cnfStyle w:val="000000100000" w:firstRow="0" w:lastRow="0" w:firstColumn="0" w:lastColumn="0" w:oddVBand="0" w:evenVBand="0" w:oddHBand="1" w:evenHBand="0" w:firstRowFirstColumn="0" w:firstRowLastColumn="0" w:lastRowFirstColumn="0" w:lastRowLastColumn="0"/>
          <w:trHeight w:val="283"/>
          <w:jc w:val="center"/>
        </w:trPr>
        <w:tc>
          <w:tcPr>
            <w:cnfStyle w:val="000010000000" w:firstRow="0" w:lastRow="0" w:firstColumn="0" w:lastColumn="0" w:oddVBand="1" w:evenVBand="0" w:oddHBand="0" w:evenHBand="0" w:firstRowFirstColumn="0" w:firstRowLastColumn="0" w:lastRowFirstColumn="0" w:lastRowLastColumn="0"/>
            <w:tcW w:w="3026" w:type="dxa"/>
            <w:vAlign w:val="center"/>
          </w:tcPr>
          <w:p w14:paraId="597C0BB5" w14:textId="77777777" w:rsidR="00D155AA" w:rsidRPr="00655FC7" w:rsidRDefault="00D155AA" w:rsidP="00827748">
            <w:pPr>
              <w:widowControl w:val="0"/>
              <w:suppressLineNumbers/>
              <w:suppressAutoHyphens/>
              <w:ind w:firstLine="0"/>
              <w:jc w:val="center"/>
              <w:rPr>
                <w:rFonts w:eastAsia="NSimSun" w:cstheme="minorHAnsi"/>
                <w:color w:val="auto"/>
                <w:kern w:val="2"/>
                <w:sz w:val="18"/>
                <w:szCs w:val="18"/>
                <w:lang w:eastAsia="zh-CN" w:bidi="hi-IN"/>
              </w:rPr>
            </w:pPr>
            <w:r w:rsidRPr="00655FC7">
              <w:rPr>
                <w:rFonts w:eastAsia="NSimSun" w:cstheme="minorHAnsi"/>
                <w:color w:val="auto"/>
                <w:kern w:val="2"/>
                <w:sz w:val="18"/>
                <w:szCs w:val="18"/>
                <w:lang w:eastAsia="zh-CN" w:bidi="hi-IN"/>
              </w:rPr>
              <w:t>Edycja 1</w:t>
            </w:r>
          </w:p>
        </w:tc>
        <w:tc>
          <w:tcPr>
            <w:tcW w:w="3027" w:type="dxa"/>
            <w:vAlign w:val="center"/>
          </w:tcPr>
          <w:p w14:paraId="06D9F30D" w14:textId="77777777" w:rsidR="00D155AA" w:rsidRPr="00655FC7" w:rsidRDefault="00D155AA" w:rsidP="00827748">
            <w:pPr>
              <w:widowControl w:val="0"/>
              <w:suppressLineNumbers/>
              <w:suppressAutoHyphens/>
              <w:ind w:firstLine="0"/>
              <w:jc w:val="center"/>
              <w:cnfStyle w:val="000000100000" w:firstRow="0" w:lastRow="0" w:firstColumn="0" w:lastColumn="0" w:oddVBand="0" w:evenVBand="0" w:oddHBand="1" w:evenHBand="0" w:firstRowFirstColumn="0" w:firstRowLastColumn="0" w:lastRowFirstColumn="0" w:lastRowLastColumn="0"/>
              <w:rPr>
                <w:rFonts w:eastAsia="NSimSun" w:cstheme="minorHAnsi"/>
                <w:color w:val="auto"/>
                <w:kern w:val="2"/>
                <w:sz w:val="18"/>
                <w:szCs w:val="18"/>
                <w:lang w:eastAsia="zh-CN" w:bidi="hi-IN"/>
              </w:rPr>
            </w:pPr>
            <w:r w:rsidRPr="00655FC7">
              <w:rPr>
                <w:rFonts w:eastAsia="NSimSun" w:cstheme="minorHAnsi"/>
                <w:color w:val="auto"/>
                <w:kern w:val="2"/>
                <w:sz w:val="18"/>
                <w:szCs w:val="18"/>
                <w:lang w:eastAsia="zh-CN" w:bidi="hi-IN"/>
              </w:rPr>
              <w:t>Edycja 2</w:t>
            </w:r>
          </w:p>
        </w:tc>
        <w:tc>
          <w:tcPr>
            <w:cnfStyle w:val="000010000000" w:firstRow="0" w:lastRow="0" w:firstColumn="0" w:lastColumn="0" w:oddVBand="1" w:evenVBand="0" w:oddHBand="0" w:evenHBand="0" w:firstRowFirstColumn="0" w:firstRowLastColumn="0" w:lastRowFirstColumn="0" w:lastRowLastColumn="0"/>
            <w:tcW w:w="3027" w:type="dxa"/>
            <w:vAlign w:val="center"/>
          </w:tcPr>
          <w:p w14:paraId="724DFA75" w14:textId="77777777" w:rsidR="00D155AA" w:rsidRPr="00655FC7" w:rsidRDefault="00D155AA" w:rsidP="00827748">
            <w:pPr>
              <w:widowControl w:val="0"/>
              <w:suppressLineNumbers/>
              <w:suppressAutoHyphens/>
              <w:ind w:firstLine="0"/>
              <w:jc w:val="center"/>
              <w:rPr>
                <w:rFonts w:eastAsia="NSimSun" w:cstheme="minorHAnsi"/>
                <w:color w:val="auto"/>
                <w:kern w:val="2"/>
                <w:sz w:val="18"/>
                <w:szCs w:val="18"/>
                <w:lang w:eastAsia="zh-CN" w:bidi="hi-IN"/>
              </w:rPr>
            </w:pPr>
            <w:r w:rsidRPr="00655FC7">
              <w:rPr>
                <w:rFonts w:eastAsia="NSimSun" w:cstheme="minorHAnsi"/>
                <w:color w:val="auto"/>
                <w:kern w:val="2"/>
                <w:sz w:val="18"/>
                <w:szCs w:val="18"/>
                <w:lang w:eastAsia="zh-CN" w:bidi="hi-IN"/>
              </w:rPr>
              <w:t>we wszystkich edycjach</w:t>
            </w:r>
          </w:p>
        </w:tc>
      </w:tr>
      <w:tr w:rsidR="00D155AA" w:rsidRPr="00655FC7" w14:paraId="275C93DD" w14:textId="77777777" w:rsidTr="007B1799">
        <w:trPr>
          <w:trHeight w:val="283"/>
          <w:jc w:val="center"/>
        </w:trPr>
        <w:tc>
          <w:tcPr>
            <w:cnfStyle w:val="000010000000" w:firstRow="0" w:lastRow="0" w:firstColumn="0" w:lastColumn="0" w:oddVBand="1" w:evenVBand="0" w:oddHBand="0" w:evenHBand="0" w:firstRowFirstColumn="0" w:firstRowLastColumn="0" w:lastRowFirstColumn="0" w:lastRowLastColumn="0"/>
            <w:tcW w:w="3026" w:type="dxa"/>
            <w:shd w:val="clear" w:color="auto" w:fill="auto"/>
            <w:vAlign w:val="center"/>
          </w:tcPr>
          <w:p w14:paraId="53DEA7A3" w14:textId="77777777" w:rsidR="00D155AA" w:rsidRPr="00655FC7" w:rsidRDefault="00D155AA" w:rsidP="00827748">
            <w:pPr>
              <w:widowControl w:val="0"/>
              <w:suppressLineNumbers/>
              <w:suppressAutoHyphens/>
              <w:ind w:firstLine="0"/>
              <w:jc w:val="center"/>
              <w:rPr>
                <w:rFonts w:eastAsia="NSimSun" w:cstheme="minorHAnsi"/>
                <w:color w:val="auto"/>
                <w:kern w:val="2"/>
                <w:sz w:val="18"/>
                <w:szCs w:val="18"/>
                <w:lang w:eastAsia="zh-CN" w:bidi="hi-IN"/>
              </w:rPr>
            </w:pPr>
            <w:r w:rsidRPr="00655FC7">
              <w:rPr>
                <w:rFonts w:eastAsia="NSimSun" w:cstheme="minorHAnsi"/>
                <w:color w:val="auto"/>
                <w:kern w:val="2"/>
                <w:sz w:val="18"/>
                <w:szCs w:val="18"/>
                <w:lang w:eastAsia="zh-CN" w:bidi="hi-IN"/>
              </w:rPr>
              <w:t>5 000</w:t>
            </w:r>
          </w:p>
        </w:tc>
        <w:tc>
          <w:tcPr>
            <w:tcW w:w="3027" w:type="dxa"/>
            <w:shd w:val="clear" w:color="auto" w:fill="auto"/>
            <w:vAlign w:val="center"/>
          </w:tcPr>
          <w:p w14:paraId="1FD2095C" w14:textId="77777777" w:rsidR="00D155AA" w:rsidRPr="00655FC7" w:rsidRDefault="00D155AA" w:rsidP="00827748">
            <w:pPr>
              <w:widowControl w:val="0"/>
              <w:suppressLineNumbers/>
              <w:suppressAutoHyphens/>
              <w:ind w:firstLine="0"/>
              <w:jc w:val="center"/>
              <w:cnfStyle w:val="000000000000" w:firstRow="0" w:lastRow="0" w:firstColumn="0" w:lastColumn="0" w:oddVBand="0" w:evenVBand="0" w:oddHBand="0" w:evenHBand="0" w:firstRowFirstColumn="0" w:firstRowLastColumn="0" w:lastRowFirstColumn="0" w:lastRowLastColumn="0"/>
              <w:rPr>
                <w:rFonts w:eastAsia="NSimSun" w:cstheme="minorHAnsi"/>
                <w:color w:val="auto"/>
                <w:kern w:val="2"/>
                <w:sz w:val="18"/>
                <w:szCs w:val="18"/>
                <w:lang w:eastAsia="zh-CN" w:bidi="hi-IN"/>
              </w:rPr>
            </w:pPr>
            <w:r w:rsidRPr="00655FC7">
              <w:rPr>
                <w:rFonts w:eastAsia="NSimSun" w:cstheme="minorHAnsi"/>
                <w:color w:val="auto"/>
                <w:kern w:val="2"/>
                <w:sz w:val="18"/>
                <w:szCs w:val="18"/>
                <w:lang w:eastAsia="zh-CN" w:bidi="hi-IN"/>
              </w:rPr>
              <w:t>15 000</w:t>
            </w:r>
          </w:p>
        </w:tc>
        <w:tc>
          <w:tcPr>
            <w:cnfStyle w:val="000010000000" w:firstRow="0" w:lastRow="0" w:firstColumn="0" w:lastColumn="0" w:oddVBand="1" w:evenVBand="0" w:oddHBand="0" w:evenHBand="0" w:firstRowFirstColumn="0" w:firstRowLastColumn="0" w:lastRowFirstColumn="0" w:lastRowLastColumn="0"/>
            <w:tcW w:w="3027" w:type="dxa"/>
            <w:shd w:val="clear" w:color="auto" w:fill="auto"/>
            <w:vAlign w:val="center"/>
          </w:tcPr>
          <w:p w14:paraId="57BDCC89" w14:textId="77777777" w:rsidR="00D155AA" w:rsidRPr="00655FC7" w:rsidRDefault="00D155AA" w:rsidP="00827748">
            <w:pPr>
              <w:widowControl w:val="0"/>
              <w:suppressLineNumbers/>
              <w:suppressAutoHyphens/>
              <w:ind w:firstLine="0"/>
              <w:jc w:val="center"/>
              <w:rPr>
                <w:rFonts w:eastAsia="NSimSun" w:cstheme="minorHAnsi"/>
                <w:color w:val="auto"/>
                <w:kern w:val="2"/>
                <w:sz w:val="18"/>
                <w:szCs w:val="18"/>
                <w:lang w:eastAsia="zh-CN" w:bidi="hi-IN"/>
              </w:rPr>
            </w:pPr>
            <w:r w:rsidRPr="00655FC7">
              <w:rPr>
                <w:rFonts w:eastAsia="NSimSun" w:cstheme="minorHAnsi"/>
                <w:color w:val="auto"/>
                <w:kern w:val="2"/>
                <w:sz w:val="18"/>
                <w:szCs w:val="18"/>
                <w:lang w:eastAsia="zh-CN" w:bidi="hi-IN"/>
              </w:rPr>
              <w:t>20 000</w:t>
            </w:r>
          </w:p>
        </w:tc>
      </w:tr>
      <w:tr w:rsidR="00D155AA" w:rsidRPr="00655FC7" w14:paraId="394431E3" w14:textId="77777777" w:rsidTr="007B1799">
        <w:trPr>
          <w:cnfStyle w:val="000000100000" w:firstRow="0" w:lastRow="0" w:firstColumn="0" w:lastColumn="0" w:oddVBand="0" w:evenVBand="0" w:oddHBand="1" w:evenHBand="0" w:firstRowFirstColumn="0" w:firstRowLastColumn="0" w:lastRowFirstColumn="0" w:lastRowLastColumn="0"/>
          <w:trHeight w:val="283"/>
          <w:jc w:val="center"/>
        </w:trPr>
        <w:tc>
          <w:tcPr>
            <w:cnfStyle w:val="000010000000" w:firstRow="0" w:lastRow="0" w:firstColumn="0" w:lastColumn="0" w:oddVBand="1" w:evenVBand="0" w:oddHBand="0" w:evenHBand="0" w:firstRowFirstColumn="0" w:firstRowLastColumn="0" w:lastRowFirstColumn="0" w:lastRowLastColumn="0"/>
            <w:tcW w:w="9080" w:type="dxa"/>
            <w:gridSpan w:val="3"/>
            <w:shd w:val="clear" w:color="auto" w:fill="C3E098" w:themeFill="accent1" w:themeFillTint="66"/>
            <w:vAlign w:val="center"/>
          </w:tcPr>
          <w:p w14:paraId="25A154F0" w14:textId="77777777" w:rsidR="00D155AA" w:rsidRPr="00655FC7" w:rsidRDefault="00D155AA" w:rsidP="00827748">
            <w:pPr>
              <w:widowControl w:val="0"/>
              <w:suppressLineNumbers/>
              <w:suppressAutoHyphens/>
              <w:ind w:firstLine="0"/>
              <w:jc w:val="center"/>
              <w:rPr>
                <w:rFonts w:eastAsia="NSimSun" w:cstheme="minorHAnsi"/>
                <w:color w:val="auto"/>
                <w:kern w:val="2"/>
                <w:sz w:val="18"/>
                <w:szCs w:val="18"/>
                <w:lang w:eastAsia="zh-CN" w:bidi="hi-IN"/>
              </w:rPr>
            </w:pPr>
            <w:r w:rsidRPr="00655FC7">
              <w:rPr>
                <w:rFonts w:eastAsia="NSimSun" w:cstheme="minorHAnsi"/>
                <w:color w:val="auto"/>
                <w:kern w:val="2"/>
                <w:sz w:val="18"/>
                <w:szCs w:val="18"/>
                <w:lang w:eastAsia="zh-CN" w:bidi="hi-IN"/>
              </w:rPr>
              <w:t>Pojemność zbiorników retencyjnych [m</w:t>
            </w:r>
            <w:r w:rsidRPr="00655FC7">
              <w:rPr>
                <w:rFonts w:eastAsia="NSimSun" w:cstheme="minorHAnsi"/>
                <w:color w:val="auto"/>
                <w:kern w:val="2"/>
                <w:sz w:val="18"/>
                <w:szCs w:val="18"/>
                <w:vertAlign w:val="superscript"/>
                <w:lang w:eastAsia="zh-CN" w:bidi="hi-IN"/>
              </w:rPr>
              <w:t>3</w:t>
            </w:r>
            <w:r w:rsidRPr="00655FC7">
              <w:rPr>
                <w:rFonts w:eastAsia="NSimSun" w:cstheme="minorHAnsi"/>
                <w:color w:val="auto"/>
                <w:kern w:val="2"/>
                <w:sz w:val="18"/>
                <w:szCs w:val="18"/>
                <w:lang w:eastAsia="zh-CN" w:bidi="hi-IN"/>
              </w:rPr>
              <w:t>]</w:t>
            </w:r>
          </w:p>
        </w:tc>
      </w:tr>
      <w:tr w:rsidR="00D155AA" w:rsidRPr="00655FC7" w14:paraId="0708FA5C" w14:textId="77777777" w:rsidTr="00655FC7">
        <w:trPr>
          <w:trHeight w:val="283"/>
          <w:jc w:val="center"/>
        </w:trPr>
        <w:tc>
          <w:tcPr>
            <w:cnfStyle w:val="000010000000" w:firstRow="0" w:lastRow="0" w:firstColumn="0" w:lastColumn="0" w:oddVBand="1" w:evenVBand="0" w:oddHBand="0" w:evenHBand="0" w:firstRowFirstColumn="0" w:firstRowLastColumn="0" w:lastRowFirstColumn="0" w:lastRowLastColumn="0"/>
            <w:tcW w:w="3026" w:type="dxa"/>
            <w:vAlign w:val="center"/>
          </w:tcPr>
          <w:p w14:paraId="083A9BDF" w14:textId="77777777" w:rsidR="00D155AA" w:rsidRPr="00655FC7" w:rsidRDefault="00D155AA" w:rsidP="00827748">
            <w:pPr>
              <w:widowControl w:val="0"/>
              <w:suppressLineNumbers/>
              <w:suppressAutoHyphens/>
              <w:ind w:firstLine="0"/>
              <w:jc w:val="center"/>
              <w:rPr>
                <w:rFonts w:eastAsia="NSimSun" w:cstheme="minorHAnsi"/>
                <w:color w:val="auto"/>
                <w:kern w:val="2"/>
                <w:sz w:val="18"/>
                <w:szCs w:val="18"/>
                <w:lang w:eastAsia="zh-CN" w:bidi="hi-IN"/>
              </w:rPr>
            </w:pPr>
            <w:r w:rsidRPr="00655FC7">
              <w:rPr>
                <w:rFonts w:eastAsia="NSimSun" w:cstheme="minorHAnsi"/>
                <w:color w:val="auto"/>
                <w:kern w:val="2"/>
                <w:sz w:val="18"/>
                <w:szCs w:val="18"/>
                <w:lang w:eastAsia="zh-CN" w:bidi="hi-IN"/>
              </w:rPr>
              <w:t>Edycja 1</w:t>
            </w:r>
          </w:p>
        </w:tc>
        <w:tc>
          <w:tcPr>
            <w:tcW w:w="3027" w:type="dxa"/>
            <w:shd w:val="clear" w:color="auto" w:fill="E1EFCB" w:themeFill="accent1" w:themeFillTint="33"/>
            <w:vAlign w:val="center"/>
          </w:tcPr>
          <w:p w14:paraId="4B7A7BA6" w14:textId="77777777" w:rsidR="00D155AA" w:rsidRPr="00655FC7" w:rsidRDefault="00D155AA" w:rsidP="00827748">
            <w:pPr>
              <w:widowControl w:val="0"/>
              <w:suppressLineNumbers/>
              <w:suppressAutoHyphens/>
              <w:ind w:firstLine="0"/>
              <w:jc w:val="center"/>
              <w:cnfStyle w:val="000000000000" w:firstRow="0" w:lastRow="0" w:firstColumn="0" w:lastColumn="0" w:oddVBand="0" w:evenVBand="0" w:oddHBand="0" w:evenHBand="0" w:firstRowFirstColumn="0" w:firstRowLastColumn="0" w:lastRowFirstColumn="0" w:lastRowLastColumn="0"/>
              <w:rPr>
                <w:rFonts w:eastAsia="NSimSun" w:cstheme="minorHAnsi"/>
                <w:color w:val="auto"/>
                <w:kern w:val="2"/>
                <w:sz w:val="18"/>
                <w:szCs w:val="18"/>
                <w:lang w:eastAsia="zh-CN" w:bidi="hi-IN"/>
              </w:rPr>
            </w:pPr>
            <w:r w:rsidRPr="00655FC7">
              <w:rPr>
                <w:rFonts w:eastAsia="NSimSun" w:cstheme="minorHAnsi"/>
                <w:color w:val="auto"/>
                <w:kern w:val="2"/>
                <w:sz w:val="18"/>
                <w:szCs w:val="18"/>
                <w:lang w:eastAsia="zh-CN" w:bidi="hi-IN"/>
              </w:rPr>
              <w:t>Edycja 2</w:t>
            </w:r>
          </w:p>
        </w:tc>
        <w:tc>
          <w:tcPr>
            <w:cnfStyle w:val="000010000000" w:firstRow="0" w:lastRow="0" w:firstColumn="0" w:lastColumn="0" w:oddVBand="1" w:evenVBand="0" w:oddHBand="0" w:evenHBand="0" w:firstRowFirstColumn="0" w:firstRowLastColumn="0" w:lastRowFirstColumn="0" w:lastRowLastColumn="0"/>
            <w:tcW w:w="3027" w:type="dxa"/>
            <w:vAlign w:val="center"/>
          </w:tcPr>
          <w:p w14:paraId="34E66DA4" w14:textId="77777777" w:rsidR="00D155AA" w:rsidRPr="00655FC7" w:rsidRDefault="00D155AA" w:rsidP="00827748">
            <w:pPr>
              <w:widowControl w:val="0"/>
              <w:suppressLineNumbers/>
              <w:suppressAutoHyphens/>
              <w:ind w:firstLine="0"/>
              <w:jc w:val="center"/>
              <w:rPr>
                <w:rFonts w:eastAsia="NSimSun" w:cstheme="minorHAnsi"/>
                <w:color w:val="auto"/>
                <w:kern w:val="2"/>
                <w:sz w:val="18"/>
                <w:szCs w:val="18"/>
                <w:lang w:eastAsia="zh-CN" w:bidi="hi-IN"/>
              </w:rPr>
            </w:pPr>
            <w:r w:rsidRPr="00655FC7">
              <w:rPr>
                <w:rFonts w:eastAsia="NSimSun" w:cstheme="minorHAnsi"/>
                <w:color w:val="auto"/>
                <w:kern w:val="2"/>
                <w:sz w:val="18"/>
                <w:szCs w:val="18"/>
                <w:lang w:eastAsia="zh-CN" w:bidi="hi-IN"/>
              </w:rPr>
              <w:t>we wszystkich edycjach</w:t>
            </w:r>
          </w:p>
        </w:tc>
      </w:tr>
      <w:tr w:rsidR="00D155AA" w:rsidRPr="00655FC7" w14:paraId="600026A5" w14:textId="77777777" w:rsidTr="007B1799">
        <w:trPr>
          <w:cnfStyle w:val="000000100000" w:firstRow="0" w:lastRow="0" w:firstColumn="0" w:lastColumn="0" w:oddVBand="0" w:evenVBand="0" w:oddHBand="1" w:evenHBand="0" w:firstRowFirstColumn="0" w:firstRowLastColumn="0" w:lastRowFirstColumn="0" w:lastRowLastColumn="0"/>
          <w:trHeight w:val="283"/>
          <w:jc w:val="center"/>
        </w:trPr>
        <w:tc>
          <w:tcPr>
            <w:cnfStyle w:val="000010000000" w:firstRow="0" w:lastRow="0" w:firstColumn="0" w:lastColumn="0" w:oddVBand="1" w:evenVBand="0" w:oddHBand="0" w:evenHBand="0" w:firstRowFirstColumn="0" w:firstRowLastColumn="0" w:lastRowFirstColumn="0" w:lastRowLastColumn="0"/>
            <w:tcW w:w="3026" w:type="dxa"/>
            <w:shd w:val="clear" w:color="auto" w:fill="auto"/>
            <w:vAlign w:val="center"/>
          </w:tcPr>
          <w:p w14:paraId="7E793D5C" w14:textId="77777777" w:rsidR="00D155AA" w:rsidRPr="00655FC7" w:rsidRDefault="00D155AA" w:rsidP="00827748">
            <w:pPr>
              <w:widowControl w:val="0"/>
              <w:suppressLineNumbers/>
              <w:suppressAutoHyphens/>
              <w:ind w:firstLine="0"/>
              <w:jc w:val="center"/>
              <w:rPr>
                <w:rFonts w:eastAsia="NSimSun" w:cstheme="minorHAnsi"/>
                <w:color w:val="auto"/>
                <w:kern w:val="2"/>
                <w:sz w:val="18"/>
                <w:szCs w:val="18"/>
                <w:lang w:eastAsia="zh-CN" w:bidi="hi-IN"/>
              </w:rPr>
            </w:pPr>
            <w:r w:rsidRPr="00655FC7">
              <w:rPr>
                <w:rFonts w:eastAsia="NSimSun" w:cstheme="minorHAnsi"/>
                <w:color w:val="auto"/>
                <w:kern w:val="2"/>
                <w:sz w:val="18"/>
                <w:szCs w:val="18"/>
                <w:lang w:eastAsia="zh-CN" w:bidi="hi-IN"/>
              </w:rPr>
              <w:t>8</w:t>
            </w:r>
          </w:p>
        </w:tc>
        <w:tc>
          <w:tcPr>
            <w:tcW w:w="3027" w:type="dxa"/>
            <w:shd w:val="clear" w:color="auto" w:fill="auto"/>
            <w:vAlign w:val="center"/>
          </w:tcPr>
          <w:p w14:paraId="0C33FD7E" w14:textId="77777777" w:rsidR="00D155AA" w:rsidRPr="00655FC7" w:rsidRDefault="00D155AA" w:rsidP="00827748">
            <w:pPr>
              <w:widowControl w:val="0"/>
              <w:suppressLineNumbers/>
              <w:suppressAutoHyphens/>
              <w:ind w:firstLine="0"/>
              <w:jc w:val="center"/>
              <w:cnfStyle w:val="000000100000" w:firstRow="0" w:lastRow="0" w:firstColumn="0" w:lastColumn="0" w:oddVBand="0" w:evenVBand="0" w:oddHBand="1" w:evenHBand="0" w:firstRowFirstColumn="0" w:firstRowLastColumn="0" w:lastRowFirstColumn="0" w:lastRowLastColumn="0"/>
              <w:rPr>
                <w:rFonts w:eastAsia="NSimSun" w:cstheme="minorHAnsi"/>
                <w:color w:val="auto"/>
                <w:kern w:val="2"/>
                <w:sz w:val="18"/>
                <w:szCs w:val="18"/>
                <w:lang w:eastAsia="zh-CN" w:bidi="hi-IN"/>
              </w:rPr>
            </w:pPr>
            <w:r w:rsidRPr="00655FC7">
              <w:rPr>
                <w:rFonts w:eastAsia="NSimSun" w:cstheme="minorHAnsi"/>
                <w:color w:val="auto"/>
                <w:kern w:val="2"/>
                <w:sz w:val="18"/>
                <w:szCs w:val="18"/>
                <w:lang w:eastAsia="zh-CN" w:bidi="hi-IN"/>
              </w:rPr>
              <w:t>30</w:t>
            </w:r>
          </w:p>
        </w:tc>
        <w:tc>
          <w:tcPr>
            <w:cnfStyle w:val="000010000000" w:firstRow="0" w:lastRow="0" w:firstColumn="0" w:lastColumn="0" w:oddVBand="1" w:evenVBand="0" w:oddHBand="0" w:evenHBand="0" w:firstRowFirstColumn="0" w:firstRowLastColumn="0" w:lastRowFirstColumn="0" w:lastRowLastColumn="0"/>
            <w:tcW w:w="3027" w:type="dxa"/>
            <w:shd w:val="clear" w:color="auto" w:fill="auto"/>
            <w:vAlign w:val="center"/>
          </w:tcPr>
          <w:p w14:paraId="4190830B" w14:textId="77777777" w:rsidR="00D155AA" w:rsidRPr="00655FC7" w:rsidRDefault="00D155AA" w:rsidP="00827748">
            <w:pPr>
              <w:widowControl w:val="0"/>
              <w:suppressLineNumbers/>
              <w:suppressAutoHyphens/>
              <w:ind w:firstLine="0"/>
              <w:jc w:val="center"/>
              <w:rPr>
                <w:rFonts w:eastAsia="NSimSun" w:cstheme="minorHAnsi"/>
                <w:color w:val="auto"/>
                <w:kern w:val="2"/>
                <w:sz w:val="18"/>
                <w:szCs w:val="18"/>
                <w:lang w:eastAsia="zh-CN" w:bidi="hi-IN"/>
              </w:rPr>
            </w:pPr>
            <w:r w:rsidRPr="00655FC7">
              <w:rPr>
                <w:rFonts w:eastAsia="NSimSun" w:cstheme="minorHAnsi"/>
                <w:color w:val="auto"/>
                <w:kern w:val="2"/>
                <w:sz w:val="18"/>
                <w:szCs w:val="18"/>
                <w:lang w:eastAsia="zh-CN" w:bidi="hi-IN"/>
              </w:rPr>
              <w:t>38</w:t>
            </w:r>
          </w:p>
        </w:tc>
      </w:tr>
    </w:tbl>
    <w:p w14:paraId="00D76621" w14:textId="77777777" w:rsidR="00D155AA" w:rsidRPr="00655FC7" w:rsidRDefault="00D155AA" w:rsidP="00D155AA">
      <w:pPr>
        <w:pStyle w:val="Cytat"/>
      </w:pPr>
      <w:r w:rsidRPr="00655FC7">
        <w:t>Źródło: Wojewódzki Fundusz Ochrony Środowiska i Gospodarki Wodnej w Lublinie</w:t>
      </w:r>
    </w:p>
    <w:p w14:paraId="6275BFD3" w14:textId="77777777" w:rsidR="00D155AA" w:rsidRPr="00655FC7" w:rsidRDefault="00D155AA" w:rsidP="009E32F5"/>
    <w:p w14:paraId="11BD0996" w14:textId="7595F652" w:rsidR="00655FC7" w:rsidRPr="00965E2A" w:rsidRDefault="00655FC7" w:rsidP="009E32F5">
      <w:r w:rsidRPr="00965E2A">
        <w:t>Na terenie miasta istnieją obecnie 4 zbiorniki retencyjne,</w:t>
      </w:r>
      <w:r w:rsidR="00202253" w:rsidRPr="00965E2A">
        <w:t xml:space="preserve"> stanowiące obiekty małej retencji. </w:t>
      </w:r>
      <w:r w:rsidR="00965E2A" w:rsidRPr="00965E2A">
        <w:t>Informacje na ich temat przedstawiono w poniższej tabeli.</w:t>
      </w:r>
    </w:p>
    <w:p w14:paraId="39282F3D" w14:textId="77777777" w:rsidR="007B1799" w:rsidRPr="00655FC7" w:rsidRDefault="007B1799" w:rsidP="009E32F5"/>
    <w:p w14:paraId="18F9318D" w14:textId="2D93EF52" w:rsidR="007B1799" w:rsidRPr="00655FC7" w:rsidRDefault="007B1799" w:rsidP="007B1799">
      <w:pPr>
        <w:pStyle w:val="Styltabela"/>
      </w:pPr>
      <w:bookmarkStart w:id="207" w:name="_Toc178846330"/>
      <w:r w:rsidRPr="00655FC7">
        <w:t xml:space="preserve">Tabela </w:t>
      </w:r>
      <w:r w:rsidR="00E833A9">
        <w:fldChar w:fldCharType="begin"/>
      </w:r>
      <w:r w:rsidR="00E833A9">
        <w:instrText xml:space="preserve"> SEQ Tabela \* ARABIC </w:instrText>
      </w:r>
      <w:r w:rsidR="00E833A9">
        <w:fldChar w:fldCharType="separate"/>
      </w:r>
      <w:r w:rsidR="00A654D8">
        <w:rPr>
          <w:noProof/>
        </w:rPr>
        <w:t>24</w:t>
      </w:r>
      <w:r w:rsidR="00E833A9">
        <w:rPr>
          <w:noProof/>
        </w:rPr>
        <w:fldChar w:fldCharType="end"/>
      </w:r>
      <w:r w:rsidRPr="00655FC7">
        <w:t>. Zbiorniki retencyjne na terenie miasta.</w:t>
      </w:r>
      <w:bookmarkEnd w:id="207"/>
    </w:p>
    <w:tbl>
      <w:tblPr>
        <w:tblStyle w:val="Tabela-Siatka"/>
        <w:tblW w:w="9072" w:type="dxa"/>
        <w:jc w:val="center"/>
        <w:tblLook w:val="04A0" w:firstRow="1" w:lastRow="0" w:firstColumn="1" w:lastColumn="0" w:noHBand="0" w:noVBand="1"/>
      </w:tblPr>
      <w:tblGrid>
        <w:gridCol w:w="3307"/>
        <w:gridCol w:w="2713"/>
        <w:gridCol w:w="3052"/>
      </w:tblGrid>
      <w:tr w:rsidR="007B1799" w:rsidRPr="00655FC7" w14:paraId="663D76B7" w14:textId="77777777" w:rsidTr="007B1799">
        <w:trPr>
          <w:trHeight w:val="340"/>
          <w:jc w:val="center"/>
        </w:trPr>
        <w:tc>
          <w:tcPr>
            <w:tcW w:w="1823" w:type="pct"/>
            <w:shd w:val="clear" w:color="auto" w:fill="D6D9A3" w:themeFill="accent2" w:themeFillTint="99"/>
            <w:vAlign w:val="center"/>
          </w:tcPr>
          <w:p w14:paraId="5AE6C71E" w14:textId="77777777" w:rsidR="007B1799" w:rsidRPr="007B1799" w:rsidRDefault="007B1799" w:rsidP="007B1799">
            <w:pPr>
              <w:spacing w:line="276" w:lineRule="auto"/>
              <w:ind w:firstLine="0"/>
              <w:jc w:val="center"/>
              <w:rPr>
                <w:b/>
                <w:bCs/>
                <w:sz w:val="18"/>
                <w:szCs w:val="18"/>
              </w:rPr>
            </w:pPr>
            <w:r w:rsidRPr="007B1799">
              <w:rPr>
                <w:b/>
                <w:bCs/>
                <w:sz w:val="18"/>
                <w:szCs w:val="18"/>
              </w:rPr>
              <w:t>Nazwa</w:t>
            </w:r>
          </w:p>
        </w:tc>
        <w:tc>
          <w:tcPr>
            <w:tcW w:w="1495" w:type="pct"/>
            <w:shd w:val="clear" w:color="auto" w:fill="D6D9A3" w:themeFill="accent2" w:themeFillTint="99"/>
            <w:vAlign w:val="center"/>
          </w:tcPr>
          <w:p w14:paraId="3D8C30DB" w14:textId="2E9813A8" w:rsidR="007B1799" w:rsidRPr="007B1799" w:rsidRDefault="007B1799" w:rsidP="007B1799">
            <w:pPr>
              <w:spacing w:line="276" w:lineRule="auto"/>
              <w:ind w:firstLine="0"/>
              <w:jc w:val="center"/>
              <w:rPr>
                <w:b/>
                <w:bCs/>
                <w:sz w:val="18"/>
                <w:szCs w:val="18"/>
              </w:rPr>
            </w:pPr>
            <w:r w:rsidRPr="007B1799">
              <w:rPr>
                <w:b/>
                <w:bCs/>
                <w:sz w:val="18"/>
                <w:szCs w:val="18"/>
              </w:rPr>
              <w:t>Rodzaj zbiornika</w:t>
            </w:r>
          </w:p>
        </w:tc>
        <w:tc>
          <w:tcPr>
            <w:tcW w:w="1682" w:type="pct"/>
            <w:shd w:val="clear" w:color="auto" w:fill="D6D9A3" w:themeFill="accent2" w:themeFillTint="99"/>
            <w:vAlign w:val="center"/>
          </w:tcPr>
          <w:p w14:paraId="463B2669" w14:textId="77777777" w:rsidR="007B1799" w:rsidRPr="007B1799" w:rsidRDefault="007B1799" w:rsidP="007B1799">
            <w:pPr>
              <w:spacing w:line="276" w:lineRule="auto"/>
              <w:ind w:firstLine="0"/>
              <w:jc w:val="center"/>
              <w:rPr>
                <w:b/>
                <w:bCs/>
                <w:sz w:val="18"/>
                <w:szCs w:val="18"/>
              </w:rPr>
            </w:pPr>
            <w:r w:rsidRPr="007B1799">
              <w:rPr>
                <w:b/>
                <w:bCs/>
                <w:sz w:val="18"/>
                <w:szCs w:val="18"/>
              </w:rPr>
              <w:t>Właściciel/zarządzający</w:t>
            </w:r>
          </w:p>
        </w:tc>
      </w:tr>
      <w:tr w:rsidR="007B1799" w:rsidRPr="00655FC7" w14:paraId="3EC3EBE9" w14:textId="77777777" w:rsidTr="007B1799">
        <w:trPr>
          <w:trHeight w:val="340"/>
          <w:jc w:val="center"/>
        </w:trPr>
        <w:tc>
          <w:tcPr>
            <w:tcW w:w="1823" w:type="pct"/>
            <w:vAlign w:val="center"/>
          </w:tcPr>
          <w:p w14:paraId="5F002BE3" w14:textId="42867E20" w:rsidR="007B1799" w:rsidRPr="007B1799" w:rsidRDefault="007B1799" w:rsidP="007B1799">
            <w:pPr>
              <w:spacing w:line="276" w:lineRule="auto"/>
              <w:ind w:firstLine="0"/>
              <w:jc w:val="center"/>
              <w:rPr>
                <w:sz w:val="18"/>
                <w:szCs w:val="18"/>
              </w:rPr>
            </w:pPr>
            <w:r w:rsidRPr="007B1799">
              <w:rPr>
                <w:sz w:val="18"/>
                <w:szCs w:val="18"/>
              </w:rPr>
              <w:t xml:space="preserve">Zalew </w:t>
            </w:r>
            <w:r w:rsidRPr="00655FC7">
              <w:rPr>
                <w:sz w:val="18"/>
                <w:szCs w:val="18"/>
              </w:rPr>
              <w:t>Przedmieście Błonie</w:t>
            </w:r>
          </w:p>
        </w:tc>
        <w:tc>
          <w:tcPr>
            <w:tcW w:w="1495" w:type="pct"/>
            <w:vAlign w:val="center"/>
          </w:tcPr>
          <w:p w14:paraId="3CB76237" w14:textId="33FA4BCD" w:rsidR="007B1799" w:rsidRPr="007B1799" w:rsidRDefault="00446C10" w:rsidP="007B1799">
            <w:pPr>
              <w:spacing w:line="276" w:lineRule="auto"/>
              <w:ind w:firstLine="0"/>
              <w:jc w:val="center"/>
              <w:rPr>
                <w:sz w:val="18"/>
                <w:szCs w:val="18"/>
              </w:rPr>
            </w:pPr>
            <w:r w:rsidRPr="007B1799">
              <w:rPr>
                <w:sz w:val="18"/>
                <w:szCs w:val="18"/>
              </w:rPr>
              <w:t>mała retencja</w:t>
            </w:r>
          </w:p>
        </w:tc>
        <w:tc>
          <w:tcPr>
            <w:tcW w:w="1682" w:type="pct"/>
            <w:vAlign w:val="center"/>
          </w:tcPr>
          <w:p w14:paraId="623FA5AE" w14:textId="77777777" w:rsidR="007B1799" w:rsidRPr="007B1799" w:rsidRDefault="007B1799" w:rsidP="007B1799">
            <w:pPr>
              <w:spacing w:line="276" w:lineRule="auto"/>
              <w:ind w:firstLine="0"/>
              <w:jc w:val="center"/>
              <w:rPr>
                <w:sz w:val="18"/>
                <w:szCs w:val="18"/>
              </w:rPr>
            </w:pPr>
            <w:r w:rsidRPr="007B1799">
              <w:rPr>
                <w:sz w:val="18"/>
                <w:szCs w:val="18"/>
              </w:rPr>
              <w:t>Gmina Tarnogród</w:t>
            </w:r>
          </w:p>
        </w:tc>
      </w:tr>
      <w:tr w:rsidR="007B1799" w:rsidRPr="00655FC7" w14:paraId="380B4083" w14:textId="77777777" w:rsidTr="007B1799">
        <w:trPr>
          <w:trHeight w:val="340"/>
          <w:jc w:val="center"/>
        </w:trPr>
        <w:tc>
          <w:tcPr>
            <w:tcW w:w="1823" w:type="pct"/>
            <w:vAlign w:val="center"/>
          </w:tcPr>
          <w:p w14:paraId="7D3E3277" w14:textId="77777777" w:rsidR="007B1799" w:rsidRPr="007B1799" w:rsidRDefault="007B1799" w:rsidP="007B1799">
            <w:pPr>
              <w:spacing w:line="276" w:lineRule="auto"/>
              <w:ind w:firstLine="0"/>
              <w:jc w:val="center"/>
              <w:rPr>
                <w:sz w:val="18"/>
                <w:szCs w:val="18"/>
              </w:rPr>
            </w:pPr>
            <w:r w:rsidRPr="007B1799">
              <w:rPr>
                <w:sz w:val="18"/>
                <w:szCs w:val="18"/>
              </w:rPr>
              <w:t>Zbiornik ul. Kościuszki</w:t>
            </w:r>
          </w:p>
        </w:tc>
        <w:tc>
          <w:tcPr>
            <w:tcW w:w="1495" w:type="pct"/>
            <w:vAlign w:val="center"/>
          </w:tcPr>
          <w:p w14:paraId="1857AF85" w14:textId="7D2116E4" w:rsidR="007B1799" w:rsidRPr="007B1799" w:rsidRDefault="00446C10" w:rsidP="007B1799">
            <w:pPr>
              <w:spacing w:line="276" w:lineRule="auto"/>
              <w:ind w:firstLine="0"/>
              <w:jc w:val="center"/>
              <w:rPr>
                <w:sz w:val="18"/>
                <w:szCs w:val="18"/>
              </w:rPr>
            </w:pPr>
            <w:r w:rsidRPr="007B1799">
              <w:rPr>
                <w:sz w:val="18"/>
                <w:szCs w:val="18"/>
              </w:rPr>
              <w:t>mała retencja</w:t>
            </w:r>
          </w:p>
        </w:tc>
        <w:tc>
          <w:tcPr>
            <w:tcW w:w="1682" w:type="pct"/>
            <w:vAlign w:val="center"/>
          </w:tcPr>
          <w:p w14:paraId="76F53550" w14:textId="77777777" w:rsidR="007B1799" w:rsidRPr="007B1799" w:rsidRDefault="007B1799" w:rsidP="007B1799">
            <w:pPr>
              <w:spacing w:line="276" w:lineRule="auto"/>
              <w:ind w:firstLine="0"/>
              <w:jc w:val="center"/>
              <w:rPr>
                <w:sz w:val="18"/>
                <w:szCs w:val="18"/>
              </w:rPr>
            </w:pPr>
            <w:r w:rsidRPr="007B1799">
              <w:rPr>
                <w:sz w:val="18"/>
                <w:szCs w:val="18"/>
              </w:rPr>
              <w:t>Gmina Tarnogród</w:t>
            </w:r>
          </w:p>
        </w:tc>
      </w:tr>
      <w:tr w:rsidR="007B1799" w:rsidRPr="00655FC7" w14:paraId="1A533886" w14:textId="77777777" w:rsidTr="007B1799">
        <w:trPr>
          <w:trHeight w:val="340"/>
          <w:jc w:val="center"/>
        </w:trPr>
        <w:tc>
          <w:tcPr>
            <w:tcW w:w="1823" w:type="pct"/>
            <w:vAlign w:val="center"/>
          </w:tcPr>
          <w:p w14:paraId="22B6C492" w14:textId="3CD3DA3C" w:rsidR="007B1799" w:rsidRPr="007B1799" w:rsidRDefault="007B1799" w:rsidP="007B1799">
            <w:pPr>
              <w:spacing w:line="276" w:lineRule="auto"/>
              <w:ind w:firstLine="0"/>
              <w:jc w:val="center"/>
              <w:rPr>
                <w:sz w:val="18"/>
                <w:szCs w:val="18"/>
              </w:rPr>
            </w:pPr>
            <w:r w:rsidRPr="007B1799">
              <w:rPr>
                <w:sz w:val="18"/>
                <w:szCs w:val="18"/>
              </w:rPr>
              <w:t>Zbiornik ul. Biłgorajska</w:t>
            </w:r>
          </w:p>
        </w:tc>
        <w:tc>
          <w:tcPr>
            <w:tcW w:w="1495" w:type="pct"/>
            <w:vAlign w:val="center"/>
          </w:tcPr>
          <w:p w14:paraId="0A4E62E8" w14:textId="0F3007A9" w:rsidR="007B1799" w:rsidRPr="007B1799" w:rsidRDefault="00446C10" w:rsidP="007B1799">
            <w:pPr>
              <w:spacing w:line="276" w:lineRule="auto"/>
              <w:ind w:firstLine="0"/>
              <w:jc w:val="center"/>
              <w:rPr>
                <w:sz w:val="18"/>
                <w:szCs w:val="18"/>
              </w:rPr>
            </w:pPr>
            <w:r w:rsidRPr="007B1799">
              <w:rPr>
                <w:sz w:val="18"/>
                <w:szCs w:val="18"/>
              </w:rPr>
              <w:t>mała retencja</w:t>
            </w:r>
          </w:p>
        </w:tc>
        <w:tc>
          <w:tcPr>
            <w:tcW w:w="1682" w:type="pct"/>
            <w:vAlign w:val="center"/>
          </w:tcPr>
          <w:p w14:paraId="7C350D7C" w14:textId="77777777" w:rsidR="007B1799" w:rsidRPr="007B1799" w:rsidRDefault="007B1799" w:rsidP="007B1799">
            <w:pPr>
              <w:spacing w:line="276" w:lineRule="auto"/>
              <w:ind w:firstLine="0"/>
              <w:jc w:val="center"/>
              <w:rPr>
                <w:sz w:val="18"/>
                <w:szCs w:val="18"/>
              </w:rPr>
            </w:pPr>
            <w:r w:rsidRPr="007B1799">
              <w:rPr>
                <w:sz w:val="18"/>
                <w:szCs w:val="18"/>
              </w:rPr>
              <w:t>Gmina Tarnogród</w:t>
            </w:r>
          </w:p>
        </w:tc>
      </w:tr>
      <w:tr w:rsidR="007B1799" w:rsidRPr="00655FC7" w14:paraId="5C3B72C1" w14:textId="77777777" w:rsidTr="007B1799">
        <w:trPr>
          <w:trHeight w:val="340"/>
          <w:jc w:val="center"/>
        </w:trPr>
        <w:tc>
          <w:tcPr>
            <w:tcW w:w="1823" w:type="pct"/>
            <w:vAlign w:val="center"/>
          </w:tcPr>
          <w:p w14:paraId="05AC2481" w14:textId="77777777" w:rsidR="007B1799" w:rsidRPr="007B1799" w:rsidRDefault="007B1799" w:rsidP="007B1799">
            <w:pPr>
              <w:spacing w:line="276" w:lineRule="auto"/>
              <w:ind w:firstLine="0"/>
              <w:jc w:val="center"/>
              <w:rPr>
                <w:sz w:val="18"/>
                <w:szCs w:val="18"/>
              </w:rPr>
            </w:pPr>
            <w:r w:rsidRPr="007B1799">
              <w:rPr>
                <w:sz w:val="18"/>
                <w:szCs w:val="18"/>
              </w:rPr>
              <w:t>Zbiornik ul. Brama Korchowska</w:t>
            </w:r>
          </w:p>
        </w:tc>
        <w:tc>
          <w:tcPr>
            <w:tcW w:w="1495" w:type="pct"/>
            <w:vAlign w:val="center"/>
          </w:tcPr>
          <w:p w14:paraId="1F8351F1" w14:textId="384CE37A" w:rsidR="007B1799" w:rsidRPr="007B1799" w:rsidRDefault="00446C10" w:rsidP="007B1799">
            <w:pPr>
              <w:spacing w:line="276" w:lineRule="auto"/>
              <w:ind w:firstLine="0"/>
              <w:jc w:val="center"/>
              <w:rPr>
                <w:sz w:val="18"/>
                <w:szCs w:val="18"/>
              </w:rPr>
            </w:pPr>
            <w:r w:rsidRPr="007B1799">
              <w:rPr>
                <w:sz w:val="18"/>
                <w:szCs w:val="18"/>
              </w:rPr>
              <w:t>mała retencja</w:t>
            </w:r>
          </w:p>
        </w:tc>
        <w:tc>
          <w:tcPr>
            <w:tcW w:w="1682" w:type="pct"/>
            <w:vAlign w:val="center"/>
          </w:tcPr>
          <w:p w14:paraId="0BEB4825" w14:textId="77777777" w:rsidR="007B1799" w:rsidRPr="007B1799" w:rsidRDefault="007B1799" w:rsidP="007B1799">
            <w:pPr>
              <w:spacing w:line="276" w:lineRule="auto"/>
              <w:ind w:firstLine="0"/>
              <w:jc w:val="center"/>
              <w:rPr>
                <w:sz w:val="18"/>
                <w:szCs w:val="18"/>
              </w:rPr>
            </w:pPr>
            <w:r w:rsidRPr="007B1799">
              <w:rPr>
                <w:sz w:val="18"/>
                <w:szCs w:val="18"/>
              </w:rPr>
              <w:t>Gmina Tarnogród</w:t>
            </w:r>
          </w:p>
        </w:tc>
      </w:tr>
    </w:tbl>
    <w:p w14:paraId="7BACFBC9" w14:textId="77777777" w:rsidR="007B1799" w:rsidRPr="00655FC7" w:rsidRDefault="007B1799" w:rsidP="007B1799">
      <w:pPr>
        <w:pStyle w:val="Cytat"/>
      </w:pPr>
      <w:r w:rsidRPr="00655FC7">
        <w:t>źródło: Informacje udostępnione przez Urząd Miejski w Tarnogrodzie</w:t>
      </w:r>
    </w:p>
    <w:p w14:paraId="26719A05" w14:textId="77777777" w:rsidR="00965E2A" w:rsidRDefault="00965E2A" w:rsidP="00965E2A"/>
    <w:p w14:paraId="5DC0165E" w14:textId="07FA950F" w:rsidR="009E32F5" w:rsidRDefault="00965E2A" w:rsidP="00965E2A">
      <w:r>
        <w:t>Sumaryczna powierzchnia wszystkich wód powierzchniowych na terenie miasta Tarnogród, z pominięciem zbiorników już zagospodarowanych na cele retencyjne, wynosi</w:t>
      </w:r>
      <w:r w:rsidR="00446C10">
        <w:t xml:space="preserve"> 4,69 ha</w:t>
      </w:r>
      <w:r>
        <w:t xml:space="preserve"> </w:t>
      </w:r>
      <w:r w:rsidR="00446C10">
        <w:t>(</w:t>
      </w:r>
      <w:r>
        <w:t>46 914,5 m</w:t>
      </w:r>
      <w:r w:rsidRPr="00965E2A">
        <w:rPr>
          <w:vertAlign w:val="superscript"/>
        </w:rPr>
        <w:t>2</w:t>
      </w:r>
      <w:r w:rsidR="00446C10">
        <w:t>). W mieście istnieje zatem potencjał utworzenia kolejnych zbiorników retencyjnych. Ponadto, obliczając potencjał retencyjny pod uwagę bierze się również udział wszystkich terenów biologicznie czynn</w:t>
      </w:r>
      <w:r w:rsidR="00AE260A">
        <w:t>ych</w:t>
      </w:r>
      <w:r w:rsidR="00446C10">
        <w:t>.</w:t>
      </w:r>
    </w:p>
    <w:p w14:paraId="412AA680" w14:textId="7B90917D" w:rsidR="00230805" w:rsidRDefault="00230805" w:rsidP="00965E2A">
      <w:r>
        <w:t>Istotnym aspektem zwiększenia retencji na obszarze miasta jest także wsparcie mieszkańców w zakresie tworzenia przydomowych zbiorników na deszczówkę, która może zostać wykorzystana do podlewania własnych ogródków.</w:t>
      </w:r>
    </w:p>
    <w:p w14:paraId="6E7F31E0" w14:textId="34DFC234" w:rsidR="00446C10" w:rsidRDefault="00446C10" w:rsidP="00965E2A">
      <w:r>
        <w:t>Informacje o terenach biologicznie czynnych przedstawiono poniżej. Potencjał retencyjny miasta obliczono w ramach możliwych działań adaptacyjnych.</w:t>
      </w:r>
    </w:p>
    <w:p w14:paraId="76233B04" w14:textId="77777777" w:rsidR="00446C10" w:rsidRPr="00446C10" w:rsidRDefault="00446C10" w:rsidP="00965E2A"/>
    <w:p w14:paraId="5A4CF890" w14:textId="77777777" w:rsidR="00D155AA" w:rsidRPr="00655FC7" w:rsidRDefault="00D155AA" w:rsidP="00D155AA">
      <w:pPr>
        <w:pStyle w:val="Nagwek3"/>
      </w:pPr>
      <w:bookmarkStart w:id="208" w:name="_Toc177732068"/>
      <w:r w:rsidRPr="00655FC7">
        <w:t>Zagospodarowanie terenu</w:t>
      </w:r>
      <w:bookmarkEnd w:id="208"/>
    </w:p>
    <w:p w14:paraId="55E89BBB" w14:textId="4D61A818" w:rsidR="00D155AA" w:rsidRPr="00655FC7" w:rsidRDefault="00D155AA" w:rsidP="00D155AA">
      <w:pPr>
        <w:tabs>
          <w:tab w:val="left" w:pos="3119"/>
        </w:tabs>
        <w:rPr>
          <w:rFonts w:cstheme="minorHAnsi"/>
          <w:color w:val="auto"/>
        </w:rPr>
      </w:pPr>
      <w:r w:rsidRPr="00655FC7">
        <w:rPr>
          <w:rFonts w:cstheme="minorHAnsi"/>
          <w:color w:val="auto"/>
        </w:rPr>
        <w:t>Poniżej przeanalizowano strukturę zagospodarowania terenu na obszarze Miasta Tarnogród. Szczególnie skupiono się na zabudowie antropogenicznej. Tereny takie charakteryzują się szczelnością powierzchni, co w</w:t>
      </w:r>
      <w:r w:rsidR="009E32F5" w:rsidRPr="00655FC7">
        <w:rPr>
          <w:rFonts w:cstheme="minorHAnsi"/>
          <w:color w:val="auto"/>
        </w:rPr>
        <w:t xml:space="preserve"> </w:t>
      </w:r>
      <w:r w:rsidRPr="00655FC7">
        <w:rPr>
          <w:rFonts w:cstheme="minorHAnsi"/>
          <w:color w:val="auto"/>
        </w:rPr>
        <w:t>przypadku nawalnych deszczy prowadzi do szybkich wezbrań i powodzi miejskich. Powierzchnie zabudowane prowadzą także do wzrostu temperatury oraz koncentracji zanieczyszczeń, co może prowadzić do powstawania lub wzmagać powstawanie: miejskiej wyspy ciepła, inwersji temperaturowej oraz smogu. Jak przedstawiono na mapie, zabudowa koncentruje się w centrum miasta, wokół dróg wojewódzkich.</w:t>
      </w:r>
    </w:p>
    <w:p w14:paraId="57AB3298" w14:textId="77777777" w:rsidR="00D155AA" w:rsidRPr="00655FC7" w:rsidRDefault="00D155AA" w:rsidP="00D155AA">
      <w:pPr>
        <w:tabs>
          <w:tab w:val="left" w:pos="3119"/>
        </w:tabs>
        <w:rPr>
          <w:rFonts w:cstheme="minorHAnsi"/>
          <w:color w:val="auto"/>
        </w:rPr>
      </w:pPr>
    </w:p>
    <w:p w14:paraId="5DC0CD01" w14:textId="77777777" w:rsidR="00D155AA" w:rsidRPr="00655FC7" w:rsidRDefault="00D155AA" w:rsidP="00D155AA">
      <w:pPr>
        <w:tabs>
          <w:tab w:val="left" w:pos="3119"/>
        </w:tabs>
        <w:rPr>
          <w:rFonts w:cstheme="minorHAnsi"/>
          <w:color w:val="auto"/>
        </w:rPr>
        <w:sectPr w:rsidR="00D155AA" w:rsidRPr="00655FC7" w:rsidSect="006A4AE9">
          <w:headerReference w:type="default" r:id="rId99"/>
          <w:footerReference w:type="default" r:id="rId100"/>
          <w:headerReference w:type="first" r:id="rId101"/>
          <w:footerReference w:type="first" r:id="rId102"/>
          <w:pgSz w:w="11906" w:h="16838"/>
          <w:pgMar w:top="1417" w:right="1417" w:bottom="1417" w:left="1417" w:header="709" w:footer="709" w:gutter="0"/>
          <w:cols w:space="708"/>
          <w:titlePg/>
          <w:docGrid w:linePitch="360"/>
        </w:sectPr>
      </w:pPr>
    </w:p>
    <w:p w14:paraId="48858CC2" w14:textId="77777777" w:rsidR="00D155AA" w:rsidRPr="00655FC7" w:rsidRDefault="00D155AA" w:rsidP="00D155AA">
      <w:pPr>
        <w:tabs>
          <w:tab w:val="left" w:pos="3119"/>
        </w:tabs>
        <w:spacing w:line="240" w:lineRule="auto"/>
        <w:ind w:firstLine="0"/>
        <w:jc w:val="center"/>
        <w:rPr>
          <w:rFonts w:cstheme="minorHAnsi"/>
          <w:color w:val="auto"/>
        </w:rPr>
      </w:pPr>
      <w:r w:rsidRPr="00655FC7">
        <w:rPr>
          <w:rFonts w:cstheme="minorHAnsi"/>
          <w:noProof/>
          <w:color w:val="auto"/>
        </w:rPr>
        <w:lastRenderedPageBreak/>
        <w:drawing>
          <wp:inline distT="0" distB="0" distL="0" distR="0" wp14:anchorId="27F6F175" wp14:editId="4799EC32">
            <wp:extent cx="7164000" cy="5066074"/>
            <wp:effectExtent l="19050" t="19050" r="18415" b="20320"/>
            <wp:docPr id="805814299" name="Obraz 15" descr="Obraz zawierający tekst, mapa,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814299" name="Obraz 15" descr="Obraz zawierający tekst, mapa, diagram&#10;&#10;Opis wygenerowany automatyczni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7164000" cy="5066074"/>
                    </a:xfrm>
                    <a:prstGeom prst="rect">
                      <a:avLst/>
                    </a:prstGeom>
                    <a:ln>
                      <a:solidFill>
                        <a:schemeClr val="tx1"/>
                      </a:solidFill>
                    </a:ln>
                  </pic:spPr>
                </pic:pic>
              </a:graphicData>
            </a:graphic>
          </wp:inline>
        </w:drawing>
      </w:r>
    </w:p>
    <w:p w14:paraId="4675CFCF" w14:textId="3C96762A" w:rsidR="00D155AA" w:rsidRPr="00655FC7" w:rsidRDefault="00D155AA" w:rsidP="00D155AA">
      <w:pPr>
        <w:pStyle w:val="Stylrysunek"/>
      </w:pPr>
      <w:bookmarkStart w:id="209" w:name="_Toc178846386"/>
      <w:r w:rsidRPr="00655FC7">
        <w:t xml:space="preserve">Rysunek </w:t>
      </w:r>
      <w:r w:rsidR="00EA4C85">
        <w:fldChar w:fldCharType="begin"/>
      </w:r>
      <w:r w:rsidR="00EA4C85">
        <w:instrText xml:space="preserve"> SEQ Rysunek \* ARABIC </w:instrText>
      </w:r>
      <w:r w:rsidR="00EA4C85">
        <w:fldChar w:fldCharType="separate"/>
      </w:r>
      <w:r w:rsidR="00A654D8">
        <w:rPr>
          <w:noProof/>
        </w:rPr>
        <w:t>44</w:t>
      </w:r>
      <w:r w:rsidR="00EA4C85">
        <w:rPr>
          <w:noProof/>
        </w:rPr>
        <w:fldChar w:fldCharType="end"/>
      </w:r>
      <w:r w:rsidRPr="00655FC7">
        <w:t>. Pokrycie terenu Miasta Tarnogród.</w:t>
      </w:r>
      <w:bookmarkEnd w:id="209"/>
    </w:p>
    <w:p w14:paraId="30B2102B" w14:textId="77777777" w:rsidR="00D155AA" w:rsidRPr="00655FC7" w:rsidRDefault="00D155AA" w:rsidP="00D155AA">
      <w:pPr>
        <w:pStyle w:val="Cytat"/>
      </w:pPr>
      <w:r w:rsidRPr="00655FC7">
        <w:t>Źródło: opracowanie własne na podstawie BDOT10k</w:t>
      </w:r>
    </w:p>
    <w:p w14:paraId="3A22FE8A" w14:textId="77777777" w:rsidR="00D155AA" w:rsidRPr="00655FC7" w:rsidRDefault="00D155AA" w:rsidP="00D155AA">
      <w:pPr>
        <w:rPr>
          <w:lang w:eastAsia="ar-SA"/>
        </w:rPr>
        <w:sectPr w:rsidR="00D155AA" w:rsidRPr="00655FC7" w:rsidSect="006A4AE9">
          <w:pgSz w:w="16838" w:h="11906" w:orient="landscape"/>
          <w:pgMar w:top="1417" w:right="1417" w:bottom="1417" w:left="1417" w:header="709" w:footer="709" w:gutter="0"/>
          <w:cols w:space="708"/>
          <w:titlePg/>
          <w:docGrid w:linePitch="360"/>
        </w:sectPr>
      </w:pPr>
    </w:p>
    <w:p w14:paraId="6B8BC175" w14:textId="77777777" w:rsidR="00D155AA" w:rsidRPr="00655FC7" w:rsidRDefault="00D155AA" w:rsidP="00D155AA">
      <w:pPr>
        <w:tabs>
          <w:tab w:val="left" w:pos="3119"/>
        </w:tabs>
        <w:spacing w:line="240" w:lineRule="auto"/>
        <w:rPr>
          <w:rFonts w:cstheme="minorHAnsi"/>
          <w:color w:val="auto"/>
          <w:szCs w:val="20"/>
          <w:lang w:eastAsia="pl-PL"/>
        </w:rPr>
      </w:pPr>
      <w:r w:rsidRPr="00655FC7">
        <w:rPr>
          <w:rFonts w:cstheme="minorHAnsi"/>
          <w:color w:val="auto"/>
          <w:szCs w:val="20"/>
          <w:lang w:eastAsia="pl-PL"/>
        </w:rPr>
        <w:lastRenderedPageBreak/>
        <w:t>Na poniższej mapie zaprezentowano tereny biologicznie czynne na terenie Miasta Tarnogród. Pod uwagę wzięto:</w:t>
      </w:r>
    </w:p>
    <w:p w14:paraId="6B8990B9" w14:textId="77777777" w:rsidR="00D155AA" w:rsidRPr="00655FC7" w:rsidRDefault="00D155AA">
      <w:pPr>
        <w:numPr>
          <w:ilvl w:val="0"/>
          <w:numId w:val="31"/>
        </w:numPr>
        <w:tabs>
          <w:tab w:val="left" w:pos="3119"/>
        </w:tabs>
        <w:contextualSpacing/>
        <w:rPr>
          <w:rFonts w:cstheme="minorHAnsi"/>
          <w:color w:val="auto"/>
          <w:szCs w:val="20"/>
          <w:lang w:eastAsia="pl-PL"/>
        </w:rPr>
      </w:pPr>
      <w:r w:rsidRPr="00655FC7">
        <w:rPr>
          <w:rFonts w:cstheme="minorHAnsi"/>
          <w:color w:val="auto"/>
          <w:szCs w:val="20"/>
          <w:lang w:eastAsia="pl-PL"/>
        </w:rPr>
        <w:t>tereny leśne i zakrzewione (las, zagajnik, zakrzewienie),</w:t>
      </w:r>
    </w:p>
    <w:p w14:paraId="178206B7" w14:textId="77777777" w:rsidR="00D155AA" w:rsidRPr="00655FC7" w:rsidRDefault="00D155AA">
      <w:pPr>
        <w:numPr>
          <w:ilvl w:val="0"/>
          <w:numId w:val="31"/>
        </w:numPr>
        <w:tabs>
          <w:tab w:val="left" w:pos="3119"/>
        </w:tabs>
        <w:contextualSpacing/>
        <w:rPr>
          <w:rFonts w:cstheme="minorHAnsi"/>
          <w:color w:val="auto"/>
          <w:szCs w:val="20"/>
          <w:lang w:eastAsia="pl-PL"/>
        </w:rPr>
      </w:pPr>
      <w:r w:rsidRPr="00655FC7">
        <w:rPr>
          <w:rFonts w:cstheme="minorHAnsi"/>
          <w:color w:val="auto"/>
          <w:szCs w:val="20"/>
          <w:lang w:eastAsia="pl-PL"/>
        </w:rPr>
        <w:t>roślinność krzewiastą ,</w:t>
      </w:r>
    </w:p>
    <w:p w14:paraId="7248578B" w14:textId="77777777" w:rsidR="00D155AA" w:rsidRPr="00655FC7" w:rsidRDefault="00D155AA">
      <w:pPr>
        <w:numPr>
          <w:ilvl w:val="0"/>
          <w:numId w:val="31"/>
        </w:numPr>
        <w:tabs>
          <w:tab w:val="left" w:pos="3119"/>
        </w:tabs>
        <w:contextualSpacing/>
        <w:rPr>
          <w:rFonts w:cstheme="minorHAnsi"/>
          <w:color w:val="auto"/>
          <w:szCs w:val="20"/>
          <w:lang w:eastAsia="pl-PL"/>
        </w:rPr>
      </w:pPr>
      <w:r w:rsidRPr="00655FC7">
        <w:rPr>
          <w:rFonts w:cstheme="minorHAnsi"/>
          <w:color w:val="auto"/>
          <w:szCs w:val="20"/>
          <w:lang w:eastAsia="pl-PL"/>
        </w:rPr>
        <w:t>uprawy trwałe (ogród działkowy, plantacja, sad, szkółka leśna itd.),</w:t>
      </w:r>
    </w:p>
    <w:p w14:paraId="5C53711F" w14:textId="77777777" w:rsidR="00D155AA" w:rsidRPr="00655FC7" w:rsidRDefault="00D155AA">
      <w:pPr>
        <w:numPr>
          <w:ilvl w:val="0"/>
          <w:numId w:val="31"/>
        </w:numPr>
        <w:tabs>
          <w:tab w:val="left" w:pos="3119"/>
        </w:tabs>
        <w:contextualSpacing/>
        <w:rPr>
          <w:rFonts w:cstheme="minorHAnsi"/>
          <w:color w:val="auto"/>
          <w:szCs w:val="20"/>
          <w:lang w:eastAsia="pl-PL"/>
        </w:rPr>
      </w:pPr>
      <w:r w:rsidRPr="00655FC7">
        <w:rPr>
          <w:rFonts w:cstheme="minorHAnsi"/>
          <w:color w:val="auto"/>
          <w:szCs w:val="20"/>
          <w:lang w:eastAsia="pl-PL"/>
        </w:rPr>
        <w:t>wody powierzchniowe,</w:t>
      </w:r>
    </w:p>
    <w:p w14:paraId="08279565" w14:textId="77777777" w:rsidR="00D155AA" w:rsidRPr="00655FC7" w:rsidRDefault="00D155AA">
      <w:pPr>
        <w:numPr>
          <w:ilvl w:val="0"/>
          <w:numId w:val="31"/>
        </w:numPr>
        <w:tabs>
          <w:tab w:val="left" w:pos="3119"/>
        </w:tabs>
        <w:contextualSpacing/>
        <w:rPr>
          <w:rFonts w:cstheme="minorHAnsi"/>
          <w:color w:val="auto"/>
          <w:szCs w:val="20"/>
          <w:lang w:eastAsia="pl-PL"/>
        </w:rPr>
      </w:pPr>
      <w:r w:rsidRPr="00655FC7">
        <w:rPr>
          <w:rFonts w:cstheme="minorHAnsi"/>
          <w:color w:val="auto"/>
          <w:szCs w:val="20"/>
          <w:lang w:eastAsia="pl-PL"/>
        </w:rPr>
        <w:t>roślinność trawiastą i uprawy rolne.</w:t>
      </w:r>
    </w:p>
    <w:p w14:paraId="719B0314" w14:textId="77777777" w:rsidR="00D155AA" w:rsidRPr="00655FC7" w:rsidRDefault="00D155AA" w:rsidP="00D155AA">
      <w:pPr>
        <w:tabs>
          <w:tab w:val="left" w:pos="3119"/>
        </w:tabs>
        <w:rPr>
          <w:rFonts w:cstheme="minorHAnsi"/>
          <w:color w:val="auto"/>
          <w:szCs w:val="20"/>
          <w:lang w:eastAsia="pl-PL"/>
        </w:rPr>
      </w:pPr>
      <w:r w:rsidRPr="00655FC7">
        <w:rPr>
          <w:rFonts w:cstheme="minorHAnsi"/>
          <w:color w:val="auto"/>
          <w:szCs w:val="20"/>
          <w:lang w:eastAsia="pl-PL"/>
        </w:rPr>
        <w:t>Miasto Tarnogród charakteryzuje się dość sporym udziałem powierzchni biologicznie czynnych. Na ten obraz składają się przede wszystkim uprawy – uprawa trwała oraz uprawa rolna. Miasto ma charakter typowo rolniczy. Spory obszar zajmują również tereny zalesione. Na odnotowanie zasługuje także fakt, iż obszary w centrum również częściowo pokryte są roślinnością trawiastą.</w:t>
      </w:r>
    </w:p>
    <w:p w14:paraId="62D209BA" w14:textId="77777777" w:rsidR="00D155AA" w:rsidRPr="00655FC7" w:rsidRDefault="00D155AA" w:rsidP="00D155AA">
      <w:pPr>
        <w:tabs>
          <w:tab w:val="left" w:pos="3119"/>
        </w:tabs>
        <w:rPr>
          <w:rFonts w:cstheme="minorHAnsi"/>
          <w:color w:val="auto"/>
          <w:szCs w:val="20"/>
          <w:lang w:eastAsia="pl-PL"/>
        </w:rPr>
      </w:pPr>
    </w:p>
    <w:p w14:paraId="2ECC2154" w14:textId="77777777" w:rsidR="00D155AA" w:rsidRPr="00655FC7" w:rsidRDefault="00D155AA" w:rsidP="00D155AA">
      <w:pPr>
        <w:tabs>
          <w:tab w:val="left" w:pos="3119"/>
        </w:tabs>
        <w:ind w:firstLine="0"/>
        <w:jc w:val="center"/>
        <w:rPr>
          <w:rFonts w:cstheme="minorHAnsi"/>
          <w:color w:val="auto"/>
          <w:szCs w:val="20"/>
          <w:lang w:eastAsia="pl-PL"/>
        </w:rPr>
      </w:pPr>
      <w:r w:rsidRPr="00655FC7">
        <w:rPr>
          <w:rFonts w:cstheme="minorHAnsi"/>
          <w:noProof/>
          <w:color w:val="auto"/>
          <w:szCs w:val="20"/>
          <w:lang w:eastAsia="pl-PL"/>
        </w:rPr>
        <w:drawing>
          <wp:inline distT="0" distB="0" distL="0" distR="0" wp14:anchorId="77071A12" wp14:editId="6680118F">
            <wp:extent cx="5760000" cy="4073225"/>
            <wp:effectExtent l="19050" t="19050" r="12700" b="22860"/>
            <wp:docPr id="25354456" name="Obraz 16" descr="Obraz zawierający tekst, diagram,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4456" name="Obraz 16" descr="Obraz zawierający tekst, diagram, mapa&#10;&#10;Opis wygenerowany automatyczni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60000" cy="4073225"/>
                    </a:xfrm>
                    <a:prstGeom prst="rect">
                      <a:avLst/>
                    </a:prstGeom>
                    <a:ln>
                      <a:solidFill>
                        <a:schemeClr val="tx1"/>
                      </a:solidFill>
                    </a:ln>
                  </pic:spPr>
                </pic:pic>
              </a:graphicData>
            </a:graphic>
          </wp:inline>
        </w:drawing>
      </w:r>
    </w:p>
    <w:p w14:paraId="6827578C" w14:textId="47FA3EF9" w:rsidR="00D155AA" w:rsidRPr="00655FC7" w:rsidRDefault="00D155AA" w:rsidP="00D155AA">
      <w:pPr>
        <w:pStyle w:val="Stylrysunek"/>
      </w:pPr>
      <w:bookmarkStart w:id="210" w:name="_Toc178846387"/>
      <w:r w:rsidRPr="00655FC7">
        <w:t xml:space="preserve">Rysunek </w:t>
      </w:r>
      <w:r w:rsidR="00EA4C85">
        <w:fldChar w:fldCharType="begin"/>
      </w:r>
      <w:r w:rsidR="00EA4C85">
        <w:instrText xml:space="preserve"> SEQ Rysunek \* ARABIC </w:instrText>
      </w:r>
      <w:r w:rsidR="00EA4C85">
        <w:fldChar w:fldCharType="separate"/>
      </w:r>
      <w:r w:rsidR="00A654D8">
        <w:rPr>
          <w:noProof/>
        </w:rPr>
        <w:t>45</w:t>
      </w:r>
      <w:r w:rsidR="00EA4C85">
        <w:rPr>
          <w:noProof/>
        </w:rPr>
        <w:fldChar w:fldCharType="end"/>
      </w:r>
      <w:r w:rsidRPr="00655FC7">
        <w:t>. Obszary biologicznie czynne na terenie Miasta Tarnogród.</w:t>
      </w:r>
      <w:bookmarkEnd w:id="210"/>
    </w:p>
    <w:p w14:paraId="4856935D" w14:textId="77777777" w:rsidR="00D155AA" w:rsidRPr="00655FC7" w:rsidRDefault="00D155AA" w:rsidP="00D155AA">
      <w:pPr>
        <w:pStyle w:val="Cytat"/>
      </w:pPr>
      <w:r w:rsidRPr="00655FC7">
        <w:t>Źródło: opracowanie własne na podstawie BDOT10k</w:t>
      </w:r>
    </w:p>
    <w:p w14:paraId="3C603A24" w14:textId="77777777" w:rsidR="00D155AA" w:rsidRPr="00655FC7" w:rsidRDefault="00D155AA" w:rsidP="00D155AA">
      <w:pPr>
        <w:rPr>
          <w:lang w:eastAsia="pl-PL"/>
        </w:rPr>
      </w:pPr>
    </w:p>
    <w:p w14:paraId="52A34B5F" w14:textId="77777777" w:rsidR="00D155AA" w:rsidRPr="00655FC7" w:rsidRDefault="00D155AA" w:rsidP="00D155AA">
      <w:pPr>
        <w:rPr>
          <w:lang w:eastAsia="pl-PL"/>
        </w:rPr>
      </w:pPr>
      <w:r w:rsidRPr="00655FC7">
        <w:rPr>
          <w:lang w:eastAsia="pl-PL"/>
        </w:rPr>
        <w:t>Poniżej przedstawiono także obszary zabudowane oraz pozostałe tereny niebiologicznie czynne.</w:t>
      </w:r>
    </w:p>
    <w:p w14:paraId="5D8F629D" w14:textId="77777777" w:rsidR="00D155AA" w:rsidRPr="00655FC7" w:rsidRDefault="00D155AA" w:rsidP="00D155AA">
      <w:pPr>
        <w:tabs>
          <w:tab w:val="left" w:pos="3119"/>
        </w:tabs>
        <w:ind w:firstLine="0"/>
        <w:jc w:val="center"/>
        <w:rPr>
          <w:rFonts w:cstheme="minorHAnsi"/>
          <w:color w:val="auto"/>
          <w:sz w:val="20"/>
          <w:szCs w:val="20"/>
          <w:lang w:eastAsia="pl-PL"/>
        </w:rPr>
      </w:pPr>
      <w:r w:rsidRPr="00655FC7">
        <w:rPr>
          <w:rFonts w:cstheme="minorHAnsi"/>
          <w:noProof/>
          <w:color w:val="auto"/>
          <w:sz w:val="20"/>
          <w:szCs w:val="20"/>
          <w:lang w:eastAsia="pl-PL"/>
        </w:rPr>
        <w:lastRenderedPageBreak/>
        <w:drawing>
          <wp:inline distT="0" distB="0" distL="0" distR="0" wp14:anchorId="5A2E7FE0" wp14:editId="44ECA7EA">
            <wp:extent cx="5760000" cy="4073225"/>
            <wp:effectExtent l="19050" t="19050" r="12700" b="22860"/>
            <wp:docPr id="704675253" name="Obraz 17" descr="Obraz zawierający tekst, mapa,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675253" name="Obraz 17" descr="Obraz zawierający tekst, mapa, diagram&#10;&#10;Opis wygenerowany automatyczni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760000" cy="4073225"/>
                    </a:xfrm>
                    <a:prstGeom prst="rect">
                      <a:avLst/>
                    </a:prstGeom>
                    <a:ln>
                      <a:solidFill>
                        <a:schemeClr val="tx1"/>
                      </a:solidFill>
                    </a:ln>
                  </pic:spPr>
                </pic:pic>
              </a:graphicData>
            </a:graphic>
          </wp:inline>
        </w:drawing>
      </w:r>
    </w:p>
    <w:p w14:paraId="60C6F87A" w14:textId="605802AA" w:rsidR="00D155AA" w:rsidRPr="00655FC7" w:rsidRDefault="00D155AA" w:rsidP="002635BB">
      <w:pPr>
        <w:pStyle w:val="Stylrysunek"/>
      </w:pPr>
      <w:bookmarkStart w:id="211" w:name="_Toc178846388"/>
      <w:r w:rsidRPr="00655FC7">
        <w:t xml:space="preserve">Rysunek </w:t>
      </w:r>
      <w:r w:rsidR="00EA4C85">
        <w:fldChar w:fldCharType="begin"/>
      </w:r>
      <w:r w:rsidR="00EA4C85">
        <w:instrText xml:space="preserve"> SEQ Rysunek \* ARABIC </w:instrText>
      </w:r>
      <w:r w:rsidR="00EA4C85">
        <w:fldChar w:fldCharType="separate"/>
      </w:r>
      <w:r w:rsidR="00A654D8">
        <w:rPr>
          <w:noProof/>
        </w:rPr>
        <w:t>46</w:t>
      </w:r>
      <w:r w:rsidR="00EA4C85">
        <w:rPr>
          <w:noProof/>
        </w:rPr>
        <w:fldChar w:fldCharType="end"/>
      </w:r>
      <w:r w:rsidRPr="00655FC7">
        <w:t>. Obszary zurbanizowane i pozostałe obszary niebiologicznie czynne Miasta Tarnogród.</w:t>
      </w:r>
      <w:bookmarkEnd w:id="211"/>
      <w:r w:rsidRPr="00655FC7">
        <w:t xml:space="preserve"> </w:t>
      </w:r>
    </w:p>
    <w:p w14:paraId="4C37392F" w14:textId="77777777" w:rsidR="00D155AA" w:rsidRPr="00655FC7" w:rsidRDefault="00D155AA" w:rsidP="002635BB">
      <w:pPr>
        <w:pStyle w:val="Cytat"/>
      </w:pPr>
      <w:r w:rsidRPr="00655FC7">
        <w:t>Źródło: opracowanie własne na podstawie BDOT10k</w:t>
      </w:r>
    </w:p>
    <w:p w14:paraId="4D7F73EF" w14:textId="77777777" w:rsidR="002635BB" w:rsidRPr="00655FC7" w:rsidRDefault="002635BB" w:rsidP="00D155AA">
      <w:pPr>
        <w:tabs>
          <w:tab w:val="left" w:pos="3119"/>
        </w:tabs>
        <w:rPr>
          <w:rFonts w:cstheme="minorHAnsi"/>
          <w:color w:val="auto"/>
          <w:szCs w:val="20"/>
          <w:lang w:eastAsia="pl-PL"/>
        </w:rPr>
      </w:pPr>
    </w:p>
    <w:p w14:paraId="7D99AA3F" w14:textId="16A8317E" w:rsidR="00D155AA" w:rsidRPr="00655FC7" w:rsidRDefault="00D155AA" w:rsidP="00D155AA">
      <w:pPr>
        <w:tabs>
          <w:tab w:val="left" w:pos="3119"/>
        </w:tabs>
        <w:rPr>
          <w:rFonts w:cstheme="minorHAnsi"/>
          <w:color w:val="auto"/>
          <w:szCs w:val="20"/>
          <w:lang w:eastAsia="pl-PL"/>
        </w:rPr>
      </w:pPr>
      <w:r w:rsidRPr="00655FC7">
        <w:rPr>
          <w:rFonts w:cstheme="minorHAnsi"/>
          <w:color w:val="auto"/>
          <w:szCs w:val="20"/>
          <w:lang w:eastAsia="pl-PL"/>
        </w:rPr>
        <w:t>Grunty zabudowane i zurbanizowane stanowią 13,28% powierzchni Miasta Tarnogród. 86,16% to użytki rolne, natomiast 0,56% zajmują pozostałe tereny (wykres poniżej).</w:t>
      </w:r>
    </w:p>
    <w:p w14:paraId="299C53C4" w14:textId="77777777" w:rsidR="00D155AA" w:rsidRPr="00655FC7" w:rsidRDefault="00D155AA" w:rsidP="00D155AA">
      <w:pPr>
        <w:tabs>
          <w:tab w:val="left" w:pos="3119"/>
        </w:tabs>
        <w:ind w:firstLine="0"/>
        <w:jc w:val="center"/>
        <w:rPr>
          <w:rFonts w:cstheme="minorHAnsi"/>
          <w:color w:val="auto"/>
          <w:sz w:val="20"/>
          <w:szCs w:val="20"/>
          <w:lang w:eastAsia="pl-PL"/>
        </w:rPr>
      </w:pPr>
      <w:r w:rsidRPr="00655FC7">
        <w:rPr>
          <w:noProof/>
          <w:color w:val="auto"/>
        </w:rPr>
        <w:drawing>
          <wp:inline distT="0" distB="0" distL="0" distR="0" wp14:anchorId="45F2994B" wp14:editId="5D6F8BC4">
            <wp:extent cx="5760000" cy="2952000"/>
            <wp:effectExtent l="0" t="0" r="12700" b="1270"/>
            <wp:docPr id="11413328" name="Wykres 1">
              <a:extLst xmlns:a="http://schemas.openxmlformats.org/drawingml/2006/main">
                <a:ext uri="{FF2B5EF4-FFF2-40B4-BE49-F238E27FC236}">
                  <a16:creationId xmlns:a16="http://schemas.microsoft.com/office/drawing/2014/main" id="{2A467EB6-D349-3D0C-52CE-192204DF29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6D46595F" w14:textId="6E6F4057" w:rsidR="00D155AA" w:rsidRPr="00655FC7" w:rsidRDefault="00D155AA" w:rsidP="00D155AA">
      <w:pPr>
        <w:pStyle w:val="Stylrysunek"/>
      </w:pPr>
      <w:bookmarkStart w:id="212" w:name="_Toc178846389"/>
      <w:r w:rsidRPr="00655FC7">
        <w:t xml:space="preserve">Rysunek </w:t>
      </w:r>
      <w:r w:rsidR="00EA4C85">
        <w:fldChar w:fldCharType="begin"/>
      </w:r>
      <w:r w:rsidR="00EA4C85">
        <w:instrText xml:space="preserve"> SEQ Rysunek \* ARABIC </w:instrText>
      </w:r>
      <w:r w:rsidR="00EA4C85">
        <w:fldChar w:fldCharType="separate"/>
      </w:r>
      <w:r w:rsidR="00A654D8">
        <w:rPr>
          <w:noProof/>
        </w:rPr>
        <w:t>47</w:t>
      </w:r>
      <w:r w:rsidR="00EA4C85">
        <w:rPr>
          <w:noProof/>
        </w:rPr>
        <w:fldChar w:fldCharType="end"/>
      </w:r>
      <w:r w:rsidRPr="00655FC7">
        <w:t>. Powierzchnie ewidencyjne Miasta Tarnogród według sposobu zagospodarowania.</w:t>
      </w:r>
      <w:bookmarkEnd w:id="212"/>
    </w:p>
    <w:p w14:paraId="3EDF832E" w14:textId="2B853356" w:rsidR="00D155AA" w:rsidRPr="00655FC7" w:rsidRDefault="00D155AA" w:rsidP="00D155AA">
      <w:pPr>
        <w:pStyle w:val="Cytat"/>
      </w:pPr>
      <w:r w:rsidRPr="00655FC7">
        <w:t xml:space="preserve">Źródło: Starostwo Powiatowe w Biłgoraju, opracowanie </w:t>
      </w:r>
      <w:r w:rsidR="00963644">
        <w:t>własne</w:t>
      </w:r>
    </w:p>
    <w:p w14:paraId="1FB84452" w14:textId="77777777" w:rsidR="00D155AA" w:rsidRPr="00655FC7" w:rsidRDefault="00D155AA" w:rsidP="00D155AA">
      <w:pPr>
        <w:pStyle w:val="Nagwek3"/>
      </w:pPr>
      <w:bookmarkStart w:id="213" w:name="_Toc177732069"/>
      <w:r w:rsidRPr="00655FC7">
        <w:lastRenderedPageBreak/>
        <w:t>Zanieczyszczenia powierzchni ziemi</w:t>
      </w:r>
      <w:bookmarkEnd w:id="213"/>
    </w:p>
    <w:p w14:paraId="7B21B1A3" w14:textId="77777777" w:rsidR="00D155AA" w:rsidRPr="00655FC7" w:rsidRDefault="00D155AA" w:rsidP="00D155AA">
      <w:pPr>
        <w:tabs>
          <w:tab w:val="left" w:pos="3119"/>
        </w:tabs>
        <w:rPr>
          <w:rFonts w:cstheme="minorHAnsi"/>
          <w:color w:val="auto"/>
        </w:rPr>
      </w:pPr>
      <w:r w:rsidRPr="00655FC7">
        <w:rPr>
          <w:rFonts w:cstheme="minorHAnsi"/>
          <w:color w:val="auto"/>
        </w:rPr>
        <w:t xml:space="preserve">Zgodnie z mapami ze strony https://geoserwis.gdos.gov.pl/ na terenie Miasta Tarnogród nie występują szkody w środowisku i zanieczyszczenia powierzchni ziemi ujęte przez Regionalną Dyrekcję Ochrony Środowiska. </w:t>
      </w:r>
    </w:p>
    <w:p w14:paraId="56A8AEBA" w14:textId="77777777" w:rsidR="00D155AA" w:rsidRPr="00655FC7" w:rsidRDefault="00D155AA" w:rsidP="00D155AA">
      <w:pPr>
        <w:tabs>
          <w:tab w:val="left" w:pos="3119"/>
        </w:tabs>
        <w:jc w:val="left"/>
        <w:rPr>
          <w:rFonts w:cstheme="minorHAnsi"/>
          <w:color w:val="auto"/>
          <w:sz w:val="20"/>
          <w:szCs w:val="20"/>
          <w:lang w:eastAsia="pl-PL"/>
        </w:rPr>
      </w:pPr>
    </w:p>
    <w:p w14:paraId="204400CC" w14:textId="77777777" w:rsidR="00D155AA" w:rsidRPr="00655FC7" w:rsidRDefault="00D155AA" w:rsidP="00D155AA">
      <w:pPr>
        <w:pStyle w:val="Nagwek3"/>
      </w:pPr>
      <w:bookmarkStart w:id="214" w:name="_Toc177732070"/>
      <w:r w:rsidRPr="00655FC7">
        <w:t>Stan powietrza</w:t>
      </w:r>
      <w:bookmarkEnd w:id="214"/>
    </w:p>
    <w:p w14:paraId="6BDF42CF" w14:textId="77777777" w:rsidR="00D155AA" w:rsidRPr="00655FC7" w:rsidRDefault="00D155AA" w:rsidP="00D155AA">
      <w:pPr>
        <w:tabs>
          <w:tab w:val="left" w:pos="3119"/>
        </w:tabs>
        <w:rPr>
          <w:rFonts w:cstheme="minorHAnsi"/>
          <w:color w:val="auto"/>
        </w:rPr>
      </w:pPr>
      <w:r w:rsidRPr="00655FC7">
        <w:rPr>
          <w:rFonts w:cstheme="minorHAnsi"/>
          <w:color w:val="auto"/>
        </w:rPr>
        <w:t>Wyniki oceny strefy lubelskiej za rok 2022, w której położone jest Miasto Tarnogród, wskazują, że przekroczone zostały dopuszczalne poziomy:</w:t>
      </w:r>
    </w:p>
    <w:p w14:paraId="6F1301F2" w14:textId="77777777" w:rsidR="00D155AA" w:rsidRPr="00655FC7" w:rsidRDefault="00D155AA">
      <w:pPr>
        <w:numPr>
          <w:ilvl w:val="0"/>
          <w:numId w:val="20"/>
        </w:numPr>
        <w:tabs>
          <w:tab w:val="left" w:pos="3119"/>
        </w:tabs>
        <w:contextualSpacing/>
        <w:rPr>
          <w:rFonts w:cstheme="minorHAnsi"/>
          <w:color w:val="auto"/>
        </w:rPr>
      </w:pPr>
      <w:r w:rsidRPr="00655FC7">
        <w:rPr>
          <w:rFonts w:cstheme="minorHAnsi"/>
          <w:color w:val="auto"/>
        </w:rPr>
        <w:t xml:space="preserve">poziom docelowy dla benzo(a)pirenu zawartego w pyle zawieszonym PM10, określonego ze względu na ochronę zdrowia ludzi, </w:t>
      </w:r>
    </w:p>
    <w:p w14:paraId="473E9FC4" w14:textId="77777777" w:rsidR="00D155AA" w:rsidRPr="00655FC7" w:rsidRDefault="00D155AA">
      <w:pPr>
        <w:numPr>
          <w:ilvl w:val="0"/>
          <w:numId w:val="20"/>
        </w:numPr>
        <w:tabs>
          <w:tab w:val="left" w:pos="3119"/>
        </w:tabs>
        <w:contextualSpacing/>
        <w:rPr>
          <w:rFonts w:cstheme="minorHAnsi"/>
          <w:color w:val="auto"/>
        </w:rPr>
      </w:pPr>
      <w:r w:rsidRPr="00655FC7">
        <w:rPr>
          <w:rFonts w:cstheme="minorHAnsi"/>
          <w:color w:val="auto"/>
        </w:rPr>
        <w:t>poziom pyłu zawieszonego PM2,5 określonego ze względu na ochronę zdrowia ludzi.</w:t>
      </w:r>
    </w:p>
    <w:p w14:paraId="48840FF9" w14:textId="77777777" w:rsidR="00D155AA" w:rsidRPr="00655FC7" w:rsidRDefault="00D155AA" w:rsidP="00D155AA">
      <w:pPr>
        <w:tabs>
          <w:tab w:val="left" w:pos="3119"/>
        </w:tabs>
        <w:rPr>
          <w:rFonts w:cstheme="minorHAnsi"/>
          <w:color w:val="auto"/>
        </w:rPr>
      </w:pPr>
    </w:p>
    <w:p w14:paraId="0D65A145" w14:textId="77777777" w:rsidR="00D155AA" w:rsidRPr="00655FC7" w:rsidRDefault="00D155AA" w:rsidP="00D155AA">
      <w:pPr>
        <w:tabs>
          <w:tab w:val="left" w:pos="3119"/>
        </w:tabs>
        <w:rPr>
          <w:rFonts w:cstheme="minorHAnsi"/>
          <w:color w:val="auto"/>
        </w:rPr>
      </w:pPr>
      <w:r w:rsidRPr="00655FC7">
        <w:rPr>
          <w:rFonts w:cstheme="minorHAnsi"/>
          <w:color w:val="auto"/>
        </w:rPr>
        <w:t>Natomiast w ocenie ze względu na ochronę roślin nie przekroczono dopuszczalnych poziomów.</w:t>
      </w:r>
    </w:p>
    <w:p w14:paraId="0EE8976E" w14:textId="77777777" w:rsidR="00D155AA" w:rsidRPr="00655FC7" w:rsidRDefault="00D155AA" w:rsidP="00D155AA">
      <w:pPr>
        <w:tabs>
          <w:tab w:val="left" w:pos="3119"/>
        </w:tabs>
        <w:rPr>
          <w:rFonts w:cstheme="minorHAnsi"/>
          <w:color w:val="auto"/>
        </w:rPr>
      </w:pPr>
    </w:p>
    <w:p w14:paraId="0C0615C1" w14:textId="2A21D008" w:rsidR="00D155AA" w:rsidRPr="00655FC7" w:rsidRDefault="00D155AA" w:rsidP="00D155AA">
      <w:pPr>
        <w:tabs>
          <w:tab w:val="left" w:pos="3119"/>
        </w:tabs>
        <w:rPr>
          <w:rFonts w:cstheme="minorHAnsi"/>
          <w:color w:val="auto"/>
        </w:rPr>
      </w:pPr>
      <w:r w:rsidRPr="00655FC7">
        <w:rPr>
          <w:rFonts w:cstheme="minorHAnsi"/>
          <w:color w:val="auto"/>
        </w:rPr>
        <w:t>Jak wskazują powyższe dane, na terenie strefy, w której znajduje się Miasto Tarnogród istnieje problem związany z</w:t>
      </w:r>
      <w:r w:rsidR="002635BB" w:rsidRPr="00655FC7">
        <w:rPr>
          <w:rFonts w:cstheme="minorHAnsi"/>
          <w:color w:val="auto"/>
        </w:rPr>
        <w:t xml:space="preserve"> </w:t>
      </w:r>
      <w:r w:rsidRPr="00655FC7">
        <w:rPr>
          <w:rFonts w:cstheme="minorHAnsi"/>
          <w:color w:val="auto"/>
        </w:rPr>
        <w:t>przekroczeniem dopuszczalnych poziomów występowania substancji szkodliwych w powietrzu. Wraz ze zmianami klimatu problem ten będzie się pogłębiał, co doprowadzi do intensyfikacji zanieczyszczenia powietrza, a szczególnie zjawiska smogu.</w:t>
      </w:r>
    </w:p>
    <w:p w14:paraId="607D48D4" w14:textId="3F78C4F3" w:rsidR="00D155AA" w:rsidRPr="00655FC7" w:rsidRDefault="00D155AA" w:rsidP="00D155AA">
      <w:pPr>
        <w:tabs>
          <w:tab w:val="left" w:pos="3119"/>
        </w:tabs>
        <w:rPr>
          <w:rFonts w:cstheme="minorHAnsi"/>
          <w:color w:val="auto"/>
        </w:rPr>
      </w:pPr>
      <w:r w:rsidRPr="00655FC7">
        <w:rPr>
          <w:rFonts w:cstheme="minorHAnsi"/>
          <w:color w:val="auto"/>
        </w:rPr>
        <w:t>Należy zaznaczyć, że przekroczenia dopuszczalnych stężeń odnotowano dla dwóch parametrów: poziomu docelowego benzo(a)pirenu zawartego w pyle zawieszonym PM10 oraz poziomu pyłu zawieszonego PM2,5 określonych ze względu na ochronę zdrowia ludzi. Ze względu na ochron</w:t>
      </w:r>
      <w:r w:rsidR="002635BB" w:rsidRPr="00655FC7">
        <w:rPr>
          <w:rFonts w:cstheme="minorHAnsi"/>
          <w:color w:val="auto"/>
        </w:rPr>
        <w:t>ę</w:t>
      </w:r>
      <w:r w:rsidRPr="00655FC7">
        <w:rPr>
          <w:rFonts w:cstheme="minorHAnsi"/>
          <w:color w:val="auto"/>
        </w:rPr>
        <w:t xml:space="preserve"> roślin nie odnotowano przekroczeń dopuszczalnych poziomów substancji w powietrzu.</w:t>
      </w:r>
    </w:p>
    <w:p w14:paraId="415FE44D" w14:textId="03F446D6" w:rsidR="00D155AA" w:rsidRPr="00655FC7" w:rsidRDefault="00D155AA" w:rsidP="00D155AA">
      <w:pPr>
        <w:tabs>
          <w:tab w:val="left" w:pos="3119"/>
        </w:tabs>
        <w:rPr>
          <w:rFonts w:cstheme="minorHAnsi"/>
          <w:color w:val="auto"/>
        </w:rPr>
      </w:pPr>
      <w:r w:rsidRPr="00655FC7">
        <w:rPr>
          <w:rFonts w:cstheme="minorHAnsi"/>
          <w:color w:val="auto"/>
        </w:rPr>
        <w:t>W 2022 r. strefę lubelską zakwalifikowano do klasy C1 ze względu na przekroczenie średniorocznego poziomu dopuszczalnego pyłu zawieszonego PM2,5 (20 μg/m</w:t>
      </w:r>
      <w:r w:rsidRPr="00655FC7">
        <w:rPr>
          <w:rFonts w:cstheme="minorHAnsi"/>
          <w:color w:val="auto"/>
          <w:vertAlign w:val="superscript"/>
        </w:rPr>
        <w:t>3</w:t>
      </w:r>
      <w:r w:rsidRPr="00655FC7">
        <w:rPr>
          <w:rFonts w:cstheme="minorHAnsi"/>
          <w:color w:val="auto"/>
        </w:rPr>
        <w:t>), zarejestrowane w Janowie Lubelskim wynoszące 22 μg/m</w:t>
      </w:r>
      <w:r w:rsidRPr="00655FC7">
        <w:rPr>
          <w:rFonts w:cstheme="minorHAnsi"/>
          <w:color w:val="auto"/>
          <w:vertAlign w:val="superscript"/>
        </w:rPr>
        <w:t>3</w:t>
      </w:r>
      <w:r w:rsidRPr="00655FC7">
        <w:rPr>
          <w:rFonts w:cstheme="minorHAnsi"/>
          <w:color w:val="auto"/>
        </w:rPr>
        <w:t>. Na przeważającym obszarze województwa wartości średnie roczne pyłu zawieszonego PM2,5 nie przekraczały 15 μg/m</w:t>
      </w:r>
      <w:r w:rsidRPr="00655FC7">
        <w:rPr>
          <w:rFonts w:cstheme="minorHAnsi"/>
          <w:color w:val="auto"/>
          <w:vertAlign w:val="superscript"/>
        </w:rPr>
        <w:t>3</w:t>
      </w:r>
      <w:r w:rsidRPr="00655FC7">
        <w:rPr>
          <w:rFonts w:cstheme="minorHAnsi"/>
          <w:color w:val="auto"/>
        </w:rPr>
        <w:t>. Wyższe stężenia wystąpiły w rejonie większych miast województwa. Przekroczenie poziomu dopuszczalnego pyłu zawieszonego PM2,5 powyżej 20 μg/m</w:t>
      </w:r>
      <w:r w:rsidRPr="00655FC7">
        <w:rPr>
          <w:rFonts w:cstheme="minorHAnsi"/>
          <w:color w:val="auto"/>
          <w:vertAlign w:val="superscript"/>
        </w:rPr>
        <w:t>3</w:t>
      </w:r>
      <w:r w:rsidRPr="00655FC7">
        <w:rPr>
          <w:rFonts w:cstheme="minorHAnsi"/>
          <w:color w:val="auto"/>
        </w:rPr>
        <w:t xml:space="preserve"> wystąpiło w Janowie Lubelskim. Analizując stężenia średnioroczne pyłu zawieszonego PM2,5 z lat 2013-2022 obserwuje się trend malejący. Największe spadki stężenia, obserwowano w 2020 r., na wszystkich stanowiskach został dotrzymany poziom dopuszczalny dla II</w:t>
      </w:r>
      <w:r w:rsidR="002635BB" w:rsidRPr="00655FC7">
        <w:rPr>
          <w:rFonts w:cstheme="minorHAnsi"/>
          <w:color w:val="auto"/>
        </w:rPr>
        <w:t> </w:t>
      </w:r>
      <w:r w:rsidRPr="00655FC7">
        <w:rPr>
          <w:rFonts w:cstheme="minorHAnsi"/>
          <w:color w:val="auto"/>
        </w:rPr>
        <w:t>fazy.</w:t>
      </w:r>
    </w:p>
    <w:p w14:paraId="16C63E69" w14:textId="77777777" w:rsidR="00D155AA" w:rsidRPr="00655FC7" w:rsidRDefault="00D155AA" w:rsidP="00D155AA">
      <w:pPr>
        <w:tabs>
          <w:tab w:val="left" w:pos="3119"/>
        </w:tabs>
        <w:rPr>
          <w:rFonts w:cstheme="minorHAnsi"/>
          <w:color w:val="auto"/>
        </w:rPr>
      </w:pPr>
      <w:r w:rsidRPr="00655FC7">
        <w:rPr>
          <w:rFonts w:cstheme="minorHAnsi"/>
          <w:color w:val="auto"/>
        </w:rPr>
        <w:t>Strefę lubelską zakwalifikowano do klasy C ze względu na przekroczenie średniorocznego poziomu docelowego benzo(a)pirenu w pyle zawieszonym PM10 wynoszącego 1 ng/m</w:t>
      </w:r>
      <w:r w:rsidRPr="00655FC7">
        <w:rPr>
          <w:rFonts w:cstheme="minorHAnsi"/>
          <w:color w:val="auto"/>
          <w:vertAlign w:val="superscript"/>
        </w:rPr>
        <w:t>3</w:t>
      </w:r>
      <w:r w:rsidRPr="00655FC7">
        <w:rPr>
          <w:rFonts w:cstheme="minorHAnsi"/>
          <w:color w:val="auto"/>
        </w:rPr>
        <w:t>. Poziom docelowy benzo(a)pirenu w pyle zawieszonym PM10 został przekroczony na dwóch stanowiskach: w Białej Podlaskiej i Janowie Lubelskim. W 2022 roku, w porównaniu do 2021 roku, na wszystkich stanowiskach stężenia średnioroczne wykazały tendencję spadkową, na 6 stanowiskach wartości stężeń średniorocznych nie przekroczyły poziomu docelowego. Najwyższe stężenia benzo(a)pirenu w pyle zawieszonym PM10 występowały w roku 2015 i 2021, najwyższa wartość została zarejestrowana w Białej Podlaskiej przy ul. Orzechowej w 2015 r. i wynosiła 5,4 ng/m</w:t>
      </w:r>
      <w:r w:rsidRPr="00655FC7">
        <w:rPr>
          <w:rFonts w:cstheme="minorHAnsi"/>
          <w:color w:val="auto"/>
          <w:vertAlign w:val="superscript"/>
        </w:rPr>
        <w:t>3</w:t>
      </w:r>
      <w:r w:rsidRPr="00655FC7">
        <w:rPr>
          <w:rFonts w:cstheme="minorHAnsi"/>
          <w:color w:val="auto"/>
        </w:rPr>
        <w:t>. Analiza wyników pomiarów z wielolecia wskazuje na występowanie problemu z dotrzymaniem obowiązującego poziomu docelowego dla tego zanieczyszczenia.</w:t>
      </w:r>
    </w:p>
    <w:p w14:paraId="4E54ECDA" w14:textId="77777777" w:rsidR="00D155AA" w:rsidRPr="00655FC7" w:rsidRDefault="00D155AA" w:rsidP="00D155AA">
      <w:pPr>
        <w:tabs>
          <w:tab w:val="left" w:pos="3119"/>
        </w:tabs>
        <w:rPr>
          <w:rFonts w:cstheme="minorHAnsi"/>
          <w:color w:val="auto"/>
        </w:rPr>
      </w:pPr>
      <w:r w:rsidRPr="00655FC7">
        <w:rPr>
          <w:rFonts w:cstheme="minorHAnsi"/>
          <w:color w:val="auto"/>
        </w:rPr>
        <w:t>Na terenie Miasta Tarnogród w 2022 roku nie znajdowała się stacja pomiarowa badająca jakość powietrza.</w:t>
      </w:r>
    </w:p>
    <w:p w14:paraId="26616056" w14:textId="77777777" w:rsidR="00D155AA" w:rsidRPr="00655FC7" w:rsidRDefault="00D155AA" w:rsidP="00D155AA">
      <w:pPr>
        <w:tabs>
          <w:tab w:val="left" w:pos="3119"/>
        </w:tabs>
        <w:rPr>
          <w:rFonts w:cstheme="minorHAnsi"/>
          <w:color w:val="auto"/>
        </w:rPr>
      </w:pPr>
      <w:r w:rsidRPr="00655FC7">
        <w:rPr>
          <w:rFonts w:cstheme="minorHAnsi"/>
          <w:color w:val="auto"/>
        </w:rPr>
        <w:lastRenderedPageBreak/>
        <w:t>Na omawianym terenie główne problemy z zakresu ochrony powietrza to:</w:t>
      </w:r>
    </w:p>
    <w:p w14:paraId="00B98928" w14:textId="77777777" w:rsidR="00D155AA" w:rsidRPr="00655FC7" w:rsidRDefault="00D155AA" w:rsidP="008F2B93">
      <w:pPr>
        <w:numPr>
          <w:ilvl w:val="1"/>
          <w:numId w:val="20"/>
        </w:numPr>
        <w:tabs>
          <w:tab w:val="left" w:pos="3119"/>
        </w:tabs>
        <w:contextualSpacing/>
        <w:rPr>
          <w:rFonts w:cstheme="minorHAnsi"/>
          <w:color w:val="auto"/>
        </w:rPr>
      </w:pPr>
      <w:r w:rsidRPr="00655FC7">
        <w:rPr>
          <w:rFonts w:cstheme="minorHAnsi"/>
          <w:color w:val="auto"/>
        </w:rPr>
        <w:t>brak funkcjonowania na obszarze gminy programu dotacji na wymianę źródeł ciepła, ze względu na brak możliwości wydzielenia środków budżetowych na ten cel,</w:t>
      </w:r>
    </w:p>
    <w:p w14:paraId="68CF62B3" w14:textId="77777777" w:rsidR="00D155AA" w:rsidRPr="00655FC7" w:rsidRDefault="00D155AA" w:rsidP="008F2B93">
      <w:pPr>
        <w:numPr>
          <w:ilvl w:val="1"/>
          <w:numId w:val="20"/>
        </w:numPr>
        <w:tabs>
          <w:tab w:val="left" w:pos="3119"/>
        </w:tabs>
        <w:contextualSpacing/>
        <w:rPr>
          <w:rFonts w:cstheme="minorHAnsi"/>
          <w:color w:val="auto"/>
        </w:rPr>
      </w:pPr>
      <w:r w:rsidRPr="00655FC7">
        <w:rPr>
          <w:rFonts w:cstheme="minorHAnsi"/>
          <w:color w:val="auto"/>
        </w:rPr>
        <w:t>brak kontroli palenisk pod kątem przestrzegania uchwały antysmogowej i zakazu spalania odpadów,</w:t>
      </w:r>
    </w:p>
    <w:p w14:paraId="770A5C72" w14:textId="77777777" w:rsidR="00D155AA" w:rsidRPr="00655FC7" w:rsidRDefault="00D155AA" w:rsidP="008F2B93">
      <w:pPr>
        <w:numPr>
          <w:ilvl w:val="1"/>
          <w:numId w:val="20"/>
        </w:numPr>
        <w:tabs>
          <w:tab w:val="left" w:pos="3119"/>
        </w:tabs>
        <w:contextualSpacing/>
        <w:rPr>
          <w:rFonts w:cstheme="minorHAnsi"/>
          <w:color w:val="auto"/>
        </w:rPr>
      </w:pPr>
      <w:r w:rsidRPr="00655FC7">
        <w:rPr>
          <w:rFonts w:cstheme="minorHAnsi"/>
          <w:color w:val="auto"/>
        </w:rPr>
        <w:t>niechęć mieszkańców, co do wymiany starych źródeł ciepła, w obawie o ciągle zmieniające się przepisy i nakazy,</w:t>
      </w:r>
    </w:p>
    <w:p w14:paraId="63896A89" w14:textId="77777777" w:rsidR="00D155AA" w:rsidRPr="00655FC7" w:rsidRDefault="00D155AA" w:rsidP="008F2B93">
      <w:pPr>
        <w:numPr>
          <w:ilvl w:val="1"/>
          <w:numId w:val="20"/>
        </w:numPr>
        <w:tabs>
          <w:tab w:val="left" w:pos="3119"/>
        </w:tabs>
        <w:contextualSpacing/>
        <w:rPr>
          <w:rFonts w:cstheme="minorHAnsi"/>
          <w:color w:val="auto"/>
        </w:rPr>
      </w:pPr>
      <w:r w:rsidRPr="00655FC7">
        <w:rPr>
          <w:rFonts w:cstheme="minorHAnsi"/>
          <w:color w:val="auto"/>
        </w:rPr>
        <w:t>brak środków finansowych na modernizację źródeł ciepła przez mieszkańców, mimo obowiązujących programów,</w:t>
      </w:r>
    </w:p>
    <w:p w14:paraId="29C903FB" w14:textId="77777777" w:rsidR="00D155AA" w:rsidRPr="00655FC7" w:rsidRDefault="00D155AA" w:rsidP="008F2B93">
      <w:pPr>
        <w:numPr>
          <w:ilvl w:val="1"/>
          <w:numId w:val="20"/>
        </w:numPr>
        <w:tabs>
          <w:tab w:val="left" w:pos="3119"/>
        </w:tabs>
        <w:contextualSpacing/>
        <w:rPr>
          <w:rFonts w:cstheme="minorHAnsi"/>
          <w:color w:val="auto"/>
        </w:rPr>
      </w:pPr>
      <w:r w:rsidRPr="00655FC7">
        <w:rPr>
          <w:rFonts w:cstheme="minorHAnsi"/>
          <w:color w:val="auto"/>
        </w:rPr>
        <w:t>niski poziom edukacji mieszkańców pod względem zakazu spalania w kotłach odpadów, liści, gałęzi, suchych części roślin itd.</w:t>
      </w:r>
    </w:p>
    <w:p w14:paraId="1FAA717A" w14:textId="77777777" w:rsidR="00D155AA" w:rsidRPr="00655FC7" w:rsidRDefault="00D155AA" w:rsidP="00D155AA">
      <w:pPr>
        <w:tabs>
          <w:tab w:val="left" w:pos="3119"/>
        </w:tabs>
        <w:rPr>
          <w:rFonts w:cstheme="minorHAnsi"/>
          <w:color w:val="auto"/>
        </w:rPr>
      </w:pPr>
    </w:p>
    <w:p w14:paraId="68D01F1F" w14:textId="77777777" w:rsidR="00D155AA" w:rsidRPr="00655FC7" w:rsidRDefault="00D155AA" w:rsidP="00D155AA">
      <w:pPr>
        <w:pStyle w:val="Nagwek3"/>
      </w:pPr>
      <w:bookmarkStart w:id="215" w:name="_Toc177732071"/>
      <w:r w:rsidRPr="00655FC7">
        <w:t>Inne zagrożenia</w:t>
      </w:r>
      <w:bookmarkEnd w:id="215"/>
    </w:p>
    <w:p w14:paraId="1346E53F" w14:textId="404BB6F9" w:rsidR="00D155AA" w:rsidRPr="00655FC7" w:rsidRDefault="00D155AA" w:rsidP="00D155AA">
      <w:pPr>
        <w:rPr>
          <w:rFonts w:cstheme="minorHAnsi"/>
          <w:color w:val="auto"/>
          <w:szCs w:val="21"/>
        </w:rPr>
      </w:pPr>
      <w:r w:rsidRPr="00655FC7">
        <w:rPr>
          <w:rFonts w:cstheme="minorHAnsi"/>
          <w:color w:val="auto"/>
        </w:rPr>
        <w:t xml:space="preserve">Na terenie Miasta Tarnogród występuje także zjawisko miejskiej wyspy ciepła. Dotknięty tym problemem jest obszar rynku, przy Tarnogrodzkim Ośrodku Kultury. Obszar ten </w:t>
      </w:r>
      <w:r w:rsidR="002635BB" w:rsidRPr="00655FC7">
        <w:rPr>
          <w:rFonts w:cstheme="minorHAnsi"/>
          <w:color w:val="auto"/>
        </w:rPr>
        <w:t>tworzy</w:t>
      </w:r>
      <w:r w:rsidRPr="00655FC7">
        <w:rPr>
          <w:rFonts w:cstheme="minorHAnsi"/>
          <w:color w:val="auto"/>
        </w:rPr>
        <w:t xml:space="preserve"> plac z</w:t>
      </w:r>
      <w:r w:rsidR="002635BB" w:rsidRPr="00655FC7">
        <w:rPr>
          <w:rFonts w:cstheme="minorHAnsi"/>
          <w:color w:val="auto"/>
        </w:rPr>
        <w:t xml:space="preserve"> </w:t>
      </w:r>
      <w:r w:rsidRPr="00655FC7">
        <w:rPr>
          <w:rFonts w:cstheme="minorHAnsi"/>
          <w:color w:val="auto"/>
        </w:rPr>
        <w:t xml:space="preserve">kostki brukowej, o nawierzchni nieprzepuszczalnej, który pełni również funkcję parkingu samochodowego dla odwiedzających instytucję. Zieleń stanowią jedynie drzewa i krzewy posadzone w donicach. Powierzchnia uszczelniona, wybetonowana szybko się nagrzewa, szczególnie w słoneczne dni. Zieleń bez możliwości rozrostu i osiągnięcia większych rozmiarów nie będzie mogła zapewnić odpowiedniego cienia. Dodatkowo obszar rynku zlokalizowany jest w bezpośrednim sąsiedztwie dróg wojewódzkich </w:t>
      </w:r>
      <w:r w:rsidR="009F45D3" w:rsidRPr="00655FC7">
        <w:rPr>
          <w:rFonts w:cstheme="minorHAnsi"/>
          <w:color w:val="auto"/>
        </w:rPr>
        <w:t xml:space="preserve">nr </w:t>
      </w:r>
      <w:r w:rsidRPr="00655FC7">
        <w:rPr>
          <w:rFonts w:cstheme="minorHAnsi"/>
          <w:color w:val="auto"/>
        </w:rPr>
        <w:t xml:space="preserve">863 i 835 (rondo ulic Partyzantów i Rynek). Ruch samochodowy i wywołana nim emisja spalin dodatkowo potęgują zjawiska miejskiej wyspy ciepła. </w:t>
      </w:r>
    </w:p>
    <w:p w14:paraId="21D55477" w14:textId="4A561A6D" w:rsidR="00D155AA" w:rsidRPr="00655FC7" w:rsidRDefault="00D155AA" w:rsidP="00D155AA">
      <w:r w:rsidRPr="00655FC7">
        <w:t>Na terenie miasta funkcjonuje również przetwórnia owocowo-warzywna Gardenia, która stanowi potencjalne nadzwyczajne zagrożenie dla środowiska m.in. poprzez możliwość wystąpienia awarii</w:t>
      </w:r>
      <w:r w:rsidR="008867CC" w:rsidRPr="00655FC7">
        <w:t xml:space="preserve">, </w:t>
      </w:r>
      <w:r w:rsidRPr="00655FC7">
        <w:t>wysokie pobory wody</w:t>
      </w:r>
      <w:r w:rsidR="008867CC" w:rsidRPr="00655FC7">
        <w:t xml:space="preserve"> oraz odprowadzenie ścieków</w:t>
      </w:r>
      <w:r w:rsidRPr="00655FC7">
        <w:t>.</w:t>
      </w:r>
    </w:p>
    <w:p w14:paraId="5AF74293" w14:textId="2C5544B0" w:rsidR="008867CC" w:rsidRPr="00655FC7" w:rsidRDefault="002635BB" w:rsidP="00D155AA">
      <w:r w:rsidRPr="00655FC7">
        <w:t xml:space="preserve">Zakład prowadzi </w:t>
      </w:r>
      <w:r w:rsidR="008867CC" w:rsidRPr="00655FC7">
        <w:t xml:space="preserve">obecnie </w:t>
      </w:r>
      <w:r w:rsidRPr="00655FC7">
        <w:t xml:space="preserve">rozmowy z </w:t>
      </w:r>
      <w:r w:rsidR="008867CC" w:rsidRPr="00655FC7">
        <w:t>władzami miasta</w:t>
      </w:r>
      <w:r w:rsidRPr="00655FC7">
        <w:t xml:space="preserve"> w kwestii opracowania wspólnych rozwiąza</w:t>
      </w:r>
      <w:r w:rsidR="008867CC" w:rsidRPr="00655FC7">
        <w:t>ń</w:t>
      </w:r>
      <w:r w:rsidRPr="00655FC7">
        <w:t xml:space="preserve"> dotyczących zagospodarowania ścieków i skoordynowania technologii działalności przetwórni</w:t>
      </w:r>
      <w:r w:rsidR="008867CC" w:rsidRPr="00655FC7">
        <w:t>,</w:t>
      </w:r>
      <w:r w:rsidRPr="00655FC7">
        <w:t xml:space="preserve"> z </w:t>
      </w:r>
      <w:r w:rsidR="008867CC" w:rsidRPr="00655FC7">
        <w:t>koniecznością przeprowadzenia modernizacji</w:t>
      </w:r>
      <w:r w:rsidRPr="00655FC7">
        <w:t xml:space="preserve"> oczyszczalni w Tarnogrodzie. </w:t>
      </w:r>
      <w:r w:rsidR="008867CC" w:rsidRPr="00655FC7">
        <w:t>Aktualnie do ww. oczyszczalni przyjmowane są ścieki z przetwórni, co przekracza</w:t>
      </w:r>
      <w:r w:rsidR="009F45D3" w:rsidRPr="00655FC7">
        <w:t xml:space="preserve"> jej</w:t>
      </w:r>
      <w:r w:rsidR="008867CC" w:rsidRPr="00655FC7">
        <w:t xml:space="preserve"> możliwości technologiczne, </w:t>
      </w:r>
      <w:r w:rsidR="009F45D3" w:rsidRPr="00655FC7">
        <w:t xml:space="preserve">a sama oczyszczalnia dodatkowo </w:t>
      </w:r>
      <w:r w:rsidR="008867CC" w:rsidRPr="00655FC7">
        <w:t>wymaga przebudowy</w:t>
      </w:r>
      <w:r w:rsidR="009F45D3" w:rsidRPr="00655FC7">
        <w:t xml:space="preserve"> i rozbudowy.</w:t>
      </w:r>
    </w:p>
    <w:p w14:paraId="10162403" w14:textId="77777777" w:rsidR="00D155AA" w:rsidRPr="00655FC7" w:rsidRDefault="00D155AA" w:rsidP="00D155AA"/>
    <w:p w14:paraId="3C704535" w14:textId="77777777" w:rsidR="00D155AA" w:rsidRPr="00655FC7" w:rsidRDefault="00D155AA" w:rsidP="00D155AA">
      <w:pPr>
        <w:pStyle w:val="Nagwek3"/>
      </w:pPr>
      <w:bookmarkStart w:id="216" w:name="_Toc177732072"/>
      <w:r w:rsidRPr="00655FC7">
        <w:t>Presje na środowisko naturalne</w:t>
      </w:r>
      <w:bookmarkEnd w:id="216"/>
    </w:p>
    <w:p w14:paraId="3A1BCBFC" w14:textId="77777777" w:rsidR="00D155AA" w:rsidRPr="00655FC7" w:rsidRDefault="00D155AA" w:rsidP="00D155AA">
      <w:r w:rsidRPr="00655FC7">
        <w:t>Największe problemy z zakresu ochrony środowiska na terenie miasta to m.in.</w:t>
      </w:r>
      <w:r w:rsidRPr="00655FC7">
        <w:rPr>
          <w:vertAlign w:val="superscript"/>
        </w:rPr>
        <w:footnoteReference w:id="31"/>
      </w:r>
      <w:r w:rsidRPr="00655FC7">
        <w:t>:</w:t>
      </w:r>
    </w:p>
    <w:p w14:paraId="576D5232" w14:textId="77777777" w:rsidR="00D155AA" w:rsidRPr="00655FC7" w:rsidRDefault="00D155AA" w:rsidP="008F2B93">
      <w:pPr>
        <w:numPr>
          <w:ilvl w:val="0"/>
          <w:numId w:val="119"/>
        </w:numPr>
        <w:tabs>
          <w:tab w:val="left" w:pos="1134"/>
          <w:tab w:val="left" w:pos="3119"/>
        </w:tabs>
        <w:ind w:hanging="8"/>
        <w:contextualSpacing/>
        <w:rPr>
          <w:rFonts w:cstheme="minorHAnsi"/>
          <w:color w:val="auto"/>
        </w:rPr>
      </w:pPr>
      <w:r w:rsidRPr="00655FC7">
        <w:rPr>
          <w:rFonts w:cstheme="minorHAnsi"/>
          <w:color w:val="auto"/>
        </w:rPr>
        <w:t>niska świadomość ekologiczna mieszkańców miasta,</w:t>
      </w:r>
    </w:p>
    <w:p w14:paraId="17F7253A" w14:textId="77777777" w:rsidR="00D155AA" w:rsidRPr="00655FC7" w:rsidRDefault="00D155AA" w:rsidP="008F2B93">
      <w:pPr>
        <w:numPr>
          <w:ilvl w:val="0"/>
          <w:numId w:val="119"/>
        </w:numPr>
        <w:tabs>
          <w:tab w:val="left" w:pos="1134"/>
          <w:tab w:val="left" w:pos="3119"/>
        </w:tabs>
        <w:ind w:hanging="8"/>
        <w:contextualSpacing/>
        <w:rPr>
          <w:rFonts w:cstheme="minorHAnsi"/>
          <w:color w:val="auto"/>
        </w:rPr>
      </w:pPr>
      <w:r w:rsidRPr="00655FC7">
        <w:rPr>
          <w:rFonts w:cstheme="minorHAnsi"/>
          <w:color w:val="auto"/>
        </w:rPr>
        <w:t>występowanie na terenie miasta dzikich wysypisk śmieci,</w:t>
      </w:r>
    </w:p>
    <w:p w14:paraId="740535D2" w14:textId="3C4B3524" w:rsidR="000D2313" w:rsidRPr="000D2313" w:rsidRDefault="00D155AA" w:rsidP="008F2B93">
      <w:pPr>
        <w:pStyle w:val="Akapitzlist"/>
        <w:numPr>
          <w:ilvl w:val="0"/>
          <w:numId w:val="119"/>
        </w:numPr>
        <w:tabs>
          <w:tab w:val="left" w:pos="1134"/>
          <w:tab w:val="left" w:pos="3119"/>
        </w:tabs>
        <w:spacing w:after="200"/>
        <w:ind w:hanging="8"/>
        <w:jc w:val="left"/>
        <w:rPr>
          <w:rFonts w:cstheme="minorHAnsi"/>
          <w:color w:val="auto"/>
        </w:rPr>
      </w:pPr>
      <w:r w:rsidRPr="000D2313">
        <w:rPr>
          <w:rFonts w:cstheme="minorHAnsi"/>
          <w:color w:val="auto"/>
        </w:rPr>
        <w:t>praktyka spalania odpadów w przydomowych kotłach.</w:t>
      </w:r>
      <w:bookmarkStart w:id="217" w:name="_Toc143596940"/>
      <w:r w:rsidR="000D2313" w:rsidRPr="000D2313">
        <w:rPr>
          <w:rFonts w:cstheme="minorHAnsi"/>
          <w:color w:val="auto"/>
        </w:rPr>
        <w:br w:type="page"/>
      </w:r>
    </w:p>
    <w:p w14:paraId="06EEA93C" w14:textId="77777777" w:rsidR="00D155AA" w:rsidRPr="00655FC7" w:rsidRDefault="00D155AA" w:rsidP="00B62479">
      <w:pPr>
        <w:pStyle w:val="Nagwek2"/>
      </w:pPr>
      <w:bookmarkStart w:id="218" w:name="_Toc177732073"/>
      <w:r w:rsidRPr="00655FC7">
        <w:lastRenderedPageBreak/>
        <w:t>Prognozy klimatyczne</w:t>
      </w:r>
      <w:bookmarkEnd w:id="218"/>
    </w:p>
    <w:p w14:paraId="0CDF24AA" w14:textId="77777777" w:rsidR="00D155AA" w:rsidRPr="00655FC7" w:rsidRDefault="00D155AA" w:rsidP="00D155AA">
      <w:pPr>
        <w:rPr>
          <w:rFonts w:cstheme="minorHAnsi"/>
        </w:rPr>
      </w:pPr>
      <w:r w:rsidRPr="00655FC7">
        <w:rPr>
          <w:rFonts w:cstheme="minorHAnsi"/>
        </w:rPr>
        <w:t xml:space="preserve">Celem analizy prognoz klimatu jest wskazanie zagrożeń klimatycznych, jakie mogą wystąpić na analizowanym obszarze w dalszej perspektywie czasowej, do roku 2100. Najważniejszymi badanymi w scenariuszach wskaźnikami są temperatury powietrza oraz suma opadów. </w:t>
      </w:r>
    </w:p>
    <w:p w14:paraId="678E3445" w14:textId="4865C435" w:rsidR="00D155AA" w:rsidRPr="00655FC7" w:rsidRDefault="00D155AA" w:rsidP="00D155AA">
      <w:pPr>
        <w:rPr>
          <w:rFonts w:cstheme="minorHAnsi"/>
        </w:rPr>
      </w:pPr>
      <w:r w:rsidRPr="00655FC7">
        <w:rPr>
          <w:rFonts w:cstheme="minorHAnsi"/>
        </w:rPr>
        <w:t>Zgodne z wynikami analiz Międzyrządowego Panelu ds. Zmian Klimatu, to gazy cieplarniane (głównie dwutlenek węgla) odpowiadają za obserwowany w wielu miejscach na świecie wzrost temperatury. W ostatnim 60-leciu średnie stężenie dwutlenku węgla w atmosferze wzrosło od 315 do ponad 410-milionowych części objętości (ppm) i rośnie o około 2 ppm/rok. Aby prognozować zmiany temperatury i innych parametrów klimatycznych naukowcy starają się przewidzieć tempo zwiększania się zawartości dwutlenku węgla w atmosferze w przyszłości. W celu uchwycenia niepewności odnośnie emisji gazów cieplarnianych do atmosfery, rozważane są</w:t>
      </w:r>
      <w:r w:rsidR="009F45D3" w:rsidRPr="00655FC7">
        <w:rPr>
          <w:rFonts w:cstheme="minorHAnsi"/>
        </w:rPr>
        <w:t xml:space="preserve"> </w:t>
      </w:r>
      <w:r w:rsidRPr="00655FC7">
        <w:rPr>
          <w:rFonts w:cstheme="minorHAnsi"/>
        </w:rPr>
        <w:t>różne, uzgodnione międzynarodowo, scenariusze rozwoju gospodarczego i socjo-ekonomicznego, które co kilka lat podlegają uaktualnieniu.</w:t>
      </w:r>
    </w:p>
    <w:p w14:paraId="557822D7" w14:textId="77777777" w:rsidR="00D155AA" w:rsidRPr="00655FC7" w:rsidRDefault="00D155AA" w:rsidP="00D155AA">
      <w:pPr>
        <w:rPr>
          <w:rFonts w:cstheme="minorHAnsi"/>
        </w:rPr>
      </w:pPr>
      <w:r w:rsidRPr="00655FC7">
        <w:rPr>
          <w:rFonts w:cstheme="minorHAnsi"/>
        </w:rPr>
        <w:t>Scenariusze opracowane na potrzeby Piątego Raportu Oceny noszą akronim RCP (ang. Representative Concentrations Pathways). Nazwy poszczególnych RCP pochodzą od przypisanych im wartości globalnego wymuszenia radiacyjnego w górnych warstwach atmosfery, prognozowanego na koniec XXI w. (aktualnie 3 W/m²). Wielkość ta jest zależna od zawartości gazów cieplarnianych w atmosferze (410 ppm CO</w:t>
      </w:r>
      <w:r w:rsidRPr="00655FC7">
        <w:rPr>
          <w:rFonts w:cstheme="minorHAnsi"/>
          <w:vertAlign w:val="subscript"/>
        </w:rPr>
        <w:t>2</w:t>
      </w:r>
      <w:r w:rsidRPr="00655FC7">
        <w:rPr>
          <w:rFonts w:cstheme="minorHAnsi"/>
        </w:rPr>
        <w:t> w 2020 r.).</w:t>
      </w:r>
    </w:p>
    <w:p w14:paraId="7CDD81E5" w14:textId="77777777" w:rsidR="00D155AA" w:rsidRPr="00655FC7" w:rsidRDefault="00D155AA" w:rsidP="00D155AA">
      <w:pPr>
        <w:rPr>
          <w:rFonts w:cstheme="minorHAnsi"/>
        </w:rPr>
      </w:pPr>
      <w:r w:rsidRPr="00655FC7">
        <w:rPr>
          <w:rFonts w:cstheme="minorHAnsi"/>
        </w:rPr>
        <w:t>Celem uchwycenia niepewności wyników modelowania, wynikających z różnych możliwych ścieżek rozwoju gospodarczego i związanego z nim tempa wzrostu stężenia gazów cieplarnianych w atmosferze, analizy przeprowadza się dla dwóch scenariuszy opisanych akronimami RCP4.5 oraz RCP8.5:</w:t>
      </w:r>
    </w:p>
    <w:p w14:paraId="58CD2EB1" w14:textId="77777777" w:rsidR="00D155AA" w:rsidRPr="00655FC7" w:rsidRDefault="00D155AA">
      <w:pPr>
        <w:numPr>
          <w:ilvl w:val="0"/>
          <w:numId w:val="17"/>
        </w:numPr>
        <w:ind w:left="851" w:hanging="284"/>
        <w:contextualSpacing/>
        <w:rPr>
          <w:rFonts w:cstheme="minorHAnsi"/>
        </w:rPr>
      </w:pPr>
      <w:r w:rsidRPr="00655FC7">
        <w:rPr>
          <w:rFonts w:cstheme="minorHAnsi"/>
        </w:rPr>
        <w:t>RCP 4.5 – wprowadzanie nowych technologii w celu uzyskania wyższej niż obecnie redukcji emisji gazów cieplarnianych. Zakładany jest wyraźny spadek zawartości GHG w atmosferze w połowie stulecia oraz osiągnięcie w roku 2100 stężeń CO</w:t>
      </w:r>
      <w:r w:rsidRPr="00655FC7">
        <w:rPr>
          <w:rFonts w:cstheme="minorHAnsi"/>
          <w:vertAlign w:val="subscript"/>
        </w:rPr>
        <w:t>2</w:t>
      </w:r>
      <w:r w:rsidRPr="00655FC7">
        <w:rPr>
          <w:rFonts w:cstheme="minorHAnsi"/>
        </w:rPr>
        <w:t xml:space="preserve"> ok. 540 ppm i wymuszenia radiacyjnego 4.5 [W/m</w:t>
      </w:r>
      <w:r w:rsidRPr="00655FC7">
        <w:rPr>
          <w:rFonts w:cstheme="minorHAnsi"/>
          <w:vertAlign w:val="superscript"/>
        </w:rPr>
        <w:t>2</w:t>
      </w:r>
      <w:r w:rsidRPr="00655FC7">
        <w:rPr>
          <w:rFonts w:cstheme="minorHAnsi"/>
        </w:rPr>
        <w:t>]. Wzrost średniej temperatury globalnej wyniesie ok. 2.5°pod koniec XXI w.</w:t>
      </w:r>
    </w:p>
    <w:p w14:paraId="528529EC" w14:textId="77777777" w:rsidR="00D155AA" w:rsidRPr="00655FC7" w:rsidRDefault="00D155AA">
      <w:pPr>
        <w:numPr>
          <w:ilvl w:val="0"/>
          <w:numId w:val="17"/>
        </w:numPr>
        <w:ind w:left="851" w:hanging="284"/>
        <w:contextualSpacing/>
        <w:rPr>
          <w:rFonts w:cstheme="minorHAnsi"/>
        </w:rPr>
      </w:pPr>
      <w:r w:rsidRPr="00655FC7">
        <w:rPr>
          <w:rFonts w:cstheme="minorHAnsi"/>
        </w:rPr>
        <w:t>RCP 8.5 – utrzymanie aktualnego tempa wzrostu emisji gazów cieplarnianych, w formule „business as usual”. Pod koniec wieku zakłada się osiągniecie poziomu stężeń CO</w:t>
      </w:r>
      <w:r w:rsidRPr="00655FC7">
        <w:rPr>
          <w:rFonts w:cstheme="minorHAnsi"/>
          <w:vertAlign w:val="subscript"/>
        </w:rPr>
        <w:t>2</w:t>
      </w:r>
      <w:r w:rsidRPr="00655FC7">
        <w:rPr>
          <w:rFonts w:cstheme="minorHAnsi"/>
        </w:rPr>
        <w:t xml:space="preserve"> ok. 940 ppm oraz wymuszenia radiacyjnego 8.5 [W/m</w:t>
      </w:r>
      <w:r w:rsidRPr="00655FC7">
        <w:rPr>
          <w:rFonts w:cstheme="minorHAnsi"/>
          <w:vertAlign w:val="superscript"/>
        </w:rPr>
        <w:t>2</w:t>
      </w:r>
      <w:r w:rsidRPr="00655FC7">
        <w:rPr>
          <w:rFonts w:cstheme="minorHAnsi"/>
        </w:rPr>
        <w:t>]. Średnia temperatura Ziemi wzrośnie o 4.5°C względem epoki przedindustrialnej. Scenariusz ten z 95% prawdopodobieństwem oznacza nieodwracalną destabilizację klimatu Ziemi</w:t>
      </w:r>
      <w:r w:rsidRPr="00655FC7">
        <w:rPr>
          <w:rFonts w:cstheme="minorHAnsi"/>
          <w:vertAlign w:val="superscript"/>
        </w:rPr>
        <w:footnoteReference w:id="32"/>
      </w:r>
      <w:r w:rsidRPr="00655FC7">
        <w:rPr>
          <w:rFonts w:cstheme="minorHAnsi"/>
        </w:rPr>
        <w:t>.</w:t>
      </w:r>
    </w:p>
    <w:p w14:paraId="59A6129B" w14:textId="77777777" w:rsidR="00D155AA" w:rsidRPr="00655FC7" w:rsidRDefault="00D155AA" w:rsidP="00D155AA">
      <w:pPr>
        <w:ind w:firstLine="0"/>
        <w:rPr>
          <w:rFonts w:cstheme="minorHAnsi"/>
        </w:rPr>
      </w:pPr>
    </w:p>
    <w:p w14:paraId="5324B646" w14:textId="77777777" w:rsidR="00D155AA" w:rsidRPr="00655FC7" w:rsidRDefault="00D155AA" w:rsidP="00D155AA">
      <w:pPr>
        <w:rPr>
          <w:rFonts w:cstheme="minorHAnsi"/>
        </w:rPr>
      </w:pPr>
      <w:r w:rsidRPr="00655FC7">
        <w:rPr>
          <w:rFonts w:cstheme="minorHAnsi"/>
        </w:rPr>
        <w:t>Poniżej zaprezentowano scenariusze dla powiatu biłgorajskiego (Instytut Ochrony Środowiska. Państwowy Instytut Badawczy opracował dane ze szczegółowością do powiatów). Na wykresach przedstawiono średnią kroczącą (metoda statystyczna używana do analizy szeregów czasowych) temperatury (średnia temperatura) oraz opadów (suma opadów). Widzimy, iż średnia temperatura dla scenariusza RCP 4.5 wzrośnie o ponad 1°C, a dla scenariusza RCP 8.5 – o ponad 3°C. W przypadku sumy upadów nie istnieje wyraźny trend – suma opadów będzie się wahać powodując występowanie lat bardziej mokrych i bardziej suchych. Ostatecznie jednak do rok 2100 w obu scenariuszach przewiduje się wzrost sumy opadów.</w:t>
      </w:r>
    </w:p>
    <w:p w14:paraId="42717FD5" w14:textId="77777777" w:rsidR="00D155AA" w:rsidRPr="00655FC7" w:rsidRDefault="00D155AA" w:rsidP="00D155AA">
      <w:pPr>
        <w:rPr>
          <w:rFonts w:cstheme="minorHAnsi"/>
        </w:rPr>
        <w:sectPr w:rsidR="00D155AA" w:rsidRPr="00655FC7" w:rsidSect="006A4AE9">
          <w:headerReference w:type="even" r:id="rId107"/>
          <w:headerReference w:type="default" r:id="rId108"/>
          <w:footerReference w:type="even" r:id="rId109"/>
          <w:footerReference w:type="default" r:id="rId110"/>
          <w:pgSz w:w="11906" w:h="16838"/>
          <w:pgMar w:top="1418" w:right="1418" w:bottom="1418" w:left="1418" w:header="709" w:footer="709" w:gutter="0"/>
          <w:cols w:space="708"/>
          <w:titlePg/>
          <w:docGrid w:linePitch="360"/>
        </w:sectPr>
      </w:pPr>
    </w:p>
    <w:p w14:paraId="1741F782" w14:textId="77777777" w:rsidR="00D155AA" w:rsidRPr="00655FC7" w:rsidRDefault="00D155AA" w:rsidP="00D155AA">
      <w:pPr>
        <w:ind w:firstLine="0"/>
        <w:jc w:val="center"/>
        <w:rPr>
          <w:rFonts w:cstheme="minorHAnsi"/>
        </w:rPr>
      </w:pPr>
      <w:r w:rsidRPr="00655FC7">
        <w:rPr>
          <w:rFonts w:cstheme="minorHAnsi"/>
          <w:noProof/>
        </w:rPr>
        <w:lastRenderedPageBreak/>
        <w:drawing>
          <wp:inline distT="0" distB="0" distL="0" distR="0" wp14:anchorId="347B7039" wp14:editId="7E8D1A2A">
            <wp:extent cx="8042793" cy="5076000"/>
            <wp:effectExtent l="0" t="0" r="0" b="0"/>
            <wp:docPr id="97396596" name="Obraz 1" descr="Obraz zawierający tekst, Wykres, linia, diagram&#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96596" name="Obraz 1" descr="Obraz zawierający tekst, Wykres, linia, diagram&#10;&#10;Opis wygenerowany automatycznie"/>
                    <pic:cNvPicPr/>
                  </pic:nvPicPr>
                  <pic:blipFill>
                    <a:blip r:embed="rId111"/>
                    <a:stretch>
                      <a:fillRect/>
                    </a:stretch>
                  </pic:blipFill>
                  <pic:spPr>
                    <a:xfrm>
                      <a:off x="0" y="0"/>
                      <a:ext cx="8042793" cy="5076000"/>
                    </a:xfrm>
                    <a:prstGeom prst="rect">
                      <a:avLst/>
                    </a:prstGeom>
                  </pic:spPr>
                </pic:pic>
              </a:graphicData>
            </a:graphic>
          </wp:inline>
        </w:drawing>
      </w:r>
    </w:p>
    <w:p w14:paraId="58C0E3A2" w14:textId="68E4A2D3" w:rsidR="00D155AA" w:rsidRPr="00655FC7" w:rsidRDefault="00D155AA" w:rsidP="00D155AA">
      <w:pPr>
        <w:pStyle w:val="Stylrysunek"/>
      </w:pPr>
      <w:bookmarkStart w:id="219" w:name="_Toc178846390"/>
      <w:r w:rsidRPr="00655FC7">
        <w:t xml:space="preserve">Rysunek </w:t>
      </w:r>
      <w:r w:rsidR="00EA4C85">
        <w:fldChar w:fldCharType="begin"/>
      </w:r>
      <w:r w:rsidR="00EA4C85">
        <w:instrText xml:space="preserve"> SEQ Rysunek \* ARABIC </w:instrText>
      </w:r>
      <w:r w:rsidR="00EA4C85">
        <w:fldChar w:fldCharType="separate"/>
      </w:r>
      <w:r w:rsidR="00A654D8">
        <w:rPr>
          <w:noProof/>
        </w:rPr>
        <w:t>48</w:t>
      </w:r>
      <w:r w:rsidR="00EA4C85">
        <w:rPr>
          <w:noProof/>
        </w:rPr>
        <w:fldChar w:fldCharType="end"/>
      </w:r>
      <w:r w:rsidRPr="00655FC7">
        <w:t>. Średnia krocząca temperatury - rok - pow. biłgorajski</w:t>
      </w:r>
      <w:bookmarkEnd w:id="219"/>
    </w:p>
    <w:p w14:paraId="7AE99A89" w14:textId="77777777" w:rsidR="00D155AA" w:rsidRPr="00655FC7" w:rsidRDefault="00D155AA" w:rsidP="00D155AA">
      <w:pPr>
        <w:pStyle w:val="Cytat"/>
      </w:pPr>
      <w:r w:rsidRPr="00655FC7">
        <w:t>Źródło: https://klimada2.ios.gov.pl/</w:t>
      </w:r>
    </w:p>
    <w:p w14:paraId="6EDA6E0E" w14:textId="77777777" w:rsidR="00D155AA" w:rsidRPr="00655FC7" w:rsidRDefault="00D155AA" w:rsidP="00D155AA">
      <w:pPr>
        <w:spacing w:line="240" w:lineRule="auto"/>
        <w:ind w:firstLine="0"/>
        <w:jc w:val="center"/>
        <w:rPr>
          <w:rFonts w:cstheme="minorHAnsi"/>
          <w:b/>
          <w:bCs/>
          <w:sz w:val="20"/>
        </w:rPr>
      </w:pPr>
      <w:r w:rsidRPr="00655FC7">
        <w:rPr>
          <w:rFonts w:cstheme="minorHAnsi"/>
          <w:b/>
          <w:bCs/>
          <w:noProof/>
          <w:sz w:val="20"/>
        </w:rPr>
        <w:lastRenderedPageBreak/>
        <w:drawing>
          <wp:inline distT="0" distB="0" distL="0" distR="0" wp14:anchorId="0631A6D6" wp14:editId="39DA10AC">
            <wp:extent cx="8064000" cy="5120491"/>
            <wp:effectExtent l="0" t="0" r="0" b="4445"/>
            <wp:docPr id="1205692660" name="Obraz 1" descr="Obraz zawierający tekst, diagram, Wykres, li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692660" name="Obraz 1" descr="Obraz zawierający tekst, diagram, Wykres, linia&#10;&#10;Opis wygenerowany automatycznie"/>
                    <pic:cNvPicPr/>
                  </pic:nvPicPr>
                  <pic:blipFill>
                    <a:blip r:embed="rId112"/>
                    <a:stretch>
                      <a:fillRect/>
                    </a:stretch>
                  </pic:blipFill>
                  <pic:spPr>
                    <a:xfrm>
                      <a:off x="0" y="0"/>
                      <a:ext cx="8064000" cy="5120491"/>
                    </a:xfrm>
                    <a:prstGeom prst="rect">
                      <a:avLst/>
                    </a:prstGeom>
                  </pic:spPr>
                </pic:pic>
              </a:graphicData>
            </a:graphic>
          </wp:inline>
        </w:drawing>
      </w:r>
    </w:p>
    <w:p w14:paraId="4CBD0BB1" w14:textId="30DBBE71" w:rsidR="00D155AA" w:rsidRPr="00655FC7" w:rsidRDefault="00D155AA" w:rsidP="00D155AA">
      <w:pPr>
        <w:pStyle w:val="Stylrysunek"/>
      </w:pPr>
      <w:bookmarkStart w:id="220" w:name="_Toc178846391"/>
      <w:r w:rsidRPr="00655FC7">
        <w:t xml:space="preserve">Rysunek </w:t>
      </w:r>
      <w:r w:rsidR="00EA4C85">
        <w:fldChar w:fldCharType="begin"/>
      </w:r>
      <w:r w:rsidR="00EA4C85">
        <w:instrText xml:space="preserve"> SEQ Rysunek \* ARABIC </w:instrText>
      </w:r>
      <w:r w:rsidR="00EA4C85">
        <w:fldChar w:fldCharType="separate"/>
      </w:r>
      <w:r w:rsidR="00A654D8">
        <w:rPr>
          <w:noProof/>
        </w:rPr>
        <w:t>49</w:t>
      </w:r>
      <w:r w:rsidR="00EA4C85">
        <w:rPr>
          <w:noProof/>
        </w:rPr>
        <w:fldChar w:fldCharType="end"/>
      </w:r>
      <w:r w:rsidRPr="00655FC7">
        <w:t>. Średnia krocząca sumy opadu- rok - pow. biłgorajski.</w:t>
      </w:r>
      <w:bookmarkEnd w:id="220"/>
    </w:p>
    <w:p w14:paraId="0B7661D7" w14:textId="77777777" w:rsidR="00D155AA" w:rsidRPr="00655FC7" w:rsidRDefault="00D155AA" w:rsidP="00D155AA">
      <w:pPr>
        <w:pStyle w:val="Cytat"/>
      </w:pPr>
      <w:r w:rsidRPr="00655FC7">
        <w:t>Źródło: https://klimada2.ios.gov.pl/</w:t>
      </w:r>
    </w:p>
    <w:p w14:paraId="57943518" w14:textId="77777777" w:rsidR="00D155AA" w:rsidRPr="00655FC7" w:rsidRDefault="00D155AA" w:rsidP="00D155AA">
      <w:pPr>
        <w:rPr>
          <w:rFonts w:cstheme="minorHAnsi"/>
        </w:rPr>
        <w:sectPr w:rsidR="00D155AA" w:rsidRPr="00655FC7" w:rsidSect="006A4AE9">
          <w:headerReference w:type="default" r:id="rId113"/>
          <w:footerReference w:type="default" r:id="rId114"/>
          <w:headerReference w:type="first" r:id="rId115"/>
          <w:footerReference w:type="first" r:id="rId116"/>
          <w:pgSz w:w="16838" w:h="11906" w:orient="landscape"/>
          <w:pgMar w:top="1418" w:right="1418" w:bottom="1418" w:left="1418" w:header="709" w:footer="709" w:gutter="0"/>
          <w:cols w:space="708"/>
          <w:titlePg/>
          <w:docGrid w:linePitch="360"/>
        </w:sectPr>
      </w:pPr>
    </w:p>
    <w:p w14:paraId="6BC5B833" w14:textId="77777777" w:rsidR="00D155AA" w:rsidRPr="00655FC7" w:rsidRDefault="00D155AA" w:rsidP="00B62479">
      <w:pPr>
        <w:pStyle w:val="Nagwek2"/>
      </w:pPr>
      <w:bookmarkStart w:id="221" w:name="_Toc177732074"/>
      <w:r w:rsidRPr="00655FC7">
        <w:lastRenderedPageBreak/>
        <w:t>Określenie stopnia ekspozycji oraz trendów zmian</w:t>
      </w:r>
      <w:bookmarkEnd w:id="217"/>
      <w:bookmarkEnd w:id="221"/>
    </w:p>
    <w:p w14:paraId="1B387E9B" w14:textId="77777777" w:rsidR="00D155AA" w:rsidRPr="00655FC7" w:rsidRDefault="00D155AA" w:rsidP="00D155AA">
      <w:pPr>
        <w:tabs>
          <w:tab w:val="left" w:pos="3119"/>
        </w:tabs>
        <w:rPr>
          <w:rFonts w:cstheme="minorHAnsi"/>
          <w:color w:val="auto"/>
        </w:rPr>
      </w:pPr>
      <w:r w:rsidRPr="00655FC7">
        <w:rPr>
          <w:rFonts w:cstheme="minorHAnsi"/>
          <w:color w:val="auto"/>
        </w:rPr>
        <w:t>Określenie stopnia ekspozycji polega na określeniu narażenia obszaru na dany czynnik klimatyczny. Ponadto należy wyznaczyć trend zmian każdego z czynników, czyli określić kierunek zmian, które są przewidywane przez regionalne modele klimatyczne dla wskazanego okresu. Trendy zmian oraz ocenę istotności zmian dokonano na podstawie zaprezentowanej powyżej diagnozy (rozdział 4. Diagnoza). W poniższej tabeli zaprezentowano analizę parametrów klimatycznych i trendów zmian:</w:t>
      </w:r>
    </w:p>
    <w:p w14:paraId="615DC05F" w14:textId="77777777" w:rsidR="00D155AA" w:rsidRPr="00655FC7" w:rsidRDefault="00D155AA" w:rsidP="00AA1001">
      <w:pPr>
        <w:pStyle w:val="Legenda"/>
      </w:pPr>
      <w:bookmarkStart w:id="222" w:name="_Ref43384850"/>
      <w:bookmarkStart w:id="223" w:name="_Toc44597945"/>
    </w:p>
    <w:p w14:paraId="64A9E1F6" w14:textId="3713F9DD" w:rsidR="00D155AA" w:rsidRPr="00655FC7" w:rsidRDefault="00D155AA" w:rsidP="00D155AA">
      <w:pPr>
        <w:pStyle w:val="Styltabela"/>
      </w:pPr>
      <w:bookmarkStart w:id="224" w:name="_Toc178846331"/>
      <w:r w:rsidRPr="00655FC7">
        <w:t xml:space="preserve">Tabela </w:t>
      </w:r>
      <w:r w:rsidR="00E833A9">
        <w:fldChar w:fldCharType="begin"/>
      </w:r>
      <w:r w:rsidR="00E833A9">
        <w:instrText xml:space="preserve"> SEQ Tabela \* ARABIC </w:instrText>
      </w:r>
      <w:r w:rsidR="00E833A9">
        <w:fldChar w:fldCharType="separate"/>
      </w:r>
      <w:r w:rsidR="00A654D8">
        <w:rPr>
          <w:noProof/>
        </w:rPr>
        <w:t>25</w:t>
      </w:r>
      <w:r w:rsidR="00E833A9">
        <w:rPr>
          <w:noProof/>
        </w:rPr>
        <w:fldChar w:fldCharType="end"/>
      </w:r>
      <w:bookmarkEnd w:id="222"/>
      <w:r w:rsidRPr="00655FC7">
        <w:t>. Analiza parametrów klimatycznych i trendów zmian</w:t>
      </w:r>
      <w:bookmarkEnd w:id="223"/>
      <w:r w:rsidRPr="00655FC7">
        <w:t>.</w:t>
      </w:r>
      <w:bookmarkEnd w:id="224"/>
    </w:p>
    <w:tbl>
      <w:tblPr>
        <w:tblStyle w:val="Tabela-MPAaga1"/>
        <w:tblW w:w="908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2"/>
        <w:gridCol w:w="2817"/>
        <w:gridCol w:w="1871"/>
        <w:gridCol w:w="13"/>
        <w:gridCol w:w="1858"/>
        <w:gridCol w:w="13"/>
        <w:gridCol w:w="1907"/>
      </w:tblGrid>
      <w:tr w:rsidR="00D155AA" w:rsidRPr="00655FC7" w14:paraId="291800D3" w14:textId="77777777" w:rsidTr="00827748">
        <w:trPr>
          <w:cnfStyle w:val="100000000000" w:firstRow="1" w:lastRow="0" w:firstColumn="0" w:lastColumn="0" w:oddVBand="0" w:evenVBand="0" w:oddHBand="0" w:evenHBand="0" w:firstRowFirstColumn="0" w:firstRowLastColumn="0" w:lastRowFirstColumn="0" w:lastRowLastColumn="0"/>
          <w:cantSplit/>
          <w:trHeight w:val="517"/>
          <w:tblHeader/>
          <w:jc w:val="center"/>
        </w:trPr>
        <w:tc>
          <w:tcPr>
            <w:cnfStyle w:val="001000000000" w:firstRow="0" w:lastRow="0" w:firstColumn="1" w:lastColumn="0" w:oddVBand="0" w:evenVBand="0" w:oddHBand="0" w:evenHBand="0" w:firstRowFirstColumn="0" w:firstRowLastColumn="0" w:lastRowFirstColumn="0" w:lastRowLastColumn="0"/>
            <w:tcW w:w="3419" w:type="dxa"/>
            <w:gridSpan w:val="2"/>
            <w:tcBorders>
              <w:top w:val="single" w:sz="4" w:space="0" w:color="auto"/>
              <w:left w:val="single" w:sz="4" w:space="0" w:color="auto"/>
              <w:bottom w:val="single" w:sz="4" w:space="0" w:color="auto"/>
            </w:tcBorders>
            <w:shd w:val="clear" w:color="auto" w:fill="9BBB59" w:themeFill="accent6" w:themeFillShade="BF"/>
            <w:vAlign w:val="center"/>
          </w:tcPr>
          <w:p w14:paraId="644E9852" w14:textId="77777777" w:rsidR="00D155AA" w:rsidRPr="00655FC7" w:rsidRDefault="00D155AA" w:rsidP="00827748">
            <w:pPr>
              <w:tabs>
                <w:tab w:val="left" w:pos="3119"/>
              </w:tabs>
              <w:spacing w:before="40" w:after="40"/>
              <w:ind w:firstLine="0"/>
              <w:jc w:val="center"/>
              <w:rPr>
                <w:rFonts w:asciiTheme="minorHAnsi" w:hAnsiTheme="minorHAnsi" w:cstheme="minorHAnsi"/>
                <w:color w:val="auto"/>
                <w:szCs w:val="20"/>
              </w:rPr>
            </w:pPr>
            <w:r w:rsidRPr="00655FC7">
              <w:rPr>
                <w:rFonts w:asciiTheme="minorHAnsi" w:hAnsiTheme="minorHAnsi" w:cstheme="minorHAnsi"/>
                <w:color w:val="auto"/>
                <w:szCs w:val="20"/>
              </w:rPr>
              <w:t>Wskaźnik klimatyczny</w:t>
            </w:r>
          </w:p>
        </w:tc>
        <w:tc>
          <w:tcPr>
            <w:tcW w:w="1884" w:type="dxa"/>
            <w:gridSpan w:val="2"/>
            <w:tcBorders>
              <w:top w:val="single" w:sz="4" w:space="0" w:color="auto"/>
              <w:bottom w:val="single" w:sz="4" w:space="0" w:color="auto"/>
            </w:tcBorders>
            <w:shd w:val="clear" w:color="auto" w:fill="9BBB59" w:themeFill="accent6" w:themeFillShade="BF"/>
            <w:vAlign w:val="center"/>
          </w:tcPr>
          <w:p w14:paraId="36366897" w14:textId="77777777" w:rsidR="00D155AA" w:rsidRPr="00655FC7" w:rsidRDefault="00D155AA" w:rsidP="00827748">
            <w:pPr>
              <w:tabs>
                <w:tab w:val="left" w:pos="3119"/>
              </w:tabs>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Cs w:val="20"/>
              </w:rPr>
            </w:pPr>
            <w:r w:rsidRPr="00655FC7">
              <w:rPr>
                <w:rFonts w:asciiTheme="minorHAnsi" w:hAnsiTheme="minorHAnsi" w:cstheme="minorHAnsi"/>
                <w:color w:val="auto"/>
                <w:szCs w:val="20"/>
              </w:rPr>
              <w:t>Trend zmian</w:t>
            </w:r>
          </w:p>
        </w:tc>
        <w:tc>
          <w:tcPr>
            <w:tcW w:w="1871" w:type="dxa"/>
            <w:gridSpan w:val="2"/>
            <w:tcBorders>
              <w:top w:val="single" w:sz="4" w:space="0" w:color="auto"/>
              <w:bottom w:val="single" w:sz="4" w:space="0" w:color="auto"/>
            </w:tcBorders>
            <w:shd w:val="clear" w:color="auto" w:fill="9BBB59" w:themeFill="accent6" w:themeFillShade="BF"/>
            <w:vAlign w:val="center"/>
          </w:tcPr>
          <w:p w14:paraId="60574AC9" w14:textId="77777777" w:rsidR="00D155AA" w:rsidRPr="00655FC7" w:rsidRDefault="00D155AA" w:rsidP="00827748">
            <w:pPr>
              <w:tabs>
                <w:tab w:val="left" w:pos="3119"/>
              </w:tabs>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Cs w:val="20"/>
              </w:rPr>
            </w:pPr>
            <w:r w:rsidRPr="00655FC7">
              <w:rPr>
                <w:rFonts w:asciiTheme="minorHAnsi" w:hAnsiTheme="minorHAnsi" w:cstheme="minorHAnsi"/>
                <w:color w:val="auto"/>
                <w:szCs w:val="20"/>
              </w:rPr>
              <w:t>Prognoza zmian</w:t>
            </w:r>
          </w:p>
        </w:tc>
        <w:tc>
          <w:tcPr>
            <w:tcW w:w="1907" w:type="dxa"/>
            <w:tcBorders>
              <w:top w:val="single" w:sz="4" w:space="0" w:color="auto"/>
              <w:bottom w:val="single" w:sz="4" w:space="0" w:color="auto"/>
              <w:right w:val="single" w:sz="4" w:space="0" w:color="auto"/>
            </w:tcBorders>
            <w:shd w:val="clear" w:color="auto" w:fill="9BBB59" w:themeFill="accent6" w:themeFillShade="BF"/>
            <w:vAlign w:val="center"/>
          </w:tcPr>
          <w:p w14:paraId="0FDCEA5F" w14:textId="77777777" w:rsidR="00D155AA" w:rsidRPr="00655FC7" w:rsidRDefault="00D155AA" w:rsidP="00827748">
            <w:pPr>
              <w:tabs>
                <w:tab w:val="left" w:pos="3119"/>
              </w:tabs>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Cs w:val="20"/>
              </w:rPr>
            </w:pPr>
            <w:r w:rsidRPr="00655FC7">
              <w:rPr>
                <w:rFonts w:asciiTheme="minorHAnsi" w:hAnsiTheme="minorHAnsi" w:cstheme="minorHAnsi"/>
                <w:color w:val="auto"/>
                <w:szCs w:val="20"/>
              </w:rPr>
              <w:t>Istotność zagrożenia</w:t>
            </w:r>
          </w:p>
        </w:tc>
      </w:tr>
      <w:tr w:rsidR="00D155AA" w:rsidRPr="00655FC7" w14:paraId="2A44D889" w14:textId="77777777" w:rsidTr="00F273A4">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602" w:type="dxa"/>
            <w:vMerge w:val="restart"/>
            <w:tcBorders>
              <w:top w:val="single" w:sz="4" w:space="0" w:color="auto"/>
              <w:left w:val="single" w:sz="4" w:space="0" w:color="auto"/>
              <w:bottom w:val="single" w:sz="4" w:space="0" w:color="auto"/>
            </w:tcBorders>
            <w:shd w:val="clear" w:color="auto" w:fill="9BBB59" w:themeFill="accent6" w:themeFillShade="BF"/>
            <w:textDirection w:val="btLr"/>
            <w:vAlign w:val="center"/>
          </w:tcPr>
          <w:p w14:paraId="18E46EFA" w14:textId="77777777" w:rsidR="00D155AA" w:rsidRPr="00655FC7" w:rsidRDefault="00D155AA" w:rsidP="00827748">
            <w:pPr>
              <w:tabs>
                <w:tab w:val="left" w:pos="3119"/>
              </w:tabs>
              <w:ind w:firstLine="0"/>
              <w:jc w:val="center"/>
              <w:rPr>
                <w:rFonts w:asciiTheme="minorHAnsi" w:hAnsiTheme="minorHAnsi" w:cstheme="minorHAnsi"/>
                <w:color w:val="auto"/>
                <w:szCs w:val="20"/>
              </w:rPr>
            </w:pPr>
            <w:r w:rsidRPr="00655FC7">
              <w:rPr>
                <w:rFonts w:asciiTheme="minorHAnsi" w:hAnsiTheme="minorHAnsi" w:cstheme="minorHAnsi"/>
                <w:color w:val="auto"/>
                <w:szCs w:val="20"/>
              </w:rPr>
              <w:t>Temperatury</w:t>
            </w:r>
          </w:p>
        </w:tc>
        <w:tc>
          <w:tcPr>
            <w:tcW w:w="2817" w:type="dxa"/>
            <w:tcBorders>
              <w:top w:val="single" w:sz="4" w:space="0" w:color="auto"/>
            </w:tcBorders>
            <w:shd w:val="clear" w:color="auto" w:fill="E6EED6" w:themeFill="accent6" w:themeFillTint="66"/>
            <w:vAlign w:val="center"/>
          </w:tcPr>
          <w:p w14:paraId="0E823BDF"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Średnia roczna temperatura powietrza</w:t>
            </w:r>
          </w:p>
        </w:tc>
        <w:tc>
          <w:tcPr>
            <w:tcW w:w="1871" w:type="dxa"/>
            <w:tcBorders>
              <w:top w:val="single" w:sz="4" w:space="0" w:color="auto"/>
            </w:tcBorders>
            <w:shd w:val="clear" w:color="auto" w:fill="E6EED6" w:themeFill="accent6" w:themeFillTint="66"/>
            <w:vAlign w:val="center"/>
          </w:tcPr>
          <w:p w14:paraId="353FA5B1"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Wzrost</w:t>
            </w:r>
          </w:p>
        </w:tc>
        <w:tc>
          <w:tcPr>
            <w:tcW w:w="1871" w:type="dxa"/>
            <w:gridSpan w:val="2"/>
            <w:tcBorders>
              <w:top w:val="single" w:sz="4" w:space="0" w:color="auto"/>
            </w:tcBorders>
            <w:shd w:val="clear" w:color="auto" w:fill="E6EED6" w:themeFill="accent6" w:themeFillTint="66"/>
            <w:vAlign w:val="center"/>
          </w:tcPr>
          <w:p w14:paraId="65C43C4F"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Wzrost</w:t>
            </w:r>
          </w:p>
        </w:tc>
        <w:tc>
          <w:tcPr>
            <w:tcW w:w="1920" w:type="dxa"/>
            <w:gridSpan w:val="2"/>
            <w:tcBorders>
              <w:top w:val="single" w:sz="4" w:space="0" w:color="auto"/>
              <w:bottom w:val="single" w:sz="4" w:space="0" w:color="FFFFFF" w:themeColor="background1"/>
              <w:right w:val="single" w:sz="4" w:space="0" w:color="auto"/>
            </w:tcBorders>
            <w:shd w:val="clear" w:color="auto" w:fill="FFC000"/>
            <w:vAlign w:val="center"/>
          </w:tcPr>
          <w:p w14:paraId="344A87B4"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Silne</w:t>
            </w:r>
          </w:p>
        </w:tc>
      </w:tr>
      <w:tr w:rsidR="00D155AA" w:rsidRPr="00655FC7" w14:paraId="2F9D8024" w14:textId="77777777" w:rsidTr="00F273A4">
        <w:trPr>
          <w:cantSplit/>
          <w:trHeight w:val="510"/>
          <w:jc w:val="center"/>
        </w:trPr>
        <w:tc>
          <w:tcPr>
            <w:cnfStyle w:val="001000000000" w:firstRow="0" w:lastRow="0" w:firstColumn="1" w:lastColumn="0" w:oddVBand="0" w:evenVBand="0" w:oddHBand="0" w:evenHBand="0" w:firstRowFirstColumn="0" w:firstRowLastColumn="0" w:lastRowFirstColumn="0" w:lastRowLastColumn="0"/>
            <w:tcW w:w="602" w:type="dxa"/>
            <w:vMerge/>
            <w:tcBorders>
              <w:top w:val="single" w:sz="4" w:space="0" w:color="FFFFFF" w:themeColor="background1"/>
              <w:left w:val="single" w:sz="4" w:space="0" w:color="auto"/>
              <w:bottom w:val="single" w:sz="4" w:space="0" w:color="auto"/>
            </w:tcBorders>
            <w:shd w:val="clear" w:color="auto" w:fill="9BBB59" w:themeFill="accent6" w:themeFillShade="BF"/>
            <w:textDirection w:val="btLr"/>
            <w:vAlign w:val="center"/>
          </w:tcPr>
          <w:p w14:paraId="2E33D8F0" w14:textId="77777777" w:rsidR="00D155AA" w:rsidRPr="00655FC7" w:rsidRDefault="00D155AA" w:rsidP="00827748">
            <w:pPr>
              <w:tabs>
                <w:tab w:val="left" w:pos="3119"/>
              </w:tabs>
              <w:ind w:firstLine="0"/>
              <w:jc w:val="center"/>
              <w:rPr>
                <w:rFonts w:asciiTheme="minorHAnsi" w:hAnsiTheme="minorHAnsi" w:cstheme="minorHAnsi"/>
                <w:color w:val="auto"/>
                <w:szCs w:val="20"/>
              </w:rPr>
            </w:pPr>
          </w:p>
        </w:tc>
        <w:tc>
          <w:tcPr>
            <w:tcW w:w="2817" w:type="dxa"/>
            <w:tcBorders>
              <w:top w:val="single" w:sz="4" w:space="0" w:color="FFFFFF" w:themeColor="background1"/>
            </w:tcBorders>
            <w:vAlign w:val="center"/>
          </w:tcPr>
          <w:p w14:paraId="16162883"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Średnia roczna temperatura maksymalna powietrze</w:t>
            </w:r>
          </w:p>
        </w:tc>
        <w:tc>
          <w:tcPr>
            <w:tcW w:w="1871" w:type="dxa"/>
            <w:tcBorders>
              <w:top w:val="single" w:sz="4" w:space="0" w:color="FFFFFF" w:themeColor="background1"/>
            </w:tcBorders>
            <w:vAlign w:val="center"/>
          </w:tcPr>
          <w:p w14:paraId="6B1CDB57"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Wzrost</w:t>
            </w:r>
          </w:p>
        </w:tc>
        <w:tc>
          <w:tcPr>
            <w:tcW w:w="1871" w:type="dxa"/>
            <w:gridSpan w:val="2"/>
            <w:tcBorders>
              <w:top w:val="single" w:sz="4" w:space="0" w:color="FFFFFF" w:themeColor="background1"/>
            </w:tcBorders>
            <w:vAlign w:val="center"/>
          </w:tcPr>
          <w:p w14:paraId="4D1789D2"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Wzrost</w:t>
            </w:r>
          </w:p>
        </w:tc>
        <w:tc>
          <w:tcPr>
            <w:tcW w:w="1920" w:type="dxa"/>
            <w:gridSpan w:val="2"/>
            <w:tcBorders>
              <w:top w:val="single" w:sz="4" w:space="0" w:color="FFFFFF" w:themeColor="background1"/>
              <w:bottom w:val="single" w:sz="4" w:space="0" w:color="FFFFFF" w:themeColor="background1"/>
              <w:right w:val="single" w:sz="4" w:space="0" w:color="auto"/>
            </w:tcBorders>
            <w:shd w:val="clear" w:color="auto" w:fill="FF5050"/>
            <w:vAlign w:val="center"/>
          </w:tcPr>
          <w:p w14:paraId="1B0F28D0"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Ekstremalne</w:t>
            </w:r>
          </w:p>
        </w:tc>
      </w:tr>
      <w:tr w:rsidR="00D155AA" w:rsidRPr="00655FC7" w14:paraId="46496BB5" w14:textId="77777777" w:rsidTr="00F273A4">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602" w:type="dxa"/>
            <w:vMerge/>
            <w:tcBorders>
              <w:top w:val="single" w:sz="4" w:space="0" w:color="FFFFFF" w:themeColor="background1"/>
              <w:left w:val="single" w:sz="4" w:space="0" w:color="auto"/>
              <w:bottom w:val="single" w:sz="4" w:space="0" w:color="auto"/>
            </w:tcBorders>
            <w:shd w:val="clear" w:color="auto" w:fill="9BBB59" w:themeFill="accent6" w:themeFillShade="BF"/>
            <w:textDirection w:val="btLr"/>
            <w:vAlign w:val="center"/>
          </w:tcPr>
          <w:p w14:paraId="4849B0FB" w14:textId="77777777" w:rsidR="00D155AA" w:rsidRPr="00655FC7" w:rsidRDefault="00D155AA" w:rsidP="00827748">
            <w:pPr>
              <w:tabs>
                <w:tab w:val="left" w:pos="3119"/>
              </w:tabs>
              <w:ind w:firstLine="0"/>
              <w:jc w:val="center"/>
              <w:rPr>
                <w:rFonts w:asciiTheme="minorHAnsi" w:hAnsiTheme="minorHAnsi" w:cstheme="minorHAnsi"/>
                <w:color w:val="auto"/>
                <w:szCs w:val="20"/>
              </w:rPr>
            </w:pPr>
          </w:p>
        </w:tc>
        <w:tc>
          <w:tcPr>
            <w:tcW w:w="2817" w:type="dxa"/>
            <w:shd w:val="clear" w:color="auto" w:fill="E6EED6" w:themeFill="accent6" w:themeFillTint="66"/>
            <w:vAlign w:val="center"/>
          </w:tcPr>
          <w:p w14:paraId="4E176719"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Średnia roczna temperatura minimalna powietrze</w:t>
            </w:r>
          </w:p>
        </w:tc>
        <w:tc>
          <w:tcPr>
            <w:tcW w:w="1871" w:type="dxa"/>
            <w:shd w:val="clear" w:color="auto" w:fill="E6EED6" w:themeFill="accent6" w:themeFillTint="66"/>
            <w:vAlign w:val="center"/>
          </w:tcPr>
          <w:p w14:paraId="72DB02B8"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Spadek</w:t>
            </w:r>
          </w:p>
        </w:tc>
        <w:tc>
          <w:tcPr>
            <w:tcW w:w="1871" w:type="dxa"/>
            <w:gridSpan w:val="2"/>
            <w:shd w:val="clear" w:color="auto" w:fill="E6EED6" w:themeFill="accent6" w:themeFillTint="66"/>
            <w:vAlign w:val="center"/>
          </w:tcPr>
          <w:p w14:paraId="57044879"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Spadek</w:t>
            </w:r>
          </w:p>
        </w:tc>
        <w:tc>
          <w:tcPr>
            <w:tcW w:w="1920" w:type="dxa"/>
            <w:gridSpan w:val="2"/>
            <w:tcBorders>
              <w:top w:val="single" w:sz="4" w:space="0" w:color="FFFFFF" w:themeColor="background1"/>
              <w:bottom w:val="single" w:sz="4" w:space="0" w:color="FFFFFF" w:themeColor="background1"/>
              <w:right w:val="single" w:sz="4" w:space="0" w:color="auto"/>
            </w:tcBorders>
            <w:shd w:val="clear" w:color="auto" w:fill="A3D33A" w:themeFill="text2" w:themeFillTint="99"/>
            <w:vAlign w:val="center"/>
          </w:tcPr>
          <w:p w14:paraId="5A5D3F12"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Niskie</w:t>
            </w:r>
          </w:p>
        </w:tc>
      </w:tr>
      <w:tr w:rsidR="00D155AA" w:rsidRPr="00655FC7" w14:paraId="4DE9F139" w14:textId="77777777" w:rsidTr="00F273A4">
        <w:trPr>
          <w:cantSplit/>
          <w:trHeight w:val="510"/>
          <w:jc w:val="center"/>
        </w:trPr>
        <w:tc>
          <w:tcPr>
            <w:cnfStyle w:val="001000000000" w:firstRow="0" w:lastRow="0" w:firstColumn="1" w:lastColumn="0" w:oddVBand="0" w:evenVBand="0" w:oddHBand="0" w:evenHBand="0" w:firstRowFirstColumn="0" w:firstRowLastColumn="0" w:lastRowFirstColumn="0" w:lastRowLastColumn="0"/>
            <w:tcW w:w="602" w:type="dxa"/>
            <w:vMerge/>
            <w:tcBorders>
              <w:top w:val="single" w:sz="4" w:space="0" w:color="FFFFFF" w:themeColor="background1"/>
              <w:left w:val="single" w:sz="4" w:space="0" w:color="auto"/>
              <w:bottom w:val="single" w:sz="4" w:space="0" w:color="auto"/>
            </w:tcBorders>
            <w:shd w:val="clear" w:color="auto" w:fill="9BBB59" w:themeFill="accent6" w:themeFillShade="BF"/>
            <w:textDirection w:val="btLr"/>
            <w:vAlign w:val="center"/>
          </w:tcPr>
          <w:p w14:paraId="09B5D440" w14:textId="77777777" w:rsidR="00D155AA" w:rsidRPr="00655FC7" w:rsidRDefault="00D155AA" w:rsidP="00827748">
            <w:pPr>
              <w:tabs>
                <w:tab w:val="left" w:pos="3119"/>
              </w:tabs>
              <w:ind w:firstLine="0"/>
              <w:jc w:val="center"/>
              <w:rPr>
                <w:rFonts w:asciiTheme="minorHAnsi" w:hAnsiTheme="minorHAnsi" w:cstheme="minorHAnsi"/>
                <w:color w:val="auto"/>
                <w:szCs w:val="20"/>
              </w:rPr>
            </w:pPr>
          </w:p>
        </w:tc>
        <w:tc>
          <w:tcPr>
            <w:tcW w:w="2817" w:type="dxa"/>
            <w:vAlign w:val="center"/>
          </w:tcPr>
          <w:p w14:paraId="1F9C5865"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Liczba dni mroźnych</w:t>
            </w:r>
          </w:p>
        </w:tc>
        <w:tc>
          <w:tcPr>
            <w:tcW w:w="1871" w:type="dxa"/>
            <w:vAlign w:val="center"/>
          </w:tcPr>
          <w:p w14:paraId="4BF7D68F"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Spadek</w:t>
            </w:r>
          </w:p>
        </w:tc>
        <w:tc>
          <w:tcPr>
            <w:tcW w:w="1871" w:type="dxa"/>
            <w:gridSpan w:val="2"/>
            <w:vAlign w:val="center"/>
          </w:tcPr>
          <w:p w14:paraId="7DEF0ACE"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Spadek</w:t>
            </w:r>
          </w:p>
        </w:tc>
        <w:tc>
          <w:tcPr>
            <w:tcW w:w="1920" w:type="dxa"/>
            <w:gridSpan w:val="2"/>
            <w:tcBorders>
              <w:top w:val="single" w:sz="4" w:space="0" w:color="FFFFFF" w:themeColor="background1"/>
              <w:bottom w:val="single" w:sz="4" w:space="0" w:color="FFFFFF" w:themeColor="background1"/>
              <w:right w:val="single" w:sz="4" w:space="0" w:color="auto"/>
            </w:tcBorders>
            <w:shd w:val="clear" w:color="auto" w:fill="92D050"/>
            <w:vAlign w:val="center"/>
          </w:tcPr>
          <w:p w14:paraId="567E7F64"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Niskie</w:t>
            </w:r>
          </w:p>
        </w:tc>
      </w:tr>
      <w:tr w:rsidR="00D155AA" w:rsidRPr="00655FC7" w14:paraId="22DEBD13" w14:textId="77777777" w:rsidTr="00F273A4">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602" w:type="dxa"/>
            <w:vMerge/>
            <w:tcBorders>
              <w:top w:val="single" w:sz="4" w:space="0" w:color="FFFFFF" w:themeColor="background1"/>
              <w:left w:val="single" w:sz="4" w:space="0" w:color="auto"/>
              <w:bottom w:val="single" w:sz="4" w:space="0" w:color="auto"/>
            </w:tcBorders>
            <w:shd w:val="clear" w:color="auto" w:fill="9BBB59" w:themeFill="accent6" w:themeFillShade="BF"/>
            <w:textDirection w:val="btLr"/>
            <w:vAlign w:val="center"/>
          </w:tcPr>
          <w:p w14:paraId="22D80601" w14:textId="77777777" w:rsidR="00D155AA" w:rsidRPr="00655FC7" w:rsidRDefault="00D155AA" w:rsidP="00827748">
            <w:pPr>
              <w:tabs>
                <w:tab w:val="left" w:pos="3119"/>
              </w:tabs>
              <w:ind w:firstLine="0"/>
              <w:jc w:val="center"/>
              <w:rPr>
                <w:rFonts w:asciiTheme="minorHAnsi" w:hAnsiTheme="minorHAnsi" w:cstheme="minorHAnsi"/>
                <w:color w:val="auto"/>
                <w:szCs w:val="20"/>
              </w:rPr>
            </w:pPr>
          </w:p>
        </w:tc>
        <w:tc>
          <w:tcPr>
            <w:tcW w:w="2817" w:type="dxa"/>
            <w:tcBorders>
              <w:bottom w:val="single" w:sz="4" w:space="0" w:color="auto"/>
            </w:tcBorders>
            <w:shd w:val="clear" w:color="auto" w:fill="E6EED6" w:themeFill="accent6" w:themeFillTint="66"/>
            <w:vAlign w:val="center"/>
          </w:tcPr>
          <w:p w14:paraId="546B1639"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Liczba dni gorących i upalnych</w:t>
            </w:r>
          </w:p>
        </w:tc>
        <w:tc>
          <w:tcPr>
            <w:tcW w:w="1871" w:type="dxa"/>
            <w:tcBorders>
              <w:bottom w:val="single" w:sz="4" w:space="0" w:color="auto"/>
            </w:tcBorders>
            <w:shd w:val="clear" w:color="auto" w:fill="E6EED6" w:themeFill="accent6" w:themeFillTint="66"/>
            <w:vAlign w:val="center"/>
          </w:tcPr>
          <w:p w14:paraId="2B407BF3"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Wzrost</w:t>
            </w:r>
          </w:p>
        </w:tc>
        <w:tc>
          <w:tcPr>
            <w:tcW w:w="1871" w:type="dxa"/>
            <w:gridSpan w:val="2"/>
            <w:tcBorders>
              <w:bottom w:val="single" w:sz="4" w:space="0" w:color="auto"/>
            </w:tcBorders>
            <w:shd w:val="clear" w:color="auto" w:fill="E6EED6" w:themeFill="accent6" w:themeFillTint="66"/>
            <w:vAlign w:val="center"/>
          </w:tcPr>
          <w:p w14:paraId="63DFDAB0"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Wzrost</w:t>
            </w:r>
          </w:p>
        </w:tc>
        <w:tc>
          <w:tcPr>
            <w:tcW w:w="1920" w:type="dxa"/>
            <w:gridSpan w:val="2"/>
            <w:tcBorders>
              <w:top w:val="single" w:sz="4" w:space="0" w:color="FFFFFF" w:themeColor="background1"/>
              <w:bottom w:val="single" w:sz="4" w:space="0" w:color="auto"/>
              <w:right w:val="single" w:sz="4" w:space="0" w:color="auto"/>
            </w:tcBorders>
            <w:shd w:val="clear" w:color="auto" w:fill="FF5050"/>
            <w:vAlign w:val="center"/>
          </w:tcPr>
          <w:p w14:paraId="1DD581BC"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Ekstremalne</w:t>
            </w:r>
          </w:p>
        </w:tc>
      </w:tr>
      <w:tr w:rsidR="00D155AA" w:rsidRPr="00655FC7" w14:paraId="54283812" w14:textId="77777777" w:rsidTr="00F273A4">
        <w:trPr>
          <w:cantSplit/>
          <w:trHeight w:val="510"/>
          <w:jc w:val="center"/>
        </w:trPr>
        <w:tc>
          <w:tcPr>
            <w:cnfStyle w:val="001000000000" w:firstRow="0" w:lastRow="0" w:firstColumn="1" w:lastColumn="0" w:oddVBand="0" w:evenVBand="0" w:oddHBand="0" w:evenHBand="0" w:firstRowFirstColumn="0" w:firstRowLastColumn="0" w:lastRowFirstColumn="0" w:lastRowLastColumn="0"/>
            <w:tcW w:w="602" w:type="dxa"/>
            <w:vMerge w:val="restart"/>
            <w:tcBorders>
              <w:top w:val="single" w:sz="4" w:space="0" w:color="auto"/>
              <w:left w:val="single" w:sz="4" w:space="0" w:color="auto"/>
            </w:tcBorders>
            <w:shd w:val="clear" w:color="auto" w:fill="9BBB59" w:themeFill="accent6" w:themeFillShade="BF"/>
            <w:textDirection w:val="btLr"/>
            <w:vAlign w:val="center"/>
          </w:tcPr>
          <w:p w14:paraId="56084915" w14:textId="77777777" w:rsidR="00D155AA" w:rsidRPr="00655FC7" w:rsidRDefault="00D155AA" w:rsidP="00827748">
            <w:pPr>
              <w:tabs>
                <w:tab w:val="left" w:pos="3119"/>
              </w:tabs>
              <w:ind w:firstLine="0"/>
              <w:jc w:val="center"/>
              <w:rPr>
                <w:rFonts w:asciiTheme="minorHAnsi" w:hAnsiTheme="minorHAnsi" w:cstheme="minorHAnsi"/>
                <w:color w:val="auto"/>
                <w:szCs w:val="20"/>
              </w:rPr>
            </w:pPr>
            <w:r w:rsidRPr="00655FC7">
              <w:rPr>
                <w:rFonts w:asciiTheme="minorHAnsi" w:hAnsiTheme="minorHAnsi" w:cstheme="minorHAnsi"/>
                <w:color w:val="auto"/>
                <w:szCs w:val="20"/>
              </w:rPr>
              <w:t>Opady atmosferyczne</w:t>
            </w:r>
          </w:p>
        </w:tc>
        <w:tc>
          <w:tcPr>
            <w:tcW w:w="2817" w:type="dxa"/>
            <w:tcBorders>
              <w:top w:val="single" w:sz="4" w:space="0" w:color="auto"/>
            </w:tcBorders>
            <w:vAlign w:val="center"/>
          </w:tcPr>
          <w:p w14:paraId="16E899E6"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Roczna suma opadów</w:t>
            </w:r>
          </w:p>
        </w:tc>
        <w:tc>
          <w:tcPr>
            <w:tcW w:w="1871" w:type="dxa"/>
            <w:tcBorders>
              <w:top w:val="single" w:sz="4" w:space="0" w:color="auto"/>
            </w:tcBorders>
            <w:vAlign w:val="center"/>
          </w:tcPr>
          <w:p w14:paraId="7464DC47"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Wzrost</w:t>
            </w:r>
          </w:p>
        </w:tc>
        <w:tc>
          <w:tcPr>
            <w:tcW w:w="1871" w:type="dxa"/>
            <w:gridSpan w:val="2"/>
            <w:tcBorders>
              <w:top w:val="single" w:sz="4" w:space="0" w:color="auto"/>
            </w:tcBorders>
            <w:vAlign w:val="center"/>
          </w:tcPr>
          <w:p w14:paraId="5C6373D2"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Wzrost</w:t>
            </w:r>
          </w:p>
        </w:tc>
        <w:tc>
          <w:tcPr>
            <w:tcW w:w="1920" w:type="dxa"/>
            <w:gridSpan w:val="2"/>
            <w:tcBorders>
              <w:top w:val="single" w:sz="4" w:space="0" w:color="auto"/>
              <w:bottom w:val="single" w:sz="4" w:space="0" w:color="FFFFFF" w:themeColor="background1"/>
              <w:right w:val="single" w:sz="4" w:space="0" w:color="auto"/>
            </w:tcBorders>
            <w:shd w:val="clear" w:color="auto" w:fill="FFCC99"/>
            <w:vAlign w:val="center"/>
          </w:tcPr>
          <w:p w14:paraId="6E5F2C02"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Umiarkowane</w:t>
            </w:r>
          </w:p>
        </w:tc>
      </w:tr>
      <w:tr w:rsidR="00D155AA" w:rsidRPr="00655FC7" w14:paraId="0E392A8D" w14:textId="77777777" w:rsidTr="00785073">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602" w:type="dxa"/>
            <w:vMerge/>
            <w:tcBorders>
              <w:left w:val="single" w:sz="4" w:space="0" w:color="auto"/>
            </w:tcBorders>
            <w:shd w:val="clear" w:color="auto" w:fill="9BBB59" w:themeFill="accent6" w:themeFillShade="BF"/>
            <w:textDirection w:val="btLr"/>
            <w:vAlign w:val="center"/>
          </w:tcPr>
          <w:p w14:paraId="25FBE162" w14:textId="77777777" w:rsidR="00D155AA" w:rsidRPr="00655FC7" w:rsidRDefault="00D155AA" w:rsidP="00827748">
            <w:pPr>
              <w:tabs>
                <w:tab w:val="left" w:pos="3119"/>
              </w:tabs>
              <w:ind w:firstLine="0"/>
              <w:jc w:val="center"/>
              <w:rPr>
                <w:rFonts w:asciiTheme="minorHAnsi" w:hAnsiTheme="minorHAnsi" w:cstheme="minorHAnsi"/>
                <w:color w:val="auto"/>
                <w:szCs w:val="20"/>
              </w:rPr>
            </w:pPr>
          </w:p>
        </w:tc>
        <w:tc>
          <w:tcPr>
            <w:tcW w:w="2817" w:type="dxa"/>
            <w:shd w:val="clear" w:color="auto" w:fill="E6EED6" w:themeFill="accent6" w:themeFillTint="66"/>
            <w:vAlign w:val="center"/>
          </w:tcPr>
          <w:p w14:paraId="4B023415"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Susze</w:t>
            </w:r>
          </w:p>
        </w:tc>
        <w:tc>
          <w:tcPr>
            <w:tcW w:w="1871" w:type="dxa"/>
            <w:shd w:val="clear" w:color="auto" w:fill="E6EED6" w:themeFill="accent6" w:themeFillTint="66"/>
            <w:vAlign w:val="center"/>
          </w:tcPr>
          <w:p w14:paraId="2E94EE69"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Wzrost</w:t>
            </w:r>
          </w:p>
        </w:tc>
        <w:tc>
          <w:tcPr>
            <w:tcW w:w="1871" w:type="dxa"/>
            <w:gridSpan w:val="2"/>
            <w:shd w:val="clear" w:color="auto" w:fill="E6EED6" w:themeFill="accent6" w:themeFillTint="66"/>
            <w:vAlign w:val="center"/>
          </w:tcPr>
          <w:p w14:paraId="228AF163"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Wzrost</w:t>
            </w:r>
          </w:p>
        </w:tc>
        <w:tc>
          <w:tcPr>
            <w:tcW w:w="1920" w:type="dxa"/>
            <w:gridSpan w:val="2"/>
            <w:tcBorders>
              <w:top w:val="single" w:sz="4" w:space="0" w:color="FFFFFF" w:themeColor="background1"/>
              <w:bottom w:val="single" w:sz="4" w:space="0" w:color="FFFFFF" w:themeColor="background1"/>
              <w:right w:val="single" w:sz="4" w:space="0" w:color="auto"/>
            </w:tcBorders>
            <w:shd w:val="clear" w:color="auto" w:fill="FFC000"/>
            <w:vAlign w:val="center"/>
          </w:tcPr>
          <w:p w14:paraId="475B2221"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Silne</w:t>
            </w:r>
          </w:p>
        </w:tc>
      </w:tr>
      <w:tr w:rsidR="00D155AA" w:rsidRPr="00655FC7" w14:paraId="5F6343AE" w14:textId="77777777" w:rsidTr="00785073">
        <w:trPr>
          <w:cantSplit/>
          <w:trHeight w:val="510"/>
          <w:jc w:val="center"/>
        </w:trPr>
        <w:tc>
          <w:tcPr>
            <w:cnfStyle w:val="001000000000" w:firstRow="0" w:lastRow="0" w:firstColumn="1" w:lastColumn="0" w:oddVBand="0" w:evenVBand="0" w:oddHBand="0" w:evenHBand="0" w:firstRowFirstColumn="0" w:firstRowLastColumn="0" w:lastRowFirstColumn="0" w:lastRowLastColumn="0"/>
            <w:tcW w:w="602" w:type="dxa"/>
            <w:vMerge/>
            <w:tcBorders>
              <w:left w:val="single" w:sz="4" w:space="0" w:color="auto"/>
            </w:tcBorders>
            <w:shd w:val="clear" w:color="auto" w:fill="9BBB59" w:themeFill="accent6" w:themeFillShade="BF"/>
            <w:textDirection w:val="btLr"/>
            <w:vAlign w:val="center"/>
          </w:tcPr>
          <w:p w14:paraId="42221F8A" w14:textId="77777777" w:rsidR="00D155AA" w:rsidRPr="00655FC7" w:rsidRDefault="00D155AA" w:rsidP="00827748">
            <w:pPr>
              <w:tabs>
                <w:tab w:val="left" w:pos="3119"/>
              </w:tabs>
              <w:ind w:firstLine="0"/>
              <w:jc w:val="center"/>
              <w:rPr>
                <w:rFonts w:asciiTheme="minorHAnsi" w:hAnsiTheme="minorHAnsi" w:cstheme="minorHAnsi"/>
                <w:color w:val="auto"/>
                <w:szCs w:val="20"/>
              </w:rPr>
            </w:pPr>
          </w:p>
        </w:tc>
        <w:tc>
          <w:tcPr>
            <w:tcW w:w="2817" w:type="dxa"/>
            <w:vAlign w:val="center"/>
          </w:tcPr>
          <w:p w14:paraId="3220D371"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Deszcze ulewne i nawalne</w:t>
            </w:r>
          </w:p>
        </w:tc>
        <w:tc>
          <w:tcPr>
            <w:tcW w:w="1871" w:type="dxa"/>
            <w:vAlign w:val="center"/>
          </w:tcPr>
          <w:p w14:paraId="305C5584"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Wzrost</w:t>
            </w:r>
          </w:p>
        </w:tc>
        <w:tc>
          <w:tcPr>
            <w:tcW w:w="1871" w:type="dxa"/>
            <w:gridSpan w:val="2"/>
            <w:vAlign w:val="center"/>
          </w:tcPr>
          <w:p w14:paraId="61497D05"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Wzrost</w:t>
            </w:r>
          </w:p>
        </w:tc>
        <w:tc>
          <w:tcPr>
            <w:tcW w:w="1920" w:type="dxa"/>
            <w:gridSpan w:val="2"/>
            <w:tcBorders>
              <w:top w:val="single" w:sz="4" w:space="0" w:color="FFFFFF" w:themeColor="background1"/>
              <w:bottom w:val="single" w:sz="4" w:space="0" w:color="FFFFFF" w:themeColor="background1"/>
              <w:right w:val="single" w:sz="4" w:space="0" w:color="auto"/>
            </w:tcBorders>
            <w:shd w:val="clear" w:color="auto" w:fill="FFC000"/>
            <w:vAlign w:val="center"/>
          </w:tcPr>
          <w:p w14:paraId="5B4E2160"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Silne</w:t>
            </w:r>
          </w:p>
        </w:tc>
      </w:tr>
      <w:tr w:rsidR="00D155AA" w:rsidRPr="00655FC7" w14:paraId="63DBD010" w14:textId="77777777" w:rsidTr="00785073">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602" w:type="dxa"/>
            <w:vMerge/>
            <w:tcBorders>
              <w:left w:val="single" w:sz="4" w:space="0" w:color="auto"/>
            </w:tcBorders>
            <w:shd w:val="clear" w:color="auto" w:fill="9BBB59" w:themeFill="accent6" w:themeFillShade="BF"/>
            <w:textDirection w:val="btLr"/>
            <w:vAlign w:val="center"/>
          </w:tcPr>
          <w:p w14:paraId="7E2841F3" w14:textId="77777777" w:rsidR="00D155AA" w:rsidRPr="00655FC7" w:rsidRDefault="00D155AA" w:rsidP="00827748">
            <w:pPr>
              <w:tabs>
                <w:tab w:val="left" w:pos="3119"/>
              </w:tabs>
              <w:ind w:firstLine="0"/>
              <w:jc w:val="center"/>
              <w:rPr>
                <w:rFonts w:asciiTheme="minorHAnsi" w:hAnsiTheme="minorHAnsi" w:cstheme="minorHAnsi"/>
                <w:color w:val="auto"/>
                <w:szCs w:val="20"/>
              </w:rPr>
            </w:pPr>
          </w:p>
        </w:tc>
        <w:tc>
          <w:tcPr>
            <w:tcW w:w="2817" w:type="dxa"/>
            <w:shd w:val="clear" w:color="auto" w:fill="E6EED6" w:themeFill="accent6" w:themeFillTint="66"/>
            <w:vAlign w:val="center"/>
          </w:tcPr>
          <w:p w14:paraId="6976FC03"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Dni bez opadu</w:t>
            </w:r>
          </w:p>
        </w:tc>
        <w:tc>
          <w:tcPr>
            <w:tcW w:w="1871" w:type="dxa"/>
            <w:shd w:val="clear" w:color="auto" w:fill="E6EED6" w:themeFill="accent6" w:themeFillTint="66"/>
            <w:vAlign w:val="center"/>
          </w:tcPr>
          <w:p w14:paraId="14AEFF4C"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Spadek</w:t>
            </w:r>
          </w:p>
        </w:tc>
        <w:tc>
          <w:tcPr>
            <w:tcW w:w="1871" w:type="dxa"/>
            <w:gridSpan w:val="2"/>
            <w:shd w:val="clear" w:color="auto" w:fill="E6EED6" w:themeFill="accent6" w:themeFillTint="66"/>
            <w:vAlign w:val="center"/>
          </w:tcPr>
          <w:p w14:paraId="1884B1EC"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Brak</w:t>
            </w:r>
          </w:p>
        </w:tc>
        <w:tc>
          <w:tcPr>
            <w:tcW w:w="1920" w:type="dxa"/>
            <w:gridSpan w:val="2"/>
            <w:tcBorders>
              <w:top w:val="single" w:sz="4" w:space="0" w:color="FFFFFF" w:themeColor="background1"/>
              <w:bottom w:val="single" w:sz="4" w:space="0" w:color="FFFFFF" w:themeColor="background1"/>
              <w:right w:val="single" w:sz="4" w:space="0" w:color="auto"/>
            </w:tcBorders>
            <w:shd w:val="clear" w:color="auto" w:fill="FFCC99"/>
            <w:vAlign w:val="center"/>
          </w:tcPr>
          <w:p w14:paraId="35AA5DC3"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Umiarkowane</w:t>
            </w:r>
          </w:p>
        </w:tc>
      </w:tr>
      <w:tr w:rsidR="00D155AA" w:rsidRPr="00655FC7" w14:paraId="110F80BC" w14:textId="77777777" w:rsidTr="00785073">
        <w:trPr>
          <w:cantSplit/>
          <w:trHeight w:val="510"/>
          <w:jc w:val="center"/>
        </w:trPr>
        <w:tc>
          <w:tcPr>
            <w:cnfStyle w:val="001000000000" w:firstRow="0" w:lastRow="0" w:firstColumn="1" w:lastColumn="0" w:oddVBand="0" w:evenVBand="0" w:oddHBand="0" w:evenHBand="0" w:firstRowFirstColumn="0" w:firstRowLastColumn="0" w:lastRowFirstColumn="0" w:lastRowLastColumn="0"/>
            <w:tcW w:w="602" w:type="dxa"/>
            <w:vMerge/>
            <w:tcBorders>
              <w:left w:val="single" w:sz="4" w:space="0" w:color="auto"/>
            </w:tcBorders>
            <w:shd w:val="clear" w:color="auto" w:fill="9BBB59" w:themeFill="accent6" w:themeFillShade="BF"/>
            <w:textDirection w:val="btLr"/>
            <w:vAlign w:val="center"/>
          </w:tcPr>
          <w:p w14:paraId="02C9E7EF" w14:textId="77777777" w:rsidR="00D155AA" w:rsidRPr="00655FC7" w:rsidRDefault="00D155AA" w:rsidP="00827748">
            <w:pPr>
              <w:tabs>
                <w:tab w:val="left" w:pos="3119"/>
              </w:tabs>
              <w:ind w:firstLine="0"/>
              <w:jc w:val="center"/>
              <w:rPr>
                <w:rFonts w:cstheme="minorHAnsi"/>
                <w:color w:val="auto"/>
                <w:szCs w:val="20"/>
              </w:rPr>
            </w:pPr>
          </w:p>
        </w:tc>
        <w:tc>
          <w:tcPr>
            <w:tcW w:w="2817" w:type="dxa"/>
            <w:shd w:val="clear" w:color="auto" w:fill="FFFFFF" w:themeFill="background1"/>
            <w:vAlign w:val="center"/>
          </w:tcPr>
          <w:p w14:paraId="16D36171"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Długotrwałe okresy bezopadowe wraz z temp. maksymalną &gt;25°C</w:t>
            </w:r>
          </w:p>
        </w:tc>
        <w:tc>
          <w:tcPr>
            <w:tcW w:w="1871" w:type="dxa"/>
            <w:shd w:val="clear" w:color="auto" w:fill="FFFFFF" w:themeFill="background1"/>
            <w:vAlign w:val="center"/>
          </w:tcPr>
          <w:p w14:paraId="464DE692"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Wzrost</w:t>
            </w:r>
          </w:p>
        </w:tc>
        <w:tc>
          <w:tcPr>
            <w:tcW w:w="1871" w:type="dxa"/>
            <w:gridSpan w:val="2"/>
            <w:shd w:val="clear" w:color="auto" w:fill="FFFFFF" w:themeFill="background1"/>
            <w:vAlign w:val="center"/>
          </w:tcPr>
          <w:p w14:paraId="35935A90"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Wzrost</w:t>
            </w:r>
          </w:p>
        </w:tc>
        <w:tc>
          <w:tcPr>
            <w:tcW w:w="1920" w:type="dxa"/>
            <w:gridSpan w:val="2"/>
            <w:tcBorders>
              <w:top w:val="single" w:sz="4" w:space="0" w:color="FFFFFF" w:themeColor="background1"/>
              <w:bottom w:val="single" w:sz="4" w:space="0" w:color="FFFFFF" w:themeColor="background1"/>
              <w:right w:val="single" w:sz="4" w:space="0" w:color="auto"/>
            </w:tcBorders>
            <w:shd w:val="clear" w:color="auto" w:fill="FFC000"/>
            <w:vAlign w:val="center"/>
          </w:tcPr>
          <w:p w14:paraId="710612E3"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Silne</w:t>
            </w:r>
          </w:p>
        </w:tc>
      </w:tr>
      <w:tr w:rsidR="00D155AA" w:rsidRPr="00655FC7" w14:paraId="38724CDD" w14:textId="77777777" w:rsidTr="00785073">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602" w:type="dxa"/>
            <w:vMerge/>
            <w:tcBorders>
              <w:left w:val="single" w:sz="4" w:space="0" w:color="auto"/>
            </w:tcBorders>
            <w:shd w:val="clear" w:color="auto" w:fill="9BBB59" w:themeFill="accent6" w:themeFillShade="BF"/>
            <w:textDirection w:val="btLr"/>
            <w:vAlign w:val="center"/>
          </w:tcPr>
          <w:p w14:paraId="1ACA5FED" w14:textId="77777777" w:rsidR="00D155AA" w:rsidRPr="00655FC7" w:rsidRDefault="00D155AA" w:rsidP="00827748">
            <w:pPr>
              <w:tabs>
                <w:tab w:val="left" w:pos="3119"/>
              </w:tabs>
              <w:ind w:firstLine="0"/>
              <w:jc w:val="center"/>
              <w:rPr>
                <w:rFonts w:asciiTheme="minorHAnsi" w:hAnsiTheme="minorHAnsi" w:cstheme="minorHAnsi"/>
                <w:color w:val="auto"/>
                <w:szCs w:val="20"/>
              </w:rPr>
            </w:pPr>
          </w:p>
        </w:tc>
        <w:tc>
          <w:tcPr>
            <w:tcW w:w="2817" w:type="dxa"/>
            <w:shd w:val="clear" w:color="auto" w:fill="E6EED6" w:themeFill="accent6" w:themeFillTint="66"/>
            <w:vAlign w:val="center"/>
          </w:tcPr>
          <w:p w14:paraId="60CEC057"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Opady śniegu</w:t>
            </w:r>
          </w:p>
        </w:tc>
        <w:tc>
          <w:tcPr>
            <w:tcW w:w="1871" w:type="dxa"/>
            <w:shd w:val="clear" w:color="auto" w:fill="E6EED6" w:themeFill="accent6" w:themeFillTint="66"/>
            <w:vAlign w:val="center"/>
          </w:tcPr>
          <w:p w14:paraId="76B5C11D"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Spadek</w:t>
            </w:r>
          </w:p>
        </w:tc>
        <w:tc>
          <w:tcPr>
            <w:tcW w:w="1871" w:type="dxa"/>
            <w:gridSpan w:val="2"/>
            <w:shd w:val="clear" w:color="auto" w:fill="E6EED6" w:themeFill="accent6" w:themeFillTint="66"/>
            <w:vAlign w:val="center"/>
          </w:tcPr>
          <w:p w14:paraId="35BE6AE0"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Spadek</w:t>
            </w:r>
          </w:p>
        </w:tc>
        <w:tc>
          <w:tcPr>
            <w:tcW w:w="1920" w:type="dxa"/>
            <w:gridSpan w:val="2"/>
            <w:tcBorders>
              <w:top w:val="single" w:sz="4" w:space="0" w:color="FFFFFF" w:themeColor="background1"/>
              <w:bottom w:val="single" w:sz="4" w:space="0" w:color="FFFFFF" w:themeColor="background1"/>
              <w:right w:val="single" w:sz="4" w:space="0" w:color="auto"/>
            </w:tcBorders>
            <w:shd w:val="clear" w:color="auto" w:fill="FFC000"/>
            <w:vAlign w:val="center"/>
          </w:tcPr>
          <w:p w14:paraId="6516D83B"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Silne</w:t>
            </w:r>
          </w:p>
        </w:tc>
      </w:tr>
      <w:tr w:rsidR="00D155AA" w:rsidRPr="00655FC7" w14:paraId="09607974" w14:textId="77777777" w:rsidTr="00785073">
        <w:trPr>
          <w:cantSplit/>
          <w:trHeight w:val="510"/>
          <w:jc w:val="center"/>
        </w:trPr>
        <w:tc>
          <w:tcPr>
            <w:cnfStyle w:val="001000000000" w:firstRow="0" w:lastRow="0" w:firstColumn="1" w:lastColumn="0" w:oddVBand="0" w:evenVBand="0" w:oddHBand="0" w:evenHBand="0" w:firstRowFirstColumn="0" w:firstRowLastColumn="0" w:lastRowFirstColumn="0" w:lastRowLastColumn="0"/>
            <w:tcW w:w="602" w:type="dxa"/>
            <w:vMerge/>
            <w:tcBorders>
              <w:left w:val="single" w:sz="4" w:space="0" w:color="auto"/>
              <w:bottom w:val="single" w:sz="4" w:space="0" w:color="auto"/>
            </w:tcBorders>
            <w:shd w:val="clear" w:color="auto" w:fill="9BBB59" w:themeFill="accent6" w:themeFillShade="BF"/>
            <w:textDirection w:val="btLr"/>
            <w:vAlign w:val="center"/>
          </w:tcPr>
          <w:p w14:paraId="13FB96AD" w14:textId="77777777" w:rsidR="00D155AA" w:rsidRPr="00655FC7" w:rsidRDefault="00D155AA" w:rsidP="00827748">
            <w:pPr>
              <w:tabs>
                <w:tab w:val="left" w:pos="3119"/>
              </w:tabs>
              <w:ind w:firstLine="0"/>
              <w:jc w:val="center"/>
              <w:rPr>
                <w:rFonts w:asciiTheme="minorHAnsi" w:hAnsiTheme="minorHAnsi" w:cstheme="minorHAnsi"/>
                <w:color w:val="auto"/>
                <w:szCs w:val="20"/>
              </w:rPr>
            </w:pPr>
          </w:p>
        </w:tc>
        <w:tc>
          <w:tcPr>
            <w:tcW w:w="2817" w:type="dxa"/>
            <w:tcBorders>
              <w:bottom w:val="single" w:sz="4" w:space="0" w:color="auto"/>
            </w:tcBorders>
            <w:shd w:val="clear" w:color="auto" w:fill="FFFFFF" w:themeFill="background1"/>
            <w:vAlign w:val="center"/>
          </w:tcPr>
          <w:p w14:paraId="35D01CE7"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Okres zalegania pokrywy śnieżnej</w:t>
            </w:r>
          </w:p>
        </w:tc>
        <w:tc>
          <w:tcPr>
            <w:tcW w:w="1871" w:type="dxa"/>
            <w:tcBorders>
              <w:bottom w:val="single" w:sz="4" w:space="0" w:color="auto"/>
            </w:tcBorders>
            <w:shd w:val="clear" w:color="auto" w:fill="FFFFFF" w:themeFill="background1"/>
            <w:vAlign w:val="center"/>
          </w:tcPr>
          <w:p w14:paraId="0BF18A49"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Spadek</w:t>
            </w:r>
          </w:p>
        </w:tc>
        <w:tc>
          <w:tcPr>
            <w:tcW w:w="1871" w:type="dxa"/>
            <w:gridSpan w:val="2"/>
            <w:tcBorders>
              <w:bottom w:val="single" w:sz="4" w:space="0" w:color="auto"/>
            </w:tcBorders>
            <w:shd w:val="clear" w:color="auto" w:fill="FFFFFF" w:themeFill="background1"/>
            <w:vAlign w:val="center"/>
          </w:tcPr>
          <w:p w14:paraId="4C52C71E"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Spadek</w:t>
            </w:r>
          </w:p>
        </w:tc>
        <w:tc>
          <w:tcPr>
            <w:tcW w:w="1920" w:type="dxa"/>
            <w:gridSpan w:val="2"/>
            <w:tcBorders>
              <w:top w:val="single" w:sz="4" w:space="0" w:color="FFFFFF" w:themeColor="background1"/>
              <w:bottom w:val="single" w:sz="4" w:space="0" w:color="auto"/>
              <w:right w:val="single" w:sz="4" w:space="0" w:color="auto"/>
            </w:tcBorders>
            <w:shd w:val="clear" w:color="auto" w:fill="FFCC99"/>
            <w:vAlign w:val="center"/>
          </w:tcPr>
          <w:p w14:paraId="1EADB75F"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Umiarkowane</w:t>
            </w:r>
          </w:p>
        </w:tc>
      </w:tr>
      <w:tr w:rsidR="00D155AA" w:rsidRPr="00655FC7" w14:paraId="6940E8C3" w14:textId="77777777" w:rsidTr="00785073">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602" w:type="dxa"/>
            <w:vMerge w:val="restart"/>
            <w:tcBorders>
              <w:top w:val="single" w:sz="4" w:space="0" w:color="auto"/>
              <w:left w:val="single" w:sz="4" w:space="0" w:color="auto"/>
            </w:tcBorders>
            <w:shd w:val="clear" w:color="auto" w:fill="9BBB59" w:themeFill="accent6" w:themeFillShade="BF"/>
            <w:textDirection w:val="btLr"/>
            <w:vAlign w:val="center"/>
          </w:tcPr>
          <w:p w14:paraId="5520049F" w14:textId="77777777" w:rsidR="00D155AA" w:rsidRPr="00655FC7" w:rsidRDefault="00D155AA" w:rsidP="00827748">
            <w:pPr>
              <w:tabs>
                <w:tab w:val="left" w:pos="3119"/>
              </w:tabs>
              <w:ind w:firstLine="0"/>
              <w:jc w:val="center"/>
              <w:rPr>
                <w:rFonts w:asciiTheme="minorHAnsi" w:hAnsiTheme="minorHAnsi" w:cstheme="minorHAnsi"/>
                <w:color w:val="auto"/>
                <w:szCs w:val="20"/>
              </w:rPr>
            </w:pPr>
            <w:r w:rsidRPr="00655FC7">
              <w:rPr>
                <w:rFonts w:asciiTheme="minorHAnsi" w:hAnsiTheme="minorHAnsi" w:cstheme="minorHAnsi"/>
                <w:color w:val="auto"/>
                <w:szCs w:val="20"/>
              </w:rPr>
              <w:t>Ekstremalne zjawiska</w:t>
            </w:r>
          </w:p>
        </w:tc>
        <w:tc>
          <w:tcPr>
            <w:tcW w:w="2817" w:type="dxa"/>
            <w:tcBorders>
              <w:top w:val="single" w:sz="4" w:space="0" w:color="auto"/>
            </w:tcBorders>
            <w:shd w:val="clear" w:color="auto" w:fill="E6EED6" w:themeFill="accent6" w:themeFillTint="66"/>
            <w:vAlign w:val="center"/>
          </w:tcPr>
          <w:p w14:paraId="485E2B6B"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Silny i bardzo silny wiatr</w:t>
            </w:r>
          </w:p>
        </w:tc>
        <w:tc>
          <w:tcPr>
            <w:tcW w:w="1871" w:type="dxa"/>
            <w:tcBorders>
              <w:top w:val="single" w:sz="4" w:space="0" w:color="auto"/>
            </w:tcBorders>
            <w:shd w:val="clear" w:color="auto" w:fill="E6EED6" w:themeFill="accent6" w:themeFillTint="66"/>
            <w:vAlign w:val="center"/>
          </w:tcPr>
          <w:p w14:paraId="5FB471AD"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Brak</w:t>
            </w:r>
          </w:p>
        </w:tc>
        <w:tc>
          <w:tcPr>
            <w:tcW w:w="1871" w:type="dxa"/>
            <w:gridSpan w:val="2"/>
            <w:tcBorders>
              <w:top w:val="single" w:sz="4" w:space="0" w:color="auto"/>
            </w:tcBorders>
            <w:shd w:val="clear" w:color="auto" w:fill="E6EED6" w:themeFill="accent6" w:themeFillTint="66"/>
            <w:vAlign w:val="center"/>
          </w:tcPr>
          <w:p w14:paraId="2879D077"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Brak</w:t>
            </w:r>
          </w:p>
        </w:tc>
        <w:tc>
          <w:tcPr>
            <w:tcW w:w="1920" w:type="dxa"/>
            <w:gridSpan w:val="2"/>
            <w:tcBorders>
              <w:top w:val="single" w:sz="4" w:space="0" w:color="auto"/>
              <w:bottom w:val="single" w:sz="4" w:space="0" w:color="FFFFFF" w:themeColor="background1"/>
              <w:right w:val="single" w:sz="4" w:space="0" w:color="auto"/>
            </w:tcBorders>
            <w:shd w:val="clear" w:color="auto" w:fill="FFC000"/>
            <w:vAlign w:val="center"/>
          </w:tcPr>
          <w:p w14:paraId="643F3E2B"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Silne</w:t>
            </w:r>
          </w:p>
        </w:tc>
      </w:tr>
      <w:tr w:rsidR="00D155AA" w:rsidRPr="00655FC7" w14:paraId="7DDACCCD" w14:textId="77777777" w:rsidTr="00785073">
        <w:trPr>
          <w:cantSplit/>
          <w:trHeight w:val="510"/>
          <w:jc w:val="center"/>
        </w:trPr>
        <w:tc>
          <w:tcPr>
            <w:cnfStyle w:val="001000000000" w:firstRow="0" w:lastRow="0" w:firstColumn="1" w:lastColumn="0" w:oddVBand="0" w:evenVBand="0" w:oddHBand="0" w:evenHBand="0" w:firstRowFirstColumn="0" w:firstRowLastColumn="0" w:lastRowFirstColumn="0" w:lastRowLastColumn="0"/>
            <w:tcW w:w="602" w:type="dxa"/>
            <w:vMerge/>
            <w:tcBorders>
              <w:left w:val="single" w:sz="4" w:space="0" w:color="auto"/>
            </w:tcBorders>
            <w:shd w:val="clear" w:color="auto" w:fill="9BBB59" w:themeFill="accent6" w:themeFillShade="BF"/>
            <w:textDirection w:val="btLr"/>
            <w:vAlign w:val="center"/>
          </w:tcPr>
          <w:p w14:paraId="7A2E6551" w14:textId="77777777" w:rsidR="00D155AA" w:rsidRPr="00655FC7" w:rsidRDefault="00D155AA" w:rsidP="00827748">
            <w:pPr>
              <w:tabs>
                <w:tab w:val="left" w:pos="3119"/>
              </w:tabs>
              <w:spacing w:before="40" w:after="40"/>
              <w:ind w:left="113" w:right="113" w:firstLine="0"/>
              <w:jc w:val="center"/>
              <w:rPr>
                <w:rFonts w:asciiTheme="minorHAnsi" w:hAnsiTheme="minorHAnsi" w:cstheme="minorHAnsi"/>
                <w:color w:val="auto"/>
                <w:szCs w:val="20"/>
              </w:rPr>
            </w:pPr>
          </w:p>
        </w:tc>
        <w:tc>
          <w:tcPr>
            <w:tcW w:w="2817" w:type="dxa"/>
            <w:shd w:val="clear" w:color="auto" w:fill="FFFFFF" w:themeFill="background1"/>
            <w:vAlign w:val="center"/>
          </w:tcPr>
          <w:p w14:paraId="60F1C484"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Burze (w tym burze z gradem)</w:t>
            </w:r>
          </w:p>
        </w:tc>
        <w:tc>
          <w:tcPr>
            <w:tcW w:w="1871" w:type="dxa"/>
            <w:shd w:val="clear" w:color="auto" w:fill="FFFFFF" w:themeFill="background1"/>
            <w:vAlign w:val="center"/>
          </w:tcPr>
          <w:p w14:paraId="360CF1F7"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Wzrost</w:t>
            </w:r>
          </w:p>
        </w:tc>
        <w:tc>
          <w:tcPr>
            <w:tcW w:w="1871" w:type="dxa"/>
            <w:gridSpan w:val="2"/>
            <w:shd w:val="clear" w:color="auto" w:fill="FFFFFF" w:themeFill="background1"/>
            <w:vAlign w:val="center"/>
          </w:tcPr>
          <w:p w14:paraId="29AB6DCB"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Wzrost</w:t>
            </w:r>
          </w:p>
        </w:tc>
        <w:tc>
          <w:tcPr>
            <w:tcW w:w="1920" w:type="dxa"/>
            <w:gridSpan w:val="2"/>
            <w:tcBorders>
              <w:top w:val="single" w:sz="4" w:space="0" w:color="FFFFFF" w:themeColor="background1"/>
              <w:bottom w:val="single" w:sz="4" w:space="0" w:color="FFFFFF" w:themeColor="background1"/>
              <w:right w:val="single" w:sz="4" w:space="0" w:color="auto"/>
            </w:tcBorders>
            <w:shd w:val="clear" w:color="auto" w:fill="FFC000"/>
            <w:vAlign w:val="center"/>
          </w:tcPr>
          <w:p w14:paraId="309FCF27"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Silne</w:t>
            </w:r>
          </w:p>
        </w:tc>
      </w:tr>
      <w:tr w:rsidR="00D155AA" w:rsidRPr="00655FC7" w14:paraId="1DC44ACB" w14:textId="77777777" w:rsidTr="00785073">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602" w:type="dxa"/>
            <w:vMerge/>
            <w:tcBorders>
              <w:left w:val="single" w:sz="4" w:space="0" w:color="auto"/>
            </w:tcBorders>
            <w:shd w:val="clear" w:color="auto" w:fill="9BBB59" w:themeFill="accent6" w:themeFillShade="BF"/>
            <w:textDirection w:val="btLr"/>
            <w:vAlign w:val="center"/>
          </w:tcPr>
          <w:p w14:paraId="4DEFD92C" w14:textId="77777777" w:rsidR="00D155AA" w:rsidRPr="00655FC7" w:rsidRDefault="00D155AA" w:rsidP="00827748">
            <w:pPr>
              <w:tabs>
                <w:tab w:val="left" w:pos="3119"/>
              </w:tabs>
              <w:spacing w:before="40" w:after="40"/>
              <w:ind w:left="113" w:right="113" w:firstLine="0"/>
              <w:jc w:val="center"/>
              <w:rPr>
                <w:rFonts w:asciiTheme="minorHAnsi" w:hAnsiTheme="minorHAnsi" w:cstheme="minorHAnsi"/>
                <w:color w:val="auto"/>
                <w:szCs w:val="20"/>
              </w:rPr>
            </w:pPr>
          </w:p>
        </w:tc>
        <w:tc>
          <w:tcPr>
            <w:tcW w:w="2817" w:type="dxa"/>
            <w:shd w:val="clear" w:color="auto" w:fill="E6EED6" w:themeFill="accent6" w:themeFillTint="66"/>
            <w:vAlign w:val="center"/>
          </w:tcPr>
          <w:p w14:paraId="056B3AD7"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Zjawiska burzowe</w:t>
            </w:r>
          </w:p>
        </w:tc>
        <w:tc>
          <w:tcPr>
            <w:tcW w:w="1871" w:type="dxa"/>
            <w:shd w:val="clear" w:color="auto" w:fill="E6EED6" w:themeFill="accent6" w:themeFillTint="66"/>
            <w:vAlign w:val="center"/>
          </w:tcPr>
          <w:p w14:paraId="7DBCF303"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Wzrost</w:t>
            </w:r>
          </w:p>
        </w:tc>
        <w:tc>
          <w:tcPr>
            <w:tcW w:w="1871" w:type="dxa"/>
            <w:gridSpan w:val="2"/>
            <w:shd w:val="clear" w:color="auto" w:fill="E6EED6" w:themeFill="accent6" w:themeFillTint="66"/>
            <w:vAlign w:val="center"/>
          </w:tcPr>
          <w:p w14:paraId="54C3C109"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Wzrost</w:t>
            </w:r>
          </w:p>
        </w:tc>
        <w:tc>
          <w:tcPr>
            <w:tcW w:w="1920" w:type="dxa"/>
            <w:gridSpan w:val="2"/>
            <w:tcBorders>
              <w:top w:val="single" w:sz="4" w:space="0" w:color="FFFFFF" w:themeColor="background1"/>
              <w:bottom w:val="single" w:sz="4" w:space="0" w:color="FFFFFF" w:themeColor="background1"/>
              <w:right w:val="single" w:sz="4" w:space="0" w:color="auto"/>
            </w:tcBorders>
            <w:shd w:val="clear" w:color="auto" w:fill="FFC000"/>
            <w:vAlign w:val="center"/>
          </w:tcPr>
          <w:p w14:paraId="74D1555A" w14:textId="77777777" w:rsidR="00D155AA" w:rsidRPr="00655FC7" w:rsidRDefault="00D155AA" w:rsidP="00827748">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655FC7">
              <w:rPr>
                <w:rFonts w:cstheme="minorHAnsi"/>
                <w:color w:val="auto"/>
                <w:szCs w:val="20"/>
              </w:rPr>
              <w:t>Silne</w:t>
            </w:r>
          </w:p>
        </w:tc>
      </w:tr>
      <w:tr w:rsidR="00D155AA" w:rsidRPr="00655FC7" w14:paraId="171DAC53" w14:textId="77777777" w:rsidTr="00785073">
        <w:trPr>
          <w:cantSplit/>
          <w:trHeight w:val="510"/>
          <w:jc w:val="center"/>
        </w:trPr>
        <w:tc>
          <w:tcPr>
            <w:cnfStyle w:val="001000000000" w:firstRow="0" w:lastRow="0" w:firstColumn="1" w:lastColumn="0" w:oddVBand="0" w:evenVBand="0" w:oddHBand="0" w:evenHBand="0" w:firstRowFirstColumn="0" w:firstRowLastColumn="0" w:lastRowFirstColumn="0" w:lastRowLastColumn="0"/>
            <w:tcW w:w="602" w:type="dxa"/>
            <w:vMerge/>
            <w:tcBorders>
              <w:left w:val="single" w:sz="4" w:space="0" w:color="auto"/>
              <w:bottom w:val="single" w:sz="4" w:space="0" w:color="auto"/>
            </w:tcBorders>
            <w:shd w:val="clear" w:color="auto" w:fill="9BBB59" w:themeFill="accent6" w:themeFillShade="BF"/>
            <w:textDirection w:val="btLr"/>
            <w:vAlign w:val="center"/>
          </w:tcPr>
          <w:p w14:paraId="0E761335" w14:textId="77777777" w:rsidR="00D155AA" w:rsidRPr="00655FC7" w:rsidRDefault="00D155AA" w:rsidP="00827748">
            <w:pPr>
              <w:tabs>
                <w:tab w:val="left" w:pos="3119"/>
              </w:tabs>
              <w:spacing w:before="40" w:after="40"/>
              <w:ind w:left="113" w:right="113" w:firstLine="0"/>
              <w:jc w:val="center"/>
              <w:rPr>
                <w:rFonts w:cstheme="minorHAnsi"/>
                <w:color w:val="auto"/>
                <w:szCs w:val="20"/>
              </w:rPr>
            </w:pPr>
          </w:p>
        </w:tc>
        <w:tc>
          <w:tcPr>
            <w:tcW w:w="2817" w:type="dxa"/>
            <w:tcBorders>
              <w:bottom w:val="single" w:sz="4" w:space="0" w:color="auto"/>
            </w:tcBorders>
            <w:shd w:val="clear" w:color="auto" w:fill="FFFFFF" w:themeFill="background1"/>
            <w:vAlign w:val="center"/>
          </w:tcPr>
          <w:p w14:paraId="62CB9A57" w14:textId="51FDDAA2"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P</w:t>
            </w:r>
            <w:r w:rsidR="00BA1B30">
              <w:rPr>
                <w:rFonts w:cstheme="minorHAnsi"/>
                <w:color w:val="auto"/>
                <w:szCs w:val="20"/>
              </w:rPr>
              <w:t>odtopienia i p</w:t>
            </w:r>
            <w:r w:rsidRPr="00655FC7">
              <w:rPr>
                <w:rFonts w:cstheme="minorHAnsi"/>
                <w:color w:val="auto"/>
                <w:szCs w:val="20"/>
              </w:rPr>
              <w:t>owodzie</w:t>
            </w:r>
          </w:p>
        </w:tc>
        <w:tc>
          <w:tcPr>
            <w:tcW w:w="1871" w:type="dxa"/>
            <w:tcBorders>
              <w:bottom w:val="single" w:sz="4" w:space="0" w:color="auto"/>
            </w:tcBorders>
            <w:shd w:val="clear" w:color="auto" w:fill="FFFFFF" w:themeFill="background1"/>
            <w:vAlign w:val="center"/>
          </w:tcPr>
          <w:p w14:paraId="37ECDD63"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Wzrost</w:t>
            </w:r>
          </w:p>
        </w:tc>
        <w:tc>
          <w:tcPr>
            <w:tcW w:w="1871" w:type="dxa"/>
            <w:gridSpan w:val="2"/>
            <w:tcBorders>
              <w:bottom w:val="single" w:sz="4" w:space="0" w:color="auto"/>
            </w:tcBorders>
            <w:shd w:val="clear" w:color="auto" w:fill="FFFFFF" w:themeFill="background1"/>
            <w:vAlign w:val="center"/>
          </w:tcPr>
          <w:p w14:paraId="14F5FA61"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Wzrost</w:t>
            </w:r>
          </w:p>
        </w:tc>
        <w:tc>
          <w:tcPr>
            <w:tcW w:w="1920" w:type="dxa"/>
            <w:gridSpan w:val="2"/>
            <w:tcBorders>
              <w:top w:val="single" w:sz="4" w:space="0" w:color="FFFFFF" w:themeColor="background1"/>
              <w:bottom w:val="single" w:sz="4" w:space="0" w:color="auto"/>
              <w:right w:val="single" w:sz="4" w:space="0" w:color="auto"/>
            </w:tcBorders>
            <w:shd w:val="clear" w:color="auto" w:fill="FF5050"/>
            <w:vAlign w:val="center"/>
          </w:tcPr>
          <w:p w14:paraId="3B9325CB" w14:textId="77777777" w:rsidR="00D155AA" w:rsidRPr="00655FC7" w:rsidRDefault="00D155AA" w:rsidP="00827748">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655FC7">
              <w:rPr>
                <w:rFonts w:cstheme="minorHAnsi"/>
                <w:color w:val="auto"/>
                <w:szCs w:val="20"/>
              </w:rPr>
              <w:t>Ekstremalne</w:t>
            </w:r>
          </w:p>
        </w:tc>
      </w:tr>
    </w:tbl>
    <w:p w14:paraId="68689BE1" w14:textId="77777777" w:rsidR="00D155AA" w:rsidRPr="00655FC7" w:rsidRDefault="00D155AA" w:rsidP="00D155AA">
      <w:pPr>
        <w:pStyle w:val="Cytat"/>
      </w:pPr>
      <w:r w:rsidRPr="00655FC7">
        <w:t>Źródło: Podręcznik adaptacji dla miast. Wytyczne do przygotowania Miejskiego Planu Adaptacji do zmian klimatu. Aktualizacja 2023, opracowanie własne</w:t>
      </w:r>
    </w:p>
    <w:p w14:paraId="51A4663C" w14:textId="029067DA" w:rsidR="0099103F" w:rsidRDefault="0099103F">
      <w:pPr>
        <w:spacing w:after="200"/>
        <w:ind w:firstLine="0"/>
        <w:jc w:val="left"/>
      </w:pPr>
      <w:r>
        <w:br w:type="page"/>
      </w:r>
    </w:p>
    <w:p w14:paraId="77AB9832" w14:textId="77777777" w:rsidR="0099103F" w:rsidRDefault="0099103F" w:rsidP="0099103F">
      <w:bookmarkStart w:id="225" w:name="_Toc143596941"/>
    </w:p>
    <w:p w14:paraId="42F74B87" w14:textId="3705E193" w:rsidR="002772FF" w:rsidRPr="00655FC7" w:rsidRDefault="00A6139B" w:rsidP="00971DAF">
      <w:pPr>
        <w:pStyle w:val="Nagwek1"/>
      </w:pPr>
      <w:bookmarkStart w:id="226" w:name="_Toc177732075"/>
      <w:r w:rsidRPr="00655FC7">
        <w:t>Ocena podatności miasta</w:t>
      </w:r>
      <w:bookmarkEnd w:id="225"/>
      <w:bookmarkEnd w:id="226"/>
    </w:p>
    <w:p w14:paraId="3898D37B" w14:textId="2B4CF2F6" w:rsidR="00A6139B" w:rsidRPr="00655FC7" w:rsidRDefault="00F71C55" w:rsidP="00B62479">
      <w:pPr>
        <w:pStyle w:val="Nagwek2"/>
      </w:pPr>
      <w:bookmarkStart w:id="227" w:name="_Toc177732076"/>
      <w:r>
        <w:t>Ocena wrażliwości</w:t>
      </w:r>
      <w:bookmarkEnd w:id="227"/>
    </w:p>
    <w:p w14:paraId="55863F6C" w14:textId="76A5FE7C" w:rsidR="007F5584" w:rsidRDefault="0078194E" w:rsidP="0078194E">
      <w:pPr>
        <w:tabs>
          <w:tab w:val="left" w:pos="3119"/>
        </w:tabs>
        <w:rPr>
          <w:rFonts w:cstheme="minorHAnsi"/>
          <w:color w:val="auto"/>
        </w:rPr>
      </w:pPr>
      <w:r w:rsidRPr="0078194E">
        <w:rPr>
          <w:rFonts w:cstheme="minorHAnsi"/>
          <w:color w:val="auto"/>
        </w:rPr>
        <w:t>Wrażliwość na zmiany klimatu jest rozumiana jako stopień, w jakim miasto podlega negatywnemu</w:t>
      </w:r>
      <w:r>
        <w:rPr>
          <w:rFonts w:cstheme="minorHAnsi"/>
          <w:color w:val="auto"/>
        </w:rPr>
        <w:t xml:space="preserve"> </w:t>
      </w:r>
      <w:r w:rsidRPr="0078194E">
        <w:rPr>
          <w:rFonts w:cstheme="minorHAnsi"/>
          <w:color w:val="auto"/>
        </w:rPr>
        <w:t xml:space="preserve">wpływowi zjawisk klimatycznych. Wrażliwość zależy od charakteru układu </w:t>
      </w:r>
      <w:r>
        <w:rPr>
          <w:rFonts w:cstheme="minorHAnsi"/>
          <w:color w:val="auto"/>
        </w:rPr>
        <w:t>urbanistycznego tkanki miejskiej oraz innych, w miarę stałych cech (lokalizacja, czynniki geograficzne, populacja zamieszkująca miasto).</w:t>
      </w:r>
    </w:p>
    <w:p w14:paraId="76A6FB79" w14:textId="50B30284" w:rsidR="0078194E" w:rsidRDefault="0078194E" w:rsidP="0078194E">
      <w:pPr>
        <w:tabs>
          <w:tab w:val="left" w:pos="3119"/>
        </w:tabs>
        <w:rPr>
          <w:rFonts w:cstheme="minorHAnsi"/>
          <w:color w:val="auto"/>
        </w:rPr>
      </w:pPr>
      <w:r w:rsidRPr="0078194E">
        <w:rPr>
          <w:rFonts w:cstheme="minorHAnsi"/>
          <w:color w:val="auto"/>
        </w:rPr>
        <w:t>W ocenach wrażliwości</w:t>
      </w:r>
      <w:r>
        <w:rPr>
          <w:rFonts w:cstheme="minorHAnsi"/>
          <w:color w:val="auto"/>
        </w:rPr>
        <w:t xml:space="preserve"> </w:t>
      </w:r>
      <w:r w:rsidRPr="0078194E">
        <w:rPr>
          <w:rFonts w:cstheme="minorHAnsi"/>
          <w:color w:val="auto"/>
        </w:rPr>
        <w:t>przyjmuje</w:t>
      </w:r>
      <w:r>
        <w:rPr>
          <w:rFonts w:cstheme="minorHAnsi"/>
          <w:color w:val="auto"/>
        </w:rPr>
        <w:t xml:space="preserve"> </w:t>
      </w:r>
      <w:r w:rsidRPr="0078194E">
        <w:rPr>
          <w:rFonts w:cstheme="minorHAnsi"/>
          <w:color w:val="auto"/>
        </w:rPr>
        <w:t>się</w:t>
      </w:r>
      <w:r>
        <w:rPr>
          <w:rFonts w:cstheme="minorHAnsi"/>
          <w:color w:val="auto"/>
        </w:rPr>
        <w:t xml:space="preserve"> </w:t>
      </w:r>
      <w:r w:rsidRPr="0078194E">
        <w:rPr>
          <w:rFonts w:cstheme="minorHAnsi"/>
          <w:color w:val="auto"/>
        </w:rPr>
        <w:t>podejście</w:t>
      </w:r>
      <w:r>
        <w:rPr>
          <w:rFonts w:cstheme="minorHAnsi"/>
          <w:color w:val="auto"/>
        </w:rPr>
        <w:t xml:space="preserve"> </w:t>
      </w:r>
      <w:r w:rsidRPr="0078194E">
        <w:rPr>
          <w:rFonts w:cstheme="minorHAnsi"/>
          <w:color w:val="auto"/>
        </w:rPr>
        <w:t>sektorowe</w:t>
      </w:r>
      <w:r>
        <w:rPr>
          <w:rFonts w:cstheme="minorHAnsi"/>
          <w:color w:val="auto"/>
        </w:rPr>
        <w:t xml:space="preserve"> </w:t>
      </w:r>
      <w:r w:rsidRPr="0078194E">
        <w:rPr>
          <w:rFonts w:cstheme="minorHAnsi"/>
          <w:color w:val="auto"/>
        </w:rPr>
        <w:t>i</w:t>
      </w:r>
      <w:r>
        <w:rPr>
          <w:rFonts w:cstheme="minorHAnsi"/>
          <w:color w:val="auto"/>
        </w:rPr>
        <w:t xml:space="preserve"> </w:t>
      </w:r>
      <w:r w:rsidRPr="0078194E">
        <w:rPr>
          <w:rFonts w:cstheme="minorHAnsi"/>
          <w:color w:val="auto"/>
        </w:rPr>
        <w:t>obszarowe.</w:t>
      </w:r>
      <w:r>
        <w:rPr>
          <w:rFonts w:cstheme="minorHAnsi"/>
          <w:color w:val="auto"/>
        </w:rPr>
        <w:t xml:space="preserve"> </w:t>
      </w:r>
      <w:r w:rsidRPr="0078194E">
        <w:rPr>
          <w:rFonts w:cstheme="minorHAnsi"/>
          <w:color w:val="auto"/>
        </w:rPr>
        <w:t>Sektorem</w:t>
      </w:r>
      <w:r>
        <w:rPr>
          <w:rFonts w:cstheme="minorHAnsi"/>
          <w:color w:val="auto"/>
        </w:rPr>
        <w:t xml:space="preserve"> </w:t>
      </w:r>
      <w:r w:rsidRPr="0078194E">
        <w:rPr>
          <w:rFonts w:cstheme="minorHAnsi"/>
          <w:color w:val="auto"/>
        </w:rPr>
        <w:t>jest</w:t>
      </w:r>
      <w:r>
        <w:rPr>
          <w:rFonts w:cstheme="minorHAnsi"/>
          <w:color w:val="auto"/>
        </w:rPr>
        <w:t xml:space="preserve"> </w:t>
      </w:r>
      <w:r w:rsidRPr="0078194E">
        <w:rPr>
          <w:rFonts w:cstheme="minorHAnsi"/>
          <w:color w:val="auto"/>
        </w:rPr>
        <w:t>pewna</w:t>
      </w:r>
      <w:r>
        <w:rPr>
          <w:rFonts w:cstheme="minorHAnsi"/>
          <w:color w:val="auto"/>
        </w:rPr>
        <w:t xml:space="preserve"> </w:t>
      </w:r>
      <w:r w:rsidRPr="0078194E">
        <w:rPr>
          <w:rFonts w:cstheme="minorHAnsi"/>
          <w:color w:val="auto"/>
        </w:rPr>
        <w:t>wydzielona</w:t>
      </w:r>
      <w:r>
        <w:rPr>
          <w:rFonts w:cstheme="minorHAnsi"/>
          <w:color w:val="auto"/>
        </w:rPr>
        <w:t xml:space="preserve"> </w:t>
      </w:r>
      <w:r w:rsidRPr="0078194E">
        <w:rPr>
          <w:rFonts w:cstheme="minorHAnsi"/>
          <w:color w:val="auto"/>
        </w:rPr>
        <w:t>część</w:t>
      </w:r>
      <w:r>
        <w:rPr>
          <w:rFonts w:cstheme="minorHAnsi"/>
          <w:color w:val="auto"/>
        </w:rPr>
        <w:t xml:space="preserve"> </w:t>
      </w:r>
      <w:r w:rsidRPr="0078194E">
        <w:rPr>
          <w:rFonts w:cstheme="minorHAnsi"/>
          <w:color w:val="auto"/>
        </w:rPr>
        <w:t>funkcjonowania miasta wyróżniona ze względu na określony typ aktywności społeczno-gospodarczej</w:t>
      </w:r>
      <w:r>
        <w:rPr>
          <w:rFonts w:cstheme="minorHAnsi"/>
          <w:color w:val="auto"/>
        </w:rPr>
        <w:t xml:space="preserve"> </w:t>
      </w:r>
      <w:r w:rsidRPr="0078194E">
        <w:rPr>
          <w:rFonts w:cstheme="minorHAnsi"/>
          <w:color w:val="auto"/>
        </w:rPr>
        <w:t>lub</w:t>
      </w:r>
      <w:r>
        <w:rPr>
          <w:rFonts w:cstheme="minorHAnsi"/>
          <w:color w:val="auto"/>
        </w:rPr>
        <w:t xml:space="preserve"> </w:t>
      </w:r>
      <w:r w:rsidRPr="0078194E">
        <w:rPr>
          <w:rFonts w:cstheme="minorHAnsi"/>
          <w:color w:val="auto"/>
        </w:rPr>
        <w:t>specyficzne</w:t>
      </w:r>
      <w:r>
        <w:rPr>
          <w:rFonts w:cstheme="minorHAnsi"/>
          <w:color w:val="auto"/>
        </w:rPr>
        <w:t xml:space="preserve"> </w:t>
      </w:r>
      <w:r w:rsidRPr="0078194E">
        <w:rPr>
          <w:rFonts w:cstheme="minorHAnsi"/>
          <w:color w:val="auto"/>
        </w:rPr>
        <w:t>aspekt</w:t>
      </w:r>
      <w:r>
        <w:rPr>
          <w:rFonts w:cstheme="minorHAnsi"/>
          <w:color w:val="auto"/>
        </w:rPr>
        <w:t xml:space="preserve">y </w:t>
      </w:r>
      <w:r w:rsidRPr="0078194E">
        <w:rPr>
          <w:rFonts w:cstheme="minorHAnsi"/>
          <w:color w:val="auto"/>
        </w:rPr>
        <w:t>zagospodarowania</w:t>
      </w:r>
      <w:r>
        <w:rPr>
          <w:rFonts w:cstheme="minorHAnsi"/>
          <w:color w:val="auto"/>
        </w:rPr>
        <w:t xml:space="preserve"> </w:t>
      </w:r>
      <w:r w:rsidRPr="0078194E">
        <w:rPr>
          <w:rFonts w:cstheme="minorHAnsi"/>
          <w:color w:val="auto"/>
        </w:rPr>
        <w:t>przestrzeni</w:t>
      </w:r>
      <w:r>
        <w:rPr>
          <w:rFonts w:cstheme="minorHAnsi"/>
          <w:color w:val="auto"/>
        </w:rPr>
        <w:t xml:space="preserve"> </w:t>
      </w:r>
      <w:r w:rsidRPr="0078194E">
        <w:rPr>
          <w:rFonts w:cstheme="minorHAnsi"/>
          <w:color w:val="auto"/>
        </w:rPr>
        <w:t>miejskiej.</w:t>
      </w:r>
      <w:r>
        <w:rPr>
          <w:rFonts w:cstheme="minorHAnsi"/>
          <w:color w:val="auto"/>
        </w:rPr>
        <w:t xml:space="preserve"> </w:t>
      </w:r>
      <w:r w:rsidR="00FF58F6" w:rsidRPr="00655FC7">
        <w:rPr>
          <w:rFonts w:cstheme="minorHAnsi"/>
          <w:color w:val="auto"/>
        </w:rPr>
        <w:t>Wybór konkretnych sektorów i obszarów analizy zależy</w:t>
      </w:r>
      <w:r>
        <w:rPr>
          <w:rFonts w:cstheme="minorHAnsi"/>
          <w:color w:val="auto"/>
        </w:rPr>
        <w:t xml:space="preserve"> od</w:t>
      </w:r>
      <w:r w:rsidR="00FF58F6" w:rsidRPr="00655FC7">
        <w:rPr>
          <w:rFonts w:cstheme="minorHAnsi"/>
          <w:color w:val="auto"/>
        </w:rPr>
        <w:t xml:space="preserve"> </w:t>
      </w:r>
      <w:r>
        <w:rPr>
          <w:rFonts w:cstheme="minorHAnsi"/>
          <w:color w:val="auto"/>
        </w:rPr>
        <w:t>uwarunkowań analizowanego miasta.</w:t>
      </w:r>
    </w:p>
    <w:p w14:paraId="15D78615" w14:textId="259C4244" w:rsidR="00CC5513" w:rsidRDefault="00CC5513" w:rsidP="00F531EC">
      <w:pPr>
        <w:tabs>
          <w:tab w:val="left" w:pos="3119"/>
        </w:tabs>
        <w:spacing w:after="120"/>
        <w:rPr>
          <w:rFonts w:cstheme="minorHAnsi"/>
          <w:color w:val="auto"/>
        </w:rPr>
      </w:pPr>
      <w:r w:rsidRPr="00655FC7">
        <w:rPr>
          <w:rFonts w:cstheme="minorHAnsi"/>
          <w:color w:val="auto"/>
        </w:rPr>
        <w:t xml:space="preserve">Zgodnie z </w:t>
      </w:r>
      <w:r w:rsidRPr="00655FC7">
        <w:rPr>
          <w:rFonts w:cstheme="minorHAnsi"/>
          <w:i/>
          <w:color w:val="auto"/>
        </w:rPr>
        <w:t xml:space="preserve">Podręcznikiem adaptacji dla miast. Wytyczne do przygotowania Miejskiego </w:t>
      </w:r>
      <w:r w:rsidR="00F66461" w:rsidRPr="00655FC7">
        <w:rPr>
          <w:rFonts w:cstheme="minorHAnsi"/>
          <w:i/>
          <w:color w:val="auto"/>
        </w:rPr>
        <w:t>Planu Adaptacji</w:t>
      </w:r>
      <w:r w:rsidRPr="00655FC7">
        <w:rPr>
          <w:rFonts w:cstheme="minorHAnsi"/>
          <w:i/>
          <w:color w:val="auto"/>
        </w:rPr>
        <w:t xml:space="preserve"> do</w:t>
      </w:r>
      <w:r w:rsidR="00265408" w:rsidRPr="00655FC7">
        <w:rPr>
          <w:rFonts w:cstheme="minorHAnsi"/>
          <w:i/>
          <w:color w:val="auto"/>
        </w:rPr>
        <w:t xml:space="preserve"> zmian </w:t>
      </w:r>
      <w:r w:rsidRPr="00655FC7">
        <w:rPr>
          <w:rFonts w:cstheme="minorHAnsi"/>
          <w:i/>
          <w:color w:val="auto"/>
        </w:rPr>
        <w:t>klimatu</w:t>
      </w:r>
      <w:r w:rsidR="004655D7" w:rsidRPr="00655FC7">
        <w:rPr>
          <w:rFonts w:cstheme="minorHAnsi"/>
          <w:i/>
          <w:color w:val="auto"/>
        </w:rPr>
        <w:t>. Aktualizacja 2023</w:t>
      </w:r>
      <w:r w:rsidRPr="00655FC7">
        <w:rPr>
          <w:rFonts w:cstheme="minorHAnsi"/>
          <w:i/>
          <w:color w:val="auto"/>
        </w:rPr>
        <w:t xml:space="preserve"> </w:t>
      </w:r>
      <w:r w:rsidRPr="00655FC7">
        <w:rPr>
          <w:rFonts w:cstheme="minorHAnsi"/>
          <w:color w:val="auto"/>
        </w:rPr>
        <w:t xml:space="preserve">wyróżniamy trzy </w:t>
      </w:r>
      <w:r w:rsidR="002772FF" w:rsidRPr="00655FC7">
        <w:rPr>
          <w:rFonts w:cstheme="minorHAnsi"/>
          <w:color w:val="auto"/>
        </w:rPr>
        <w:t>klasy wrażliwości</w:t>
      </w:r>
      <w:r w:rsidRPr="00655FC7">
        <w:rPr>
          <w:rFonts w:cstheme="minorHAnsi"/>
          <w:color w:val="auto"/>
        </w:rPr>
        <w:t>:</w:t>
      </w:r>
    </w:p>
    <w:p w14:paraId="1D9F6657" w14:textId="3BEBCB8E" w:rsidR="00F531EC" w:rsidRDefault="00F531EC">
      <w:pPr>
        <w:pStyle w:val="Akapitzlist"/>
        <w:numPr>
          <w:ilvl w:val="0"/>
          <w:numId w:val="56"/>
        </w:numPr>
        <w:tabs>
          <w:tab w:val="left" w:pos="3119"/>
        </w:tabs>
        <w:rPr>
          <w:rFonts w:cstheme="minorHAnsi"/>
          <w:color w:val="auto"/>
        </w:rPr>
      </w:pPr>
      <w:r w:rsidRPr="00655FC7">
        <w:rPr>
          <w:rFonts w:cstheme="minorHAnsi"/>
          <w:b/>
          <w:color w:val="auto"/>
        </w:rPr>
        <w:t xml:space="preserve">WYSOKA: </w:t>
      </w:r>
      <w:r w:rsidRPr="00655FC7">
        <w:rPr>
          <w:rFonts w:cstheme="minorHAnsi"/>
          <w:color w:val="auto"/>
        </w:rPr>
        <w:t>obszar funkcjonalny miasta jest bardzo wrażliwy i mocno narażony na oddziaływanie analizowanego zjawiska atmosferycznego. W tym przypadku zdolność adaptacji jest średnia lub niska.</w:t>
      </w:r>
    </w:p>
    <w:p w14:paraId="47A66EFE" w14:textId="1EAF58A8" w:rsidR="00F531EC" w:rsidRDefault="00F531EC">
      <w:pPr>
        <w:pStyle w:val="Akapitzlist"/>
        <w:numPr>
          <w:ilvl w:val="0"/>
          <w:numId w:val="56"/>
        </w:numPr>
        <w:tabs>
          <w:tab w:val="left" w:pos="3119"/>
        </w:tabs>
        <w:rPr>
          <w:rFonts w:cstheme="minorHAnsi"/>
          <w:color w:val="auto"/>
        </w:rPr>
      </w:pPr>
      <w:r w:rsidRPr="00655FC7">
        <w:rPr>
          <w:rFonts w:cstheme="minorHAnsi"/>
          <w:b/>
          <w:color w:val="auto"/>
        </w:rPr>
        <w:t>ŚREDNIA:</w:t>
      </w:r>
      <w:r w:rsidRPr="00655FC7">
        <w:rPr>
          <w:rFonts w:cstheme="minorHAnsi"/>
          <w:color w:val="auto"/>
        </w:rPr>
        <w:t xml:space="preserve"> obszar funkcjonalny miasta jest średnio wrażliwy i średnio narażony na oddziaływanie analizowanego zjawiska atmosferycznego. W tym przypadku zdolność adaptacji jest średnia lub wysoka.</w:t>
      </w:r>
    </w:p>
    <w:p w14:paraId="23346EF0" w14:textId="4FA92CA4" w:rsidR="00F531EC" w:rsidRPr="00F531EC" w:rsidRDefault="00F531EC">
      <w:pPr>
        <w:pStyle w:val="Akapitzlist"/>
        <w:numPr>
          <w:ilvl w:val="0"/>
          <w:numId w:val="56"/>
        </w:numPr>
        <w:tabs>
          <w:tab w:val="left" w:pos="3119"/>
        </w:tabs>
        <w:rPr>
          <w:rFonts w:cstheme="minorHAnsi"/>
          <w:color w:val="auto"/>
        </w:rPr>
      </w:pPr>
      <w:r w:rsidRPr="00655FC7">
        <w:rPr>
          <w:rFonts w:cstheme="minorHAnsi"/>
          <w:b/>
          <w:color w:val="auto"/>
        </w:rPr>
        <w:t>NISKA:</w:t>
      </w:r>
      <w:r w:rsidRPr="00655FC7">
        <w:rPr>
          <w:rFonts w:cstheme="minorHAnsi"/>
          <w:color w:val="auto"/>
        </w:rPr>
        <w:t xml:space="preserve"> obszar funkcjonalny miasta jest bardzo mało lub jest niewrażliwy na oddziaływanie analizowanego zjawiska atmosferycznego. W tym przypadku zdolność adaptacji jest średnia lub wysoka.</w:t>
      </w:r>
    </w:p>
    <w:p w14:paraId="24BDB339" w14:textId="77777777" w:rsidR="00E668CB" w:rsidRPr="00655FC7" w:rsidRDefault="00E668CB" w:rsidP="00940D31">
      <w:pPr>
        <w:tabs>
          <w:tab w:val="left" w:pos="3119"/>
        </w:tabs>
        <w:rPr>
          <w:rFonts w:cstheme="minorHAnsi"/>
          <w:color w:val="auto"/>
        </w:rPr>
      </w:pPr>
    </w:p>
    <w:p w14:paraId="47B42B9E" w14:textId="77777777" w:rsidR="0078194E" w:rsidRDefault="0078194E" w:rsidP="00BA2847">
      <w:r w:rsidRPr="0078194E">
        <w:t>Ocena wrażliwości miasta na zmiany klimatu powinna prowadzić do wskazania, które elementy miasta</w:t>
      </w:r>
      <w:r>
        <w:t xml:space="preserve"> </w:t>
      </w:r>
      <w:r w:rsidRPr="0078194E">
        <w:t>podlegają mniejszemu lub większemu wpływowi zmian klimatu, a tym samym, które komponenty</w:t>
      </w:r>
      <w:r>
        <w:t xml:space="preserve"> </w:t>
      </w:r>
      <w:r w:rsidRPr="0078194E">
        <w:t>miasta w szczególności mogą wymagać działań adaptacyjnych.</w:t>
      </w:r>
      <w:r>
        <w:t xml:space="preserve"> </w:t>
      </w:r>
    </w:p>
    <w:p w14:paraId="538B562D" w14:textId="77777777" w:rsidR="00A654D8" w:rsidRPr="00655FC7" w:rsidRDefault="000E4D23" w:rsidP="007D1498">
      <w:r w:rsidRPr="00655FC7">
        <w:t>Bazując na przeprowadzonej diagnozie (Rozdział</w:t>
      </w:r>
      <w:r w:rsidR="00971DAF" w:rsidRPr="00655FC7">
        <w:t xml:space="preserve"> </w:t>
      </w:r>
      <w:r w:rsidR="00971DAF" w:rsidRPr="00655FC7">
        <w:fldChar w:fldCharType="begin"/>
      </w:r>
      <w:r w:rsidR="00971DAF" w:rsidRPr="00655FC7">
        <w:instrText xml:space="preserve"> REF _Ref159586532 \w \h </w:instrText>
      </w:r>
      <w:r w:rsidR="00BA2847">
        <w:instrText xml:space="preserve"> \* MERGEFORMAT </w:instrText>
      </w:r>
      <w:r w:rsidR="00971DAF" w:rsidRPr="00655FC7">
        <w:fldChar w:fldCharType="separate"/>
      </w:r>
      <w:r w:rsidR="00A654D8">
        <w:t>0</w:t>
      </w:r>
      <w:r w:rsidR="00971DAF" w:rsidRPr="00655FC7">
        <w:fldChar w:fldCharType="end"/>
      </w:r>
      <w:r w:rsidR="00971DAF" w:rsidRPr="00655FC7">
        <w:t xml:space="preserve">. </w:t>
      </w:r>
      <w:r w:rsidR="00971DAF" w:rsidRPr="00655FC7">
        <w:fldChar w:fldCharType="begin"/>
      </w:r>
      <w:r w:rsidR="00971DAF" w:rsidRPr="00655FC7">
        <w:instrText xml:space="preserve"> REF _Ref159586539 \h </w:instrText>
      </w:r>
      <w:r w:rsidR="00BA2847">
        <w:instrText xml:space="preserve"> \* MERGEFORMAT </w:instrText>
      </w:r>
      <w:r w:rsidR="00971DAF" w:rsidRPr="00655FC7">
        <w:fldChar w:fldCharType="separate"/>
      </w:r>
    </w:p>
    <w:p w14:paraId="25945A1F" w14:textId="7EA61311" w:rsidR="008F6DA1" w:rsidRPr="00655FC7" w:rsidRDefault="00A654D8" w:rsidP="00BA2847">
      <w:r w:rsidRPr="00655FC7">
        <w:t>Diagnoza</w:t>
      </w:r>
      <w:r w:rsidR="00971DAF" w:rsidRPr="00655FC7">
        <w:fldChar w:fldCharType="end"/>
      </w:r>
      <w:r w:rsidR="000E4D23" w:rsidRPr="00655FC7">
        <w:t>) dokonano analizy poszczególnych sektorów i podsumowanie zamieszczono w poniższej tabeli.</w:t>
      </w:r>
    </w:p>
    <w:p w14:paraId="018AEC51" w14:textId="77777777" w:rsidR="009F0A0E" w:rsidRPr="00655FC7" w:rsidRDefault="009F0A0E" w:rsidP="008F6DA1">
      <w:pPr>
        <w:tabs>
          <w:tab w:val="left" w:pos="3119"/>
        </w:tabs>
        <w:rPr>
          <w:rFonts w:cstheme="minorHAnsi"/>
          <w:color w:val="auto"/>
        </w:rPr>
        <w:sectPr w:rsidR="009F0A0E" w:rsidRPr="00655FC7" w:rsidSect="006A4AE9">
          <w:headerReference w:type="first" r:id="rId117"/>
          <w:pgSz w:w="11906" w:h="16838"/>
          <w:pgMar w:top="1417" w:right="1417" w:bottom="1417" w:left="1417" w:header="851" w:footer="709" w:gutter="0"/>
          <w:cols w:space="708"/>
          <w:docGrid w:linePitch="360"/>
        </w:sectPr>
      </w:pPr>
    </w:p>
    <w:p w14:paraId="31E7FF26" w14:textId="1BD9F407" w:rsidR="000E4D23" w:rsidRPr="00655FC7" w:rsidRDefault="000E4D23" w:rsidP="006D7AFC">
      <w:pPr>
        <w:pStyle w:val="Styltabela"/>
      </w:pPr>
      <w:bookmarkStart w:id="228" w:name="_Toc178846332"/>
      <w:r w:rsidRPr="00F531EC">
        <w:lastRenderedPageBreak/>
        <w:t xml:space="preserve">Tabela </w:t>
      </w:r>
      <w:r w:rsidR="00E833A9">
        <w:fldChar w:fldCharType="begin"/>
      </w:r>
      <w:r w:rsidR="00E833A9">
        <w:instrText xml:space="preserve"> SEQ Tabela \* ARABIC </w:instrText>
      </w:r>
      <w:r w:rsidR="00E833A9">
        <w:fldChar w:fldCharType="separate"/>
      </w:r>
      <w:r w:rsidR="00A654D8">
        <w:rPr>
          <w:noProof/>
        </w:rPr>
        <w:t>26</w:t>
      </w:r>
      <w:r w:rsidR="00E833A9">
        <w:rPr>
          <w:noProof/>
        </w:rPr>
        <w:fldChar w:fldCharType="end"/>
      </w:r>
      <w:r w:rsidRPr="00F531EC">
        <w:t xml:space="preserve">. </w:t>
      </w:r>
      <w:r w:rsidR="00AC1AC7">
        <w:t>Ocena wrażliwości</w:t>
      </w:r>
      <w:r w:rsidRPr="00F531EC">
        <w:t xml:space="preserve"> Miasta </w:t>
      </w:r>
      <w:r w:rsidR="00F531EC" w:rsidRPr="00F531EC">
        <w:t>Tarnogród</w:t>
      </w:r>
      <w:r w:rsidR="005257D2" w:rsidRPr="00F531EC">
        <w:t xml:space="preserve"> na</w:t>
      </w:r>
      <w:r w:rsidRPr="00F531EC">
        <w:t xml:space="preserve"> zmiany klimatu</w:t>
      </w:r>
      <w:r w:rsidR="006D7AFC" w:rsidRPr="00F531EC">
        <w:t>.</w:t>
      </w:r>
      <w:bookmarkEnd w:id="228"/>
    </w:p>
    <w:tbl>
      <w:tblPr>
        <w:tblStyle w:val="Jasnasiatkaakcent322"/>
        <w:tblW w:w="14175" w:type="dxa"/>
        <w:tblLayout w:type="fixed"/>
        <w:tblLook w:val="04A0" w:firstRow="1" w:lastRow="0" w:firstColumn="1" w:lastColumn="0" w:noHBand="0" w:noVBand="1"/>
      </w:tblPr>
      <w:tblGrid>
        <w:gridCol w:w="3189"/>
        <w:gridCol w:w="5148"/>
        <w:gridCol w:w="4241"/>
        <w:gridCol w:w="1597"/>
      </w:tblGrid>
      <w:tr w:rsidR="001B1B47" w:rsidRPr="004D6E25" w14:paraId="0FF1CD14" w14:textId="77777777" w:rsidTr="003F0B3D">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240" w:type="dxa"/>
            <w:shd w:val="clear" w:color="auto" w:fill="BCC167" w:themeFill="accent2"/>
            <w:vAlign w:val="center"/>
          </w:tcPr>
          <w:p w14:paraId="6AB52E26" w14:textId="7A3A85BF" w:rsidR="001B1B47" w:rsidRPr="004D6E25" w:rsidRDefault="00BA2847" w:rsidP="004D6E25">
            <w:pPr>
              <w:tabs>
                <w:tab w:val="left" w:pos="3119"/>
              </w:tabs>
              <w:ind w:firstLine="0"/>
              <w:jc w:val="center"/>
              <w:rPr>
                <w:rFonts w:asciiTheme="minorHAnsi" w:hAnsiTheme="minorHAnsi" w:cstheme="minorHAnsi"/>
                <w:color w:val="auto"/>
                <w:sz w:val="18"/>
                <w:szCs w:val="18"/>
              </w:rPr>
            </w:pPr>
            <w:r w:rsidRPr="004D6E25">
              <w:rPr>
                <w:rFonts w:asciiTheme="minorHAnsi" w:hAnsiTheme="minorHAnsi" w:cstheme="minorHAnsi"/>
                <w:color w:val="auto"/>
                <w:sz w:val="18"/>
                <w:szCs w:val="18"/>
              </w:rPr>
              <w:t>Sektor</w:t>
            </w:r>
            <w:r w:rsidR="00F531EC" w:rsidRPr="004D6E25">
              <w:rPr>
                <w:rFonts w:asciiTheme="minorHAnsi" w:hAnsiTheme="minorHAnsi" w:cstheme="minorHAnsi"/>
                <w:color w:val="auto"/>
                <w:sz w:val="18"/>
                <w:szCs w:val="18"/>
              </w:rPr>
              <w:t xml:space="preserve"> miasta</w:t>
            </w:r>
          </w:p>
        </w:tc>
        <w:tc>
          <w:tcPr>
            <w:tcW w:w="5232" w:type="dxa"/>
            <w:shd w:val="clear" w:color="auto" w:fill="BCC167" w:themeFill="accent2"/>
            <w:vAlign w:val="center"/>
          </w:tcPr>
          <w:p w14:paraId="43B84DEF" w14:textId="79B9F537" w:rsidR="001B1B47" w:rsidRPr="004D6E25" w:rsidRDefault="00296B3D" w:rsidP="004D6E25">
            <w:pPr>
              <w:tabs>
                <w:tab w:val="left" w:pos="3119"/>
              </w:tabs>
              <w:ind w:firstLine="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4D6E25">
              <w:rPr>
                <w:rFonts w:asciiTheme="minorHAnsi" w:hAnsiTheme="minorHAnsi" w:cstheme="minorHAnsi"/>
                <w:color w:val="auto"/>
                <w:sz w:val="18"/>
                <w:szCs w:val="18"/>
              </w:rPr>
              <w:t>Analizowane elementy</w:t>
            </w:r>
          </w:p>
        </w:tc>
        <w:tc>
          <w:tcPr>
            <w:tcW w:w="4309" w:type="dxa"/>
            <w:shd w:val="clear" w:color="auto" w:fill="BCC167" w:themeFill="accent2"/>
            <w:vAlign w:val="center"/>
          </w:tcPr>
          <w:p w14:paraId="10929368" w14:textId="56A92005" w:rsidR="001B1B47" w:rsidRPr="004D6E25" w:rsidRDefault="00F531EC" w:rsidP="004D6E25">
            <w:pPr>
              <w:tabs>
                <w:tab w:val="left" w:pos="3119"/>
              </w:tabs>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4D6E25">
              <w:rPr>
                <w:rFonts w:asciiTheme="minorHAnsi" w:hAnsiTheme="minorHAnsi" w:cstheme="minorHAnsi"/>
                <w:color w:val="auto"/>
                <w:sz w:val="18"/>
                <w:szCs w:val="18"/>
              </w:rPr>
              <w:t>Skutki zagrożeń</w:t>
            </w:r>
            <w:r w:rsidR="001B1B47" w:rsidRPr="004D6E25">
              <w:rPr>
                <w:rFonts w:asciiTheme="minorHAnsi" w:hAnsiTheme="minorHAnsi" w:cstheme="minorHAnsi"/>
                <w:color w:val="auto"/>
                <w:sz w:val="18"/>
                <w:szCs w:val="18"/>
              </w:rPr>
              <w:t xml:space="preserve"> klimatycznych </w:t>
            </w:r>
            <w:r w:rsidRPr="004D6E25">
              <w:rPr>
                <w:rFonts w:asciiTheme="minorHAnsi" w:hAnsiTheme="minorHAnsi" w:cstheme="minorHAnsi"/>
                <w:color w:val="auto"/>
                <w:sz w:val="18"/>
                <w:szCs w:val="18"/>
              </w:rPr>
              <w:t>wpływające na</w:t>
            </w:r>
            <w:r w:rsidR="001B1B47" w:rsidRPr="004D6E25">
              <w:rPr>
                <w:rFonts w:asciiTheme="minorHAnsi" w:hAnsiTheme="minorHAnsi" w:cstheme="minorHAnsi"/>
                <w:color w:val="auto"/>
                <w:sz w:val="18"/>
                <w:szCs w:val="18"/>
              </w:rPr>
              <w:t xml:space="preserve"> wrażliwość</w:t>
            </w:r>
          </w:p>
        </w:tc>
        <w:tc>
          <w:tcPr>
            <w:tcW w:w="1620" w:type="dxa"/>
            <w:shd w:val="clear" w:color="auto" w:fill="BCC167" w:themeFill="accent2"/>
            <w:vAlign w:val="center"/>
          </w:tcPr>
          <w:p w14:paraId="622DBE7E" w14:textId="77777777" w:rsidR="001B1B47" w:rsidRPr="004D6E25" w:rsidRDefault="001B1B47" w:rsidP="004D6E25">
            <w:pPr>
              <w:tabs>
                <w:tab w:val="left" w:pos="3119"/>
              </w:tabs>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4D6E25">
              <w:rPr>
                <w:rFonts w:asciiTheme="minorHAnsi" w:hAnsiTheme="minorHAnsi" w:cstheme="minorHAnsi"/>
                <w:color w:val="auto"/>
                <w:sz w:val="18"/>
                <w:szCs w:val="18"/>
              </w:rPr>
              <w:t>Klasa wrażliwości</w:t>
            </w:r>
          </w:p>
        </w:tc>
      </w:tr>
      <w:tr w:rsidR="001B1B47" w:rsidRPr="004D6E25" w14:paraId="7F7BED2B" w14:textId="77777777" w:rsidTr="003F0B3D">
        <w:trPr>
          <w:cnfStyle w:val="000000100000" w:firstRow="0" w:lastRow="0" w:firstColumn="0" w:lastColumn="0" w:oddVBand="0" w:evenVBand="0" w:oddHBand="1" w:evenHBand="0" w:firstRowFirstColumn="0" w:firstRowLastColumn="0" w:lastRowFirstColumn="0" w:lastRowLastColumn="0"/>
          <w:trHeight w:val="1157"/>
        </w:trPr>
        <w:tc>
          <w:tcPr>
            <w:cnfStyle w:val="001000000000" w:firstRow="0" w:lastRow="0" w:firstColumn="1" w:lastColumn="0" w:oddVBand="0" w:evenVBand="0" w:oddHBand="0" w:evenHBand="0" w:firstRowFirstColumn="0" w:firstRowLastColumn="0" w:lastRowFirstColumn="0" w:lastRowLastColumn="0"/>
            <w:tcW w:w="3240" w:type="dxa"/>
            <w:vAlign w:val="center"/>
          </w:tcPr>
          <w:p w14:paraId="3FB4596E" w14:textId="62E83350" w:rsidR="00AC1AC7" w:rsidRPr="004D6E25" w:rsidRDefault="00AC1AC7" w:rsidP="000644E6">
            <w:pPr>
              <w:tabs>
                <w:tab w:val="left" w:pos="3119"/>
              </w:tabs>
              <w:ind w:firstLine="0"/>
              <w:jc w:val="center"/>
              <w:rPr>
                <w:rFonts w:asciiTheme="minorHAnsi" w:hAnsiTheme="minorHAnsi" w:cstheme="minorHAnsi"/>
                <w:noProof/>
                <w:sz w:val="18"/>
                <w:szCs w:val="18"/>
                <w:lang w:eastAsia="en-GB"/>
              </w:rPr>
            </w:pPr>
            <w:r w:rsidRPr="004D6E25">
              <w:rPr>
                <w:rFonts w:cstheme="minorHAnsi"/>
                <w:noProof/>
                <w:sz w:val="18"/>
                <w:szCs w:val="18"/>
                <w:lang w:eastAsia="en-GB"/>
              </w:rPr>
              <w:drawing>
                <wp:inline distT="0" distB="0" distL="0" distR="0" wp14:anchorId="01056BD8" wp14:editId="4AE0C1E9">
                  <wp:extent cx="914400" cy="914400"/>
                  <wp:effectExtent l="0" t="0" r="0" b="0"/>
                  <wp:docPr id="1509158925" name="Grafika 1" descr="Medyczne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158925" name="Grafika 1509158925" descr="Medyczne z wypełnieniem pełnym"/>
                          <pic:cNvPicPr/>
                        </pic:nvPicPr>
                        <pic:blipFill>
                          <a:blip r:embed="rId118">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914400" cy="914400"/>
                          </a:xfrm>
                          <a:prstGeom prst="rect">
                            <a:avLst/>
                          </a:prstGeom>
                        </pic:spPr>
                      </pic:pic>
                    </a:graphicData>
                  </a:graphic>
                </wp:inline>
              </w:drawing>
            </w:r>
          </w:p>
          <w:p w14:paraId="4A5541EB" w14:textId="7CF17833" w:rsidR="001B1B47" w:rsidRPr="004D6E25" w:rsidRDefault="00BC4AB2" w:rsidP="000644E6">
            <w:pPr>
              <w:tabs>
                <w:tab w:val="left" w:pos="3119"/>
              </w:tabs>
              <w:ind w:firstLine="0"/>
              <w:jc w:val="center"/>
              <w:rPr>
                <w:rFonts w:asciiTheme="minorHAnsi" w:hAnsiTheme="minorHAnsi" w:cstheme="minorHAnsi"/>
                <w:b w:val="0"/>
                <w:bCs w:val="0"/>
                <w:color w:val="auto"/>
                <w:sz w:val="18"/>
                <w:szCs w:val="18"/>
              </w:rPr>
            </w:pPr>
            <w:r w:rsidRPr="004D6E25">
              <w:rPr>
                <w:rFonts w:asciiTheme="minorHAnsi" w:hAnsiTheme="minorHAnsi" w:cstheme="minorHAnsi"/>
                <w:bCs w:val="0"/>
                <w:noProof/>
                <w:color w:val="262626" w:themeColor="text1" w:themeTint="D9"/>
                <w:sz w:val="28"/>
                <w:szCs w:val="28"/>
                <w:lang w:eastAsia="en-GB"/>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ZDROWIE</w:t>
            </w:r>
            <w:r w:rsidRPr="004D6E25">
              <w:rPr>
                <w:rFonts w:asciiTheme="minorHAnsi" w:hAnsiTheme="minorHAnsi" w:cstheme="minorHAnsi"/>
                <w:b w:val="0"/>
                <w:bCs w:val="0"/>
                <w:noProof/>
                <w:color w:val="262626" w:themeColor="text1" w:themeTint="D9"/>
                <w:sz w:val="28"/>
                <w:szCs w:val="28"/>
                <w:lang w:eastAsia="en-GB"/>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 </w:t>
            </w:r>
            <w:r w:rsidRPr="004D6E25">
              <w:rPr>
                <w:rFonts w:asciiTheme="minorHAnsi" w:hAnsiTheme="minorHAnsi" w:cstheme="minorHAnsi"/>
                <w:bCs w:val="0"/>
                <w:noProof/>
                <w:color w:val="262626" w:themeColor="text1" w:themeTint="D9"/>
                <w:sz w:val="28"/>
                <w:szCs w:val="28"/>
                <w:lang w:eastAsia="en-GB"/>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PUBLICZNE</w:t>
            </w:r>
          </w:p>
        </w:tc>
        <w:tc>
          <w:tcPr>
            <w:tcW w:w="5232" w:type="dxa"/>
          </w:tcPr>
          <w:p w14:paraId="1629ACC4" w14:textId="19AFA0A5" w:rsidR="001B1B47" w:rsidRPr="004D6E25" w:rsidRDefault="00605EE4">
            <w:pPr>
              <w:pStyle w:val="Akapitzlist"/>
              <w:numPr>
                <w:ilvl w:val="0"/>
                <w:numId w:val="57"/>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4D6E25">
              <w:rPr>
                <w:rFonts w:cstheme="minorHAnsi"/>
                <w:sz w:val="18"/>
                <w:szCs w:val="18"/>
              </w:rPr>
              <w:t>Zwiększający się udział ludności po 65. roku życia, przy jednoczesnym spadku ogólnej liczby ludności</w:t>
            </w:r>
            <w:r w:rsidR="00296B3D" w:rsidRPr="004D6E25">
              <w:rPr>
                <w:rFonts w:cstheme="minorHAnsi"/>
                <w:sz w:val="18"/>
                <w:szCs w:val="18"/>
              </w:rPr>
              <w:t>.</w:t>
            </w:r>
          </w:p>
          <w:p w14:paraId="3893D06C" w14:textId="01B29284" w:rsidR="00605EE4" w:rsidRPr="004D6E25" w:rsidRDefault="00296B3D">
            <w:pPr>
              <w:pStyle w:val="Akapitzlist"/>
              <w:numPr>
                <w:ilvl w:val="0"/>
                <w:numId w:val="57"/>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4D6E25">
              <w:rPr>
                <w:rFonts w:cstheme="minorHAnsi"/>
                <w:sz w:val="18"/>
                <w:szCs w:val="18"/>
              </w:rPr>
              <w:t>Spadek liczby urodzeń i ujemne saldo migracji.</w:t>
            </w:r>
          </w:p>
          <w:p w14:paraId="0F39B4C5" w14:textId="77777777" w:rsidR="00296B3D" w:rsidRPr="004D6E25" w:rsidRDefault="00296B3D">
            <w:pPr>
              <w:pStyle w:val="Akapitzlist"/>
              <w:numPr>
                <w:ilvl w:val="0"/>
                <w:numId w:val="57"/>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4D6E25">
              <w:rPr>
                <w:rFonts w:cstheme="minorHAnsi"/>
                <w:sz w:val="18"/>
                <w:szCs w:val="18"/>
              </w:rPr>
              <w:t>Zmniejszająca się liczba osób w wieku przed- i produkcyjnym oraz zwiększająca się liczba osób w wieku poprodukcyjnym.</w:t>
            </w:r>
          </w:p>
          <w:p w14:paraId="66B8ABBF" w14:textId="77777777" w:rsidR="00296B3D" w:rsidRPr="004D6E25" w:rsidRDefault="00296B3D">
            <w:pPr>
              <w:pStyle w:val="Akapitzlist"/>
              <w:numPr>
                <w:ilvl w:val="0"/>
                <w:numId w:val="57"/>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4D6E25">
              <w:rPr>
                <w:rFonts w:cstheme="minorHAnsi"/>
                <w:sz w:val="18"/>
                <w:szCs w:val="18"/>
              </w:rPr>
              <w:t xml:space="preserve">Wzrost dostępności </w:t>
            </w:r>
            <w:r w:rsidR="00B5481C" w:rsidRPr="004D6E25">
              <w:rPr>
                <w:rFonts w:cstheme="minorHAnsi"/>
                <w:sz w:val="18"/>
                <w:szCs w:val="18"/>
              </w:rPr>
              <w:t>usług zdrowotnych poprzez zwiększenie liczby przychodni.</w:t>
            </w:r>
          </w:p>
          <w:p w14:paraId="3A2FF226" w14:textId="5F90777A" w:rsidR="00B5481C" w:rsidRPr="004D6E25" w:rsidRDefault="00B5481C">
            <w:pPr>
              <w:pStyle w:val="Akapitzlist"/>
              <w:numPr>
                <w:ilvl w:val="0"/>
                <w:numId w:val="57"/>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4D6E25">
              <w:rPr>
                <w:rFonts w:cstheme="minorHAnsi"/>
                <w:sz w:val="18"/>
                <w:szCs w:val="18"/>
              </w:rPr>
              <w:t>Przychodnia lekarska przy ul. Rynek 1 oraz szpital rejonowy zarządzany przez Arion Szpitale sp. z o.o.</w:t>
            </w:r>
          </w:p>
          <w:p w14:paraId="771E3517" w14:textId="26AC8A02" w:rsidR="00B5481C" w:rsidRPr="004D6E25" w:rsidRDefault="00B5481C">
            <w:pPr>
              <w:pStyle w:val="Akapitzlist"/>
              <w:numPr>
                <w:ilvl w:val="0"/>
                <w:numId w:val="57"/>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4D6E25">
              <w:rPr>
                <w:rFonts w:cstheme="minorHAnsi"/>
                <w:sz w:val="18"/>
                <w:szCs w:val="18"/>
              </w:rPr>
              <w:t>Środowiskowy Dom Samopomocy</w:t>
            </w:r>
            <w:r w:rsidR="002521AB">
              <w:rPr>
                <w:rFonts w:cstheme="minorHAnsi"/>
                <w:sz w:val="18"/>
                <w:szCs w:val="18"/>
              </w:rPr>
              <w:t xml:space="preserve"> zgłasza potrzeby </w:t>
            </w:r>
            <w:r w:rsidR="002521AB" w:rsidRPr="002521AB">
              <w:rPr>
                <w:rFonts w:cstheme="minorHAnsi"/>
                <w:sz w:val="18"/>
                <w:szCs w:val="18"/>
              </w:rPr>
              <w:t>z zakresu: montażu klimatyzacji w salach terapeutycznych, modernizacji kotła gazowego i instalacji paneli fotowoltaicznych</w:t>
            </w:r>
          </w:p>
          <w:p w14:paraId="7CC43A3C" w14:textId="77777777" w:rsidR="00B5481C" w:rsidRPr="004D6E25" w:rsidRDefault="00B5481C">
            <w:pPr>
              <w:pStyle w:val="Akapitzlist"/>
              <w:numPr>
                <w:ilvl w:val="0"/>
                <w:numId w:val="57"/>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4D6E25">
              <w:rPr>
                <w:rFonts w:cstheme="minorHAnsi"/>
                <w:sz w:val="18"/>
                <w:szCs w:val="18"/>
              </w:rPr>
              <w:t>Jednostka KSRG OSP Tarnogród, która wymaga doposażenia i która w ostatnich latach zwiększyła liczbę interwencji związanych z silnymi wiatrami i opadami deszczu.</w:t>
            </w:r>
          </w:p>
          <w:p w14:paraId="19DA4255" w14:textId="6B0F36A8" w:rsidR="00B5481C" w:rsidRPr="004D6E25" w:rsidRDefault="004D6E25">
            <w:pPr>
              <w:pStyle w:val="Akapitzlist"/>
              <w:numPr>
                <w:ilvl w:val="0"/>
                <w:numId w:val="57"/>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4D6E25">
              <w:rPr>
                <w:rFonts w:cstheme="minorHAnsi"/>
                <w:sz w:val="18"/>
                <w:szCs w:val="18"/>
              </w:rPr>
              <w:t>Przekroczenia w strefie dopuszczalnych poziomów stężeń w powietrzu: benzo(a)piren w pyle PM10 i pył zawieszony PM2,5</w:t>
            </w:r>
            <w:r w:rsidR="00F17294">
              <w:rPr>
                <w:rFonts w:cstheme="minorHAnsi"/>
                <w:sz w:val="18"/>
                <w:szCs w:val="18"/>
              </w:rPr>
              <w:t>.</w:t>
            </w:r>
          </w:p>
        </w:tc>
        <w:tc>
          <w:tcPr>
            <w:tcW w:w="4309" w:type="dxa"/>
          </w:tcPr>
          <w:p w14:paraId="6D3DEF13" w14:textId="77777777" w:rsidR="001B1B47" w:rsidRPr="000644E6" w:rsidRDefault="000644E6">
            <w:pPr>
              <w:pStyle w:val="Akapitzlist"/>
              <w:numPr>
                <w:ilvl w:val="0"/>
                <w:numId w:val="68"/>
              </w:numPr>
              <w:ind w:left="170" w:hanging="170"/>
              <w:jc w:val="left"/>
              <w:cnfStyle w:val="000000100000" w:firstRow="0" w:lastRow="0" w:firstColumn="0" w:lastColumn="0" w:oddVBand="0" w:evenVBand="0" w:oddHBand="1" w:evenHBand="0" w:firstRowFirstColumn="0" w:firstRowLastColumn="0" w:lastRowFirstColumn="0" w:lastRowLastColumn="0"/>
              <w:rPr>
                <w:rFonts w:eastAsiaTheme="majorEastAsia" w:cstheme="minorHAnsi"/>
                <w:sz w:val="18"/>
                <w:szCs w:val="18"/>
              </w:rPr>
            </w:pPr>
            <w:r>
              <w:rPr>
                <w:rFonts w:cstheme="minorHAnsi"/>
                <w:sz w:val="18"/>
                <w:szCs w:val="18"/>
              </w:rPr>
              <w:t>Wzrost średniej temperatury powietrza oraz częstotliwości występowania upałów szczególnie narażają osoby starsze, dzieci i osoby przewlekle chore.</w:t>
            </w:r>
          </w:p>
          <w:p w14:paraId="3A145EFE" w14:textId="77777777" w:rsidR="00812D14" w:rsidRPr="00812D14" w:rsidRDefault="00812D14">
            <w:pPr>
              <w:pStyle w:val="Akapitzlist"/>
              <w:numPr>
                <w:ilvl w:val="0"/>
                <w:numId w:val="68"/>
              </w:numPr>
              <w:ind w:left="170" w:hanging="170"/>
              <w:jc w:val="left"/>
              <w:cnfStyle w:val="000000100000" w:firstRow="0" w:lastRow="0" w:firstColumn="0" w:lastColumn="0" w:oddVBand="0" w:evenVBand="0" w:oddHBand="1" w:evenHBand="0" w:firstRowFirstColumn="0" w:firstRowLastColumn="0" w:lastRowFirstColumn="0" w:lastRowLastColumn="0"/>
              <w:rPr>
                <w:rFonts w:eastAsiaTheme="majorEastAsia" w:cstheme="minorHAnsi"/>
                <w:sz w:val="18"/>
                <w:szCs w:val="18"/>
              </w:rPr>
            </w:pPr>
            <w:r>
              <w:rPr>
                <w:rFonts w:cstheme="minorHAnsi"/>
                <w:sz w:val="18"/>
                <w:szCs w:val="18"/>
              </w:rPr>
              <w:t>Występowanie ekstremalnych zjawisk pogodowych może utrudniać funkcjonowanie placówek zdrowia i opieki (uszkodzenia infrastruktury).</w:t>
            </w:r>
          </w:p>
          <w:p w14:paraId="505FD2BF" w14:textId="77777777" w:rsidR="00812D14" w:rsidRPr="00812D14" w:rsidRDefault="00812D14">
            <w:pPr>
              <w:pStyle w:val="Akapitzlist"/>
              <w:numPr>
                <w:ilvl w:val="0"/>
                <w:numId w:val="68"/>
              </w:numPr>
              <w:ind w:left="170" w:hanging="170"/>
              <w:jc w:val="left"/>
              <w:cnfStyle w:val="000000100000" w:firstRow="0" w:lastRow="0" w:firstColumn="0" w:lastColumn="0" w:oddVBand="0" w:evenVBand="0" w:oddHBand="1" w:evenHBand="0" w:firstRowFirstColumn="0" w:firstRowLastColumn="0" w:lastRowFirstColumn="0" w:lastRowLastColumn="0"/>
              <w:rPr>
                <w:rFonts w:eastAsiaTheme="majorEastAsia" w:cstheme="minorHAnsi"/>
                <w:sz w:val="18"/>
                <w:szCs w:val="18"/>
              </w:rPr>
            </w:pPr>
            <w:r>
              <w:rPr>
                <w:rFonts w:cstheme="minorHAnsi"/>
                <w:sz w:val="18"/>
                <w:szCs w:val="18"/>
              </w:rPr>
              <w:t>Zmiany klimatu przyczyniają się do wystawienia populacji na nieznane wcześniej patogeny, na które nie została wykształcona odporność.</w:t>
            </w:r>
          </w:p>
          <w:p w14:paraId="6E76CBFB" w14:textId="77777777" w:rsidR="00812D14" w:rsidRPr="00812D14" w:rsidRDefault="00812D14">
            <w:pPr>
              <w:pStyle w:val="Akapitzlist"/>
              <w:numPr>
                <w:ilvl w:val="0"/>
                <w:numId w:val="68"/>
              </w:numPr>
              <w:ind w:left="170" w:hanging="170"/>
              <w:jc w:val="left"/>
              <w:cnfStyle w:val="000000100000" w:firstRow="0" w:lastRow="0" w:firstColumn="0" w:lastColumn="0" w:oddVBand="0" w:evenVBand="0" w:oddHBand="1" w:evenHBand="0" w:firstRowFirstColumn="0" w:firstRowLastColumn="0" w:lastRowFirstColumn="0" w:lastRowLastColumn="0"/>
              <w:rPr>
                <w:rFonts w:eastAsiaTheme="majorEastAsia" w:cstheme="minorHAnsi"/>
                <w:sz w:val="18"/>
                <w:szCs w:val="18"/>
              </w:rPr>
            </w:pPr>
            <w:r>
              <w:rPr>
                <w:rFonts w:cstheme="minorHAnsi"/>
                <w:sz w:val="18"/>
                <w:szCs w:val="18"/>
              </w:rPr>
              <w:t>Wzrost temperatury także zimną powoduje zwiększanie się populacji kleszczy i wzrost zachorowań na choroby odkleszczowe.</w:t>
            </w:r>
          </w:p>
          <w:p w14:paraId="6CB93DD8" w14:textId="77777777" w:rsidR="00812D14" w:rsidRPr="00F17294" w:rsidRDefault="00812D14">
            <w:pPr>
              <w:pStyle w:val="Akapitzlist"/>
              <w:numPr>
                <w:ilvl w:val="0"/>
                <w:numId w:val="68"/>
              </w:numPr>
              <w:ind w:left="170" w:hanging="170"/>
              <w:jc w:val="left"/>
              <w:cnfStyle w:val="000000100000" w:firstRow="0" w:lastRow="0" w:firstColumn="0" w:lastColumn="0" w:oddVBand="0" w:evenVBand="0" w:oddHBand="1" w:evenHBand="0" w:firstRowFirstColumn="0" w:firstRowLastColumn="0" w:lastRowFirstColumn="0" w:lastRowLastColumn="0"/>
              <w:rPr>
                <w:rFonts w:eastAsiaTheme="majorEastAsia" w:cstheme="minorHAnsi"/>
                <w:sz w:val="18"/>
                <w:szCs w:val="18"/>
              </w:rPr>
            </w:pPr>
            <w:r>
              <w:rPr>
                <w:rFonts w:cstheme="minorHAnsi"/>
                <w:sz w:val="18"/>
                <w:szCs w:val="18"/>
              </w:rPr>
              <w:t xml:space="preserve">Częstsze interwencje jednostek </w:t>
            </w:r>
            <w:r w:rsidR="00F17294">
              <w:rPr>
                <w:rFonts w:cstheme="minorHAnsi"/>
                <w:sz w:val="18"/>
                <w:szCs w:val="18"/>
              </w:rPr>
              <w:t>reagowania, które będą wymagały lepszego doposażenia.</w:t>
            </w:r>
          </w:p>
          <w:p w14:paraId="528C573B" w14:textId="08DE662D" w:rsidR="00F17294" w:rsidRPr="00812D14" w:rsidRDefault="00F17294">
            <w:pPr>
              <w:pStyle w:val="Akapitzlist"/>
              <w:numPr>
                <w:ilvl w:val="0"/>
                <w:numId w:val="68"/>
              </w:numPr>
              <w:ind w:left="170" w:hanging="170"/>
              <w:jc w:val="left"/>
              <w:cnfStyle w:val="000000100000" w:firstRow="0" w:lastRow="0" w:firstColumn="0" w:lastColumn="0" w:oddVBand="0" w:evenVBand="0" w:oddHBand="1" w:evenHBand="0" w:firstRowFirstColumn="0" w:firstRowLastColumn="0" w:lastRowFirstColumn="0" w:lastRowLastColumn="0"/>
              <w:rPr>
                <w:rFonts w:eastAsiaTheme="majorEastAsia" w:cstheme="minorHAnsi"/>
                <w:sz w:val="18"/>
                <w:szCs w:val="18"/>
              </w:rPr>
            </w:pPr>
            <w:r>
              <w:rPr>
                <w:rFonts w:eastAsiaTheme="majorEastAsia" w:cstheme="minorHAnsi"/>
                <w:sz w:val="18"/>
                <w:szCs w:val="18"/>
              </w:rPr>
              <w:t>Obniżenie komfortu życia i warunków pracy mieszkańców.</w:t>
            </w:r>
          </w:p>
        </w:tc>
        <w:tc>
          <w:tcPr>
            <w:tcW w:w="1620" w:type="dxa"/>
            <w:shd w:val="clear" w:color="auto" w:fill="FF5050"/>
            <w:vAlign w:val="center"/>
          </w:tcPr>
          <w:p w14:paraId="6CFB4B12" w14:textId="5CF0AB8A" w:rsidR="001B1B47" w:rsidRPr="004D6E25" w:rsidRDefault="00F531EC" w:rsidP="00F17294">
            <w:pPr>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cstheme="minorHAnsi"/>
                <w:b/>
                <w:bCs/>
                <w:color w:val="auto"/>
              </w:rPr>
            </w:pPr>
            <w:r w:rsidRPr="004D6E25">
              <w:rPr>
                <w:rFonts w:cstheme="minorHAnsi"/>
                <w:b/>
                <w:bCs/>
                <w:color w:val="auto"/>
              </w:rPr>
              <w:t>WYSOKA</w:t>
            </w:r>
          </w:p>
        </w:tc>
      </w:tr>
      <w:tr w:rsidR="00F531EC" w:rsidRPr="004D6E25" w14:paraId="522C8A65" w14:textId="77777777" w:rsidTr="003F0B3D">
        <w:trPr>
          <w:cnfStyle w:val="000000010000" w:firstRow="0" w:lastRow="0" w:firstColumn="0" w:lastColumn="0" w:oddVBand="0" w:evenVBand="0" w:oddHBand="0" w:evenHBand="1" w:firstRowFirstColumn="0" w:firstRowLastColumn="0" w:lastRowFirstColumn="0" w:lastRowLastColumn="0"/>
          <w:trHeight w:val="1157"/>
        </w:trPr>
        <w:tc>
          <w:tcPr>
            <w:cnfStyle w:val="001000000000" w:firstRow="0" w:lastRow="0" w:firstColumn="1" w:lastColumn="0" w:oddVBand="0" w:evenVBand="0" w:oddHBand="0" w:evenHBand="0" w:firstRowFirstColumn="0" w:firstRowLastColumn="0" w:lastRowFirstColumn="0" w:lastRowLastColumn="0"/>
            <w:tcW w:w="3240" w:type="dxa"/>
            <w:vAlign w:val="center"/>
          </w:tcPr>
          <w:p w14:paraId="20D12B98" w14:textId="0661D6D1" w:rsidR="00BC4AB2" w:rsidRPr="00010366" w:rsidRDefault="00BC4AB2" w:rsidP="00E66705">
            <w:pPr>
              <w:tabs>
                <w:tab w:val="left" w:pos="3119"/>
              </w:tabs>
              <w:ind w:firstLine="0"/>
              <w:jc w:val="center"/>
              <w:rPr>
                <w:rFonts w:asciiTheme="minorHAnsi" w:hAnsiTheme="minorHAnsi" w:cstheme="minorHAnsi"/>
                <w:b w:val="0"/>
                <w:noProof/>
                <w:color w:val="262626" w:themeColor="text1" w:themeTint="D9"/>
                <w:sz w:val="18"/>
                <w:szCs w:val="18"/>
                <w:lang w:eastAsia="en-GB"/>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D6E25">
              <w:rPr>
                <w:rFonts w:cstheme="minorHAnsi"/>
                <w:noProof/>
                <w:sz w:val="28"/>
                <w:szCs w:val="28"/>
                <w:lang w:eastAsia="en-GB"/>
              </w:rPr>
              <w:drawing>
                <wp:inline distT="0" distB="0" distL="0" distR="0" wp14:anchorId="727AB876" wp14:editId="432B9FB5">
                  <wp:extent cx="914400" cy="914400"/>
                  <wp:effectExtent l="0" t="0" r="0" b="0"/>
                  <wp:docPr id="833144191" name="Grafika 2" descr="Wod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144191" name="Grafika 833144191" descr="Woda z wypełnieniem pełnym"/>
                          <pic:cNvPicPr/>
                        </pic:nvPicPr>
                        <pic:blipFill>
                          <a:blip r:embed="rId120">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914400" cy="914400"/>
                          </a:xfrm>
                          <a:prstGeom prst="rect">
                            <a:avLst/>
                          </a:prstGeom>
                        </pic:spPr>
                      </pic:pic>
                    </a:graphicData>
                  </a:graphic>
                </wp:inline>
              </w:drawing>
            </w:r>
          </w:p>
          <w:p w14:paraId="339E3A18" w14:textId="5ABD0762" w:rsidR="00F531EC" w:rsidRPr="004D6E25" w:rsidRDefault="00BC4AB2" w:rsidP="00E66705">
            <w:pPr>
              <w:tabs>
                <w:tab w:val="left" w:pos="3119"/>
              </w:tabs>
              <w:ind w:firstLine="0"/>
              <w:jc w:val="center"/>
              <w:rPr>
                <w:rFonts w:asciiTheme="minorHAnsi" w:hAnsiTheme="minorHAnsi" w:cstheme="minorHAnsi"/>
                <w:color w:val="262626" w:themeColor="text1" w:themeTint="D9"/>
                <w:sz w:val="28"/>
                <w:szCs w:val="28"/>
                <w:lang w:eastAsia="en-GB"/>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D6E25">
              <w:rPr>
                <w:rFonts w:asciiTheme="minorHAnsi" w:hAnsiTheme="minorHAnsi" w:cstheme="minorHAnsi"/>
                <w:noProof/>
                <w:color w:val="262626" w:themeColor="text1" w:themeTint="D9"/>
                <w:sz w:val="28"/>
                <w:szCs w:val="28"/>
                <w:lang w:eastAsia="en-GB"/>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GOSPODARKA WODNA</w:t>
            </w:r>
          </w:p>
        </w:tc>
        <w:tc>
          <w:tcPr>
            <w:tcW w:w="5232" w:type="dxa"/>
          </w:tcPr>
          <w:p w14:paraId="06CDCA3C" w14:textId="7D184D98" w:rsidR="00F531EC" w:rsidRDefault="005A25D2">
            <w:pPr>
              <w:pStyle w:val="Akapitzlist"/>
              <w:numPr>
                <w:ilvl w:val="0"/>
                <w:numId w:val="58"/>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5A25D2">
              <w:rPr>
                <w:rFonts w:cstheme="minorHAnsi"/>
                <w:sz w:val="18"/>
                <w:szCs w:val="18"/>
              </w:rPr>
              <w:t>Na terenie miasta dochodzi do</w:t>
            </w:r>
            <w:r>
              <w:rPr>
                <w:rFonts w:cstheme="minorHAnsi"/>
                <w:sz w:val="18"/>
                <w:szCs w:val="18"/>
              </w:rPr>
              <w:t xml:space="preserve"> powodzi miejskich wskutek </w:t>
            </w:r>
            <w:r w:rsidRPr="005A25D2">
              <w:rPr>
                <w:rFonts w:cstheme="minorHAnsi"/>
                <w:sz w:val="18"/>
                <w:szCs w:val="18"/>
              </w:rPr>
              <w:t xml:space="preserve">intensywnych opadów deszczu </w:t>
            </w:r>
            <w:r>
              <w:rPr>
                <w:rFonts w:cstheme="minorHAnsi"/>
                <w:sz w:val="18"/>
                <w:szCs w:val="18"/>
              </w:rPr>
              <w:t>i niewłaściwego funkcjonowania kanalizacji deszczowej</w:t>
            </w:r>
            <w:r w:rsidRPr="005A25D2">
              <w:rPr>
                <w:rFonts w:cstheme="minorHAnsi"/>
                <w:sz w:val="18"/>
                <w:szCs w:val="18"/>
              </w:rPr>
              <w:t>.</w:t>
            </w:r>
          </w:p>
          <w:p w14:paraId="4EBE896F" w14:textId="6E8F31E7" w:rsidR="005A25D2" w:rsidRDefault="0012165C">
            <w:pPr>
              <w:pStyle w:val="Akapitzlist"/>
              <w:numPr>
                <w:ilvl w:val="0"/>
                <w:numId w:val="58"/>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12165C">
              <w:rPr>
                <w:rFonts w:cstheme="minorHAnsi"/>
                <w:sz w:val="18"/>
                <w:szCs w:val="18"/>
              </w:rPr>
              <w:t>Odsetek mieszkańców korzystający</w:t>
            </w:r>
            <w:r w:rsidR="00010366">
              <w:rPr>
                <w:rFonts w:cstheme="minorHAnsi"/>
                <w:sz w:val="18"/>
                <w:szCs w:val="18"/>
              </w:rPr>
              <w:t>ch</w:t>
            </w:r>
            <w:r w:rsidRPr="0012165C">
              <w:rPr>
                <w:rFonts w:cstheme="minorHAnsi"/>
                <w:sz w:val="18"/>
                <w:szCs w:val="18"/>
              </w:rPr>
              <w:t xml:space="preserve"> z sieci wodociągowej w 2022 r. wynosił 99,4% ogółu ludności.</w:t>
            </w:r>
          </w:p>
          <w:p w14:paraId="1452708B" w14:textId="77777777" w:rsidR="0012165C" w:rsidRDefault="0012165C">
            <w:pPr>
              <w:pStyle w:val="Akapitzlist"/>
              <w:numPr>
                <w:ilvl w:val="0"/>
                <w:numId w:val="58"/>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Systematyczny wzrost zużycia wody na jednego mieszkańca i na jednego korzystającego.</w:t>
            </w:r>
          </w:p>
          <w:p w14:paraId="39B4490E" w14:textId="103400EC" w:rsidR="0012165C" w:rsidRDefault="0012165C">
            <w:pPr>
              <w:pStyle w:val="Akapitzlist"/>
              <w:numPr>
                <w:ilvl w:val="0"/>
                <w:numId w:val="58"/>
              </w:numPr>
              <w:spacing w:line="276" w:lineRule="auto"/>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12165C">
              <w:rPr>
                <w:rFonts w:cstheme="minorHAnsi"/>
                <w:sz w:val="18"/>
                <w:szCs w:val="18"/>
              </w:rPr>
              <w:t>Odsetek mieszkańców korzystający</w:t>
            </w:r>
            <w:r w:rsidR="00010366">
              <w:rPr>
                <w:rFonts w:cstheme="minorHAnsi"/>
                <w:sz w:val="18"/>
                <w:szCs w:val="18"/>
              </w:rPr>
              <w:t>ch</w:t>
            </w:r>
            <w:r w:rsidRPr="0012165C">
              <w:rPr>
                <w:rFonts w:cstheme="minorHAnsi"/>
                <w:sz w:val="18"/>
                <w:szCs w:val="18"/>
              </w:rPr>
              <w:t xml:space="preserve"> z sieci </w:t>
            </w:r>
            <w:r>
              <w:rPr>
                <w:rFonts w:cstheme="minorHAnsi"/>
                <w:sz w:val="18"/>
                <w:szCs w:val="18"/>
              </w:rPr>
              <w:t>kanalizacyjnej</w:t>
            </w:r>
            <w:r w:rsidRPr="0012165C">
              <w:rPr>
                <w:rFonts w:cstheme="minorHAnsi"/>
                <w:sz w:val="18"/>
                <w:szCs w:val="18"/>
              </w:rPr>
              <w:t xml:space="preserve"> w 2022</w:t>
            </w:r>
            <w:r w:rsidR="008566F0">
              <w:rPr>
                <w:rFonts w:cstheme="minorHAnsi"/>
                <w:sz w:val="18"/>
                <w:szCs w:val="18"/>
              </w:rPr>
              <w:t> </w:t>
            </w:r>
            <w:r w:rsidRPr="0012165C">
              <w:rPr>
                <w:rFonts w:cstheme="minorHAnsi"/>
                <w:sz w:val="18"/>
                <w:szCs w:val="18"/>
              </w:rPr>
              <w:t xml:space="preserve">r. wynosił </w:t>
            </w:r>
            <w:r>
              <w:rPr>
                <w:rFonts w:cstheme="minorHAnsi"/>
                <w:sz w:val="18"/>
                <w:szCs w:val="18"/>
              </w:rPr>
              <w:t>82</w:t>
            </w:r>
            <w:r w:rsidRPr="0012165C">
              <w:rPr>
                <w:rFonts w:cstheme="minorHAnsi"/>
                <w:sz w:val="18"/>
                <w:szCs w:val="18"/>
              </w:rPr>
              <w:t>,4% ogółu ludności.</w:t>
            </w:r>
          </w:p>
          <w:p w14:paraId="01BF0572" w14:textId="0A6B627D" w:rsidR="0012165C" w:rsidRDefault="00010366">
            <w:pPr>
              <w:pStyle w:val="Akapitzlist"/>
              <w:numPr>
                <w:ilvl w:val="0"/>
                <w:numId w:val="58"/>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Istnieje potrzeba</w:t>
            </w:r>
            <w:r w:rsidR="00E66705">
              <w:rPr>
                <w:rFonts w:cstheme="minorHAnsi"/>
                <w:sz w:val="18"/>
                <w:szCs w:val="18"/>
              </w:rPr>
              <w:t xml:space="preserve"> modernizacji i rozbudowy oczyszczalni</w:t>
            </w:r>
            <w:r>
              <w:rPr>
                <w:rFonts w:cstheme="minorHAnsi"/>
                <w:sz w:val="18"/>
                <w:szCs w:val="18"/>
              </w:rPr>
              <w:t xml:space="preserve"> ścieków</w:t>
            </w:r>
            <w:r w:rsidR="00E66705">
              <w:rPr>
                <w:rFonts w:cstheme="minorHAnsi"/>
                <w:sz w:val="18"/>
                <w:szCs w:val="18"/>
              </w:rPr>
              <w:t>.</w:t>
            </w:r>
          </w:p>
          <w:p w14:paraId="5A7B0EAD" w14:textId="77777777" w:rsidR="00E66705" w:rsidRDefault="00E66705">
            <w:pPr>
              <w:pStyle w:val="Akapitzlist"/>
              <w:numPr>
                <w:ilvl w:val="0"/>
                <w:numId w:val="58"/>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Na terenie miasta przedsiębiorstwo Bioconcept Gardenia Sp. z o.o. stanowi zagrożenie dla gospodarki wodnej i ściekowej.</w:t>
            </w:r>
          </w:p>
          <w:p w14:paraId="3196A539" w14:textId="29DE419D" w:rsidR="00010366" w:rsidRDefault="00010366">
            <w:pPr>
              <w:pStyle w:val="Akapitzlist"/>
              <w:numPr>
                <w:ilvl w:val="0"/>
                <w:numId w:val="58"/>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Stan JCWP określono jako zły lub umiarkowany.</w:t>
            </w:r>
          </w:p>
          <w:p w14:paraId="5DB86652" w14:textId="54ADFB83" w:rsidR="00E66705" w:rsidRDefault="00010366">
            <w:pPr>
              <w:pStyle w:val="Akapitzlist"/>
              <w:numPr>
                <w:ilvl w:val="0"/>
                <w:numId w:val="58"/>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010366">
              <w:rPr>
                <w:rFonts w:cstheme="minorHAnsi"/>
                <w:sz w:val="18"/>
                <w:szCs w:val="18"/>
              </w:rPr>
              <w:t xml:space="preserve">Ocena ryzyka nieosiągnięcia celu środowiskowego w przypadku </w:t>
            </w:r>
            <w:r>
              <w:rPr>
                <w:rFonts w:cstheme="minorHAnsi"/>
                <w:sz w:val="18"/>
                <w:szCs w:val="18"/>
              </w:rPr>
              <w:t xml:space="preserve">wszystkich </w:t>
            </w:r>
            <w:r w:rsidRPr="00010366">
              <w:rPr>
                <w:rFonts w:cstheme="minorHAnsi"/>
                <w:sz w:val="18"/>
                <w:szCs w:val="18"/>
              </w:rPr>
              <w:t xml:space="preserve">JCWP </w:t>
            </w:r>
            <w:r>
              <w:rPr>
                <w:rFonts w:cstheme="minorHAnsi"/>
                <w:sz w:val="18"/>
                <w:szCs w:val="18"/>
              </w:rPr>
              <w:t>została</w:t>
            </w:r>
            <w:r w:rsidRPr="00010366">
              <w:rPr>
                <w:rFonts w:cstheme="minorHAnsi"/>
                <w:sz w:val="18"/>
                <w:szCs w:val="18"/>
              </w:rPr>
              <w:t xml:space="preserve"> określona jako zagrożona</w:t>
            </w:r>
            <w:r>
              <w:rPr>
                <w:rFonts w:cstheme="minorHAnsi"/>
                <w:sz w:val="18"/>
                <w:szCs w:val="18"/>
              </w:rPr>
              <w:t>.</w:t>
            </w:r>
          </w:p>
          <w:p w14:paraId="50A7382B" w14:textId="77777777" w:rsidR="00010366" w:rsidRDefault="00010366">
            <w:pPr>
              <w:pStyle w:val="Akapitzlist"/>
              <w:numPr>
                <w:ilvl w:val="0"/>
                <w:numId w:val="58"/>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Ogólna ocena stanu JCWPd jest określona jako dobra.</w:t>
            </w:r>
          </w:p>
          <w:p w14:paraId="58276CE1" w14:textId="152BE9A6" w:rsidR="00010366" w:rsidRPr="00F17294" w:rsidRDefault="00010366">
            <w:pPr>
              <w:pStyle w:val="Akapitzlist"/>
              <w:numPr>
                <w:ilvl w:val="0"/>
                <w:numId w:val="58"/>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Łączne zagrożenia suszą dla obszaru miasta jest umiarkowane.</w:t>
            </w:r>
          </w:p>
        </w:tc>
        <w:tc>
          <w:tcPr>
            <w:tcW w:w="4309" w:type="dxa"/>
          </w:tcPr>
          <w:p w14:paraId="08EDF565" w14:textId="77777777" w:rsidR="00F531EC" w:rsidRDefault="00645C45">
            <w:pPr>
              <w:pStyle w:val="Akapitzlist"/>
              <w:numPr>
                <w:ilvl w:val="0"/>
                <w:numId w:val="69"/>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Zmiana charakterystyki opadów powodując</w:t>
            </w:r>
            <w:r w:rsidR="00591FC9">
              <w:rPr>
                <w:rFonts w:cstheme="minorHAnsi"/>
                <w:sz w:val="18"/>
                <w:szCs w:val="18"/>
              </w:rPr>
              <w:t>a</w:t>
            </w:r>
            <w:r>
              <w:rPr>
                <w:rFonts w:cstheme="minorHAnsi"/>
                <w:sz w:val="18"/>
                <w:szCs w:val="18"/>
              </w:rPr>
              <w:t xml:space="preserve"> częstsze okresy bezdeszczowe i intensywne op</w:t>
            </w:r>
            <w:r w:rsidR="00591FC9">
              <w:rPr>
                <w:rFonts w:cstheme="minorHAnsi"/>
                <w:sz w:val="18"/>
                <w:szCs w:val="18"/>
              </w:rPr>
              <w:t>ady deszczu przyczyni się wzmożenia zjawiska suszy i szybkich powodzi miejskich na omawianym obszarze.</w:t>
            </w:r>
          </w:p>
          <w:p w14:paraId="13A0C106" w14:textId="0CB26D99" w:rsidR="00591FC9" w:rsidRDefault="00872FC0">
            <w:pPr>
              <w:pStyle w:val="Akapitzlist"/>
              <w:numPr>
                <w:ilvl w:val="0"/>
                <w:numId w:val="69"/>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Występowanie powodzi miejskich może przyczynić się do degradacji systemu wodociągowego, deszczowego i kanalizacyjnego</w:t>
            </w:r>
            <w:r w:rsidR="00220149">
              <w:rPr>
                <w:rFonts w:cstheme="minorHAnsi"/>
                <w:sz w:val="18"/>
                <w:szCs w:val="18"/>
              </w:rPr>
              <w:t xml:space="preserve"> zarówno poprzez przekroczenie przepustowości oraz uszkodzenia.</w:t>
            </w:r>
          </w:p>
          <w:p w14:paraId="2423E294" w14:textId="77777777" w:rsidR="00872FC0" w:rsidRDefault="00220149">
            <w:pPr>
              <w:pStyle w:val="Akapitzlist"/>
              <w:numPr>
                <w:ilvl w:val="0"/>
                <w:numId w:val="69"/>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Wzrost średniej temperatury spowoduje zmiany w ekosystemach wodnych.</w:t>
            </w:r>
          </w:p>
          <w:p w14:paraId="005EDFEA" w14:textId="52806367" w:rsidR="000A6F14" w:rsidRDefault="000A6F14">
            <w:pPr>
              <w:pStyle w:val="Akapitzlist"/>
              <w:numPr>
                <w:ilvl w:val="0"/>
                <w:numId w:val="69"/>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Latem wzrośnie zapotrzebowanie na wodę celem podlewania upraw i ogródków przydomowych.</w:t>
            </w:r>
          </w:p>
          <w:p w14:paraId="7B88DC7C" w14:textId="0F241743" w:rsidR="00220149" w:rsidRPr="00A7191A" w:rsidRDefault="00220149">
            <w:pPr>
              <w:pStyle w:val="Akapitzlist"/>
              <w:numPr>
                <w:ilvl w:val="0"/>
                <w:numId w:val="70"/>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Brak okresów mroźnych zimą może przyczynić się do zmniejszenia awaryjności infrastruktury, powstawania zatorów, rozszczelnienia rur.</w:t>
            </w:r>
          </w:p>
        </w:tc>
        <w:tc>
          <w:tcPr>
            <w:tcW w:w="1620" w:type="dxa"/>
            <w:shd w:val="clear" w:color="auto" w:fill="FF5050"/>
            <w:vAlign w:val="center"/>
          </w:tcPr>
          <w:p w14:paraId="4C7F7EB4" w14:textId="6D15BA55" w:rsidR="00F531EC" w:rsidRPr="004D6E25" w:rsidRDefault="002521AB" w:rsidP="002521AB">
            <w:pPr>
              <w:tabs>
                <w:tab w:val="left" w:pos="3119"/>
              </w:tabs>
              <w:ind w:firstLine="0"/>
              <w:jc w:val="center"/>
              <w:cnfStyle w:val="000000010000" w:firstRow="0" w:lastRow="0" w:firstColumn="0" w:lastColumn="0" w:oddVBand="0" w:evenVBand="0" w:oddHBand="0" w:evenHBand="1" w:firstRowFirstColumn="0" w:firstRowLastColumn="0" w:lastRowFirstColumn="0" w:lastRowLastColumn="0"/>
              <w:rPr>
                <w:rFonts w:cstheme="minorHAnsi"/>
                <w:b/>
                <w:bCs/>
                <w:color w:val="auto"/>
              </w:rPr>
            </w:pPr>
            <w:r w:rsidRPr="004D6E25">
              <w:rPr>
                <w:rFonts w:cstheme="minorHAnsi"/>
                <w:b/>
                <w:bCs/>
                <w:color w:val="auto"/>
              </w:rPr>
              <w:t>WYSOKA</w:t>
            </w:r>
          </w:p>
        </w:tc>
      </w:tr>
      <w:tr w:rsidR="004439DC" w:rsidRPr="004D6E25" w14:paraId="16BEE305" w14:textId="77777777" w:rsidTr="003F0B3D">
        <w:trPr>
          <w:cnfStyle w:val="000000100000" w:firstRow="0" w:lastRow="0" w:firstColumn="0" w:lastColumn="0" w:oddVBand="0" w:evenVBand="0" w:oddHBand="1" w:evenHBand="0" w:firstRowFirstColumn="0" w:firstRowLastColumn="0" w:lastRowFirstColumn="0" w:lastRowLastColumn="0"/>
          <w:trHeight w:val="1157"/>
        </w:trPr>
        <w:tc>
          <w:tcPr>
            <w:cnfStyle w:val="001000000000" w:firstRow="0" w:lastRow="0" w:firstColumn="1" w:lastColumn="0" w:oddVBand="0" w:evenVBand="0" w:oddHBand="0" w:evenHBand="0" w:firstRowFirstColumn="0" w:firstRowLastColumn="0" w:lastRowFirstColumn="0" w:lastRowLastColumn="0"/>
            <w:tcW w:w="3240" w:type="dxa"/>
            <w:vAlign w:val="center"/>
          </w:tcPr>
          <w:p w14:paraId="6E40AA37" w14:textId="77777777" w:rsidR="004439DC" w:rsidRPr="004D6E25" w:rsidRDefault="004439DC" w:rsidP="004439DC">
            <w:pPr>
              <w:tabs>
                <w:tab w:val="left" w:pos="3119"/>
              </w:tabs>
              <w:ind w:firstLine="0"/>
              <w:jc w:val="center"/>
              <w:rPr>
                <w:rFonts w:asciiTheme="minorHAnsi" w:hAnsiTheme="minorHAnsi" w:cstheme="minorHAnsi"/>
                <w:b w:val="0"/>
                <w:noProof/>
                <w:color w:val="262626" w:themeColor="text1" w:themeTint="D9"/>
                <w:sz w:val="28"/>
                <w:szCs w:val="28"/>
                <w:lang w:eastAsia="en-GB"/>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D6E25">
              <w:rPr>
                <w:rFonts w:cstheme="minorHAnsi"/>
                <w:noProof/>
                <w:sz w:val="28"/>
                <w:szCs w:val="28"/>
                <w:lang w:eastAsia="en-GB"/>
              </w:rPr>
              <w:lastRenderedPageBreak/>
              <w:drawing>
                <wp:inline distT="0" distB="0" distL="0" distR="0" wp14:anchorId="3B0236F2" wp14:editId="5F02B6BB">
                  <wp:extent cx="914400" cy="914400"/>
                  <wp:effectExtent l="0" t="0" r="0" b="0"/>
                  <wp:docPr id="596323766" name="Grafika 4" descr="Drzewo liściaste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23766" name="Grafika 596323766" descr="Drzewo liściaste z wypełnieniem pełnym"/>
                          <pic:cNvPicPr/>
                        </pic:nvPicPr>
                        <pic:blipFill>
                          <a:blip r:embed="rId122">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914400" cy="914400"/>
                          </a:xfrm>
                          <a:prstGeom prst="rect">
                            <a:avLst/>
                          </a:prstGeom>
                        </pic:spPr>
                      </pic:pic>
                    </a:graphicData>
                  </a:graphic>
                </wp:inline>
              </w:drawing>
            </w:r>
          </w:p>
          <w:p w14:paraId="5C0310E6" w14:textId="41CEF10C" w:rsidR="004439DC" w:rsidRPr="004D6E25" w:rsidRDefault="004439DC" w:rsidP="004439DC">
            <w:pPr>
              <w:tabs>
                <w:tab w:val="left" w:pos="3119"/>
              </w:tabs>
              <w:ind w:firstLine="0"/>
              <w:jc w:val="center"/>
              <w:rPr>
                <w:rFonts w:cstheme="minorHAnsi"/>
                <w:b w:val="0"/>
                <w:noProof/>
                <w:sz w:val="28"/>
                <w:szCs w:val="28"/>
                <w:lang w:eastAsia="en-GB"/>
              </w:rPr>
            </w:pPr>
            <w:r w:rsidRPr="004D6E25">
              <w:rPr>
                <w:rFonts w:asciiTheme="minorHAnsi" w:hAnsiTheme="minorHAnsi" w:cstheme="minorHAnsi"/>
                <w:noProof/>
                <w:color w:val="262626" w:themeColor="text1" w:themeTint="D9"/>
                <w:sz w:val="28"/>
                <w:szCs w:val="28"/>
                <w:lang w:eastAsia="en-GB"/>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OBSZARY ZIELENI</w:t>
            </w:r>
          </w:p>
        </w:tc>
        <w:tc>
          <w:tcPr>
            <w:tcW w:w="5232" w:type="dxa"/>
          </w:tcPr>
          <w:p w14:paraId="06291574" w14:textId="77777777" w:rsidR="004439DC" w:rsidRDefault="004439DC">
            <w:pPr>
              <w:pStyle w:val="Akapitzlist"/>
              <w:numPr>
                <w:ilvl w:val="0"/>
                <w:numId w:val="60"/>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W Mieście Tarnogród brak jest wyznaczonych form ochrony przyrody.</w:t>
            </w:r>
          </w:p>
          <w:p w14:paraId="7128BDBB" w14:textId="77777777" w:rsidR="004439DC" w:rsidRDefault="004439DC">
            <w:pPr>
              <w:pStyle w:val="Akapitzlist"/>
              <w:numPr>
                <w:ilvl w:val="0"/>
                <w:numId w:val="60"/>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Lesistość obszaru wynosi 1,0%, w sąsiedztwie miasta występują jednak liczne lasy.</w:t>
            </w:r>
          </w:p>
          <w:p w14:paraId="4303B0C9" w14:textId="77777777" w:rsidR="004439DC" w:rsidRDefault="004439DC">
            <w:pPr>
              <w:pStyle w:val="Akapitzlist"/>
              <w:numPr>
                <w:ilvl w:val="0"/>
                <w:numId w:val="60"/>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113BC">
              <w:rPr>
                <w:rFonts w:cstheme="minorHAnsi"/>
                <w:sz w:val="18"/>
                <w:szCs w:val="18"/>
              </w:rPr>
              <w:t>Udział terenów zieleni w powierzchni ogólnej Miasta Tarnogród wynosi 0,58%</w:t>
            </w:r>
            <w:r>
              <w:rPr>
                <w:rFonts w:cstheme="minorHAnsi"/>
                <w:sz w:val="18"/>
                <w:szCs w:val="18"/>
              </w:rPr>
              <w:t xml:space="preserve"> - </w:t>
            </w:r>
            <w:r w:rsidRPr="00AE260A">
              <w:rPr>
                <w:rFonts w:cstheme="minorHAnsi"/>
                <w:sz w:val="18"/>
                <w:szCs w:val="18"/>
              </w:rPr>
              <w:t>najważniejszym obszarem zieleni jest Park miejski zlokalizowany przy ul. Rynek</w:t>
            </w:r>
            <w:r>
              <w:rPr>
                <w:rFonts w:cstheme="minorHAnsi"/>
                <w:sz w:val="18"/>
                <w:szCs w:val="18"/>
              </w:rPr>
              <w:t>.</w:t>
            </w:r>
          </w:p>
          <w:p w14:paraId="7FA1E09D" w14:textId="77777777" w:rsidR="004439DC" w:rsidRDefault="004439DC">
            <w:pPr>
              <w:pStyle w:val="Akapitzlist"/>
              <w:numPr>
                <w:ilvl w:val="0"/>
                <w:numId w:val="60"/>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N</w:t>
            </w:r>
            <w:r w:rsidRPr="00AE260A">
              <w:rPr>
                <w:rFonts w:cstheme="minorHAnsi"/>
                <w:sz w:val="18"/>
                <w:szCs w:val="18"/>
              </w:rPr>
              <w:t xml:space="preserve">a terenie Miasta Tarnogród </w:t>
            </w:r>
            <w:r>
              <w:rPr>
                <w:rFonts w:cstheme="minorHAnsi"/>
                <w:sz w:val="18"/>
                <w:szCs w:val="18"/>
              </w:rPr>
              <w:t>nie stwierdzono obecności</w:t>
            </w:r>
            <w:r w:rsidRPr="00AE260A">
              <w:rPr>
                <w:rFonts w:cstheme="minorHAnsi"/>
                <w:sz w:val="18"/>
                <w:szCs w:val="18"/>
              </w:rPr>
              <w:t xml:space="preserve"> Inwazyjnych Gatunków Obcych</w:t>
            </w:r>
            <w:r>
              <w:rPr>
                <w:rFonts w:cstheme="minorHAnsi"/>
                <w:sz w:val="18"/>
                <w:szCs w:val="18"/>
              </w:rPr>
              <w:t>.</w:t>
            </w:r>
          </w:p>
          <w:p w14:paraId="0032DFD3" w14:textId="77777777" w:rsidR="004439DC" w:rsidRDefault="004439DC">
            <w:pPr>
              <w:pStyle w:val="Akapitzlist"/>
              <w:numPr>
                <w:ilvl w:val="0"/>
                <w:numId w:val="60"/>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Na obszarze miasta istnieją 4 zbiorniki retencyjne, stanowiące obiekty małej retencji, a potencjał retencyjny miasta jest spory.</w:t>
            </w:r>
          </w:p>
          <w:p w14:paraId="7CAC3638" w14:textId="3AC14DA3" w:rsidR="004439DC" w:rsidRPr="00220149" w:rsidRDefault="004439DC">
            <w:pPr>
              <w:pStyle w:val="Akapitzlist"/>
              <w:numPr>
                <w:ilvl w:val="0"/>
                <w:numId w:val="59"/>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8566F0">
              <w:rPr>
                <w:rFonts w:cstheme="minorHAnsi"/>
                <w:sz w:val="18"/>
                <w:szCs w:val="18"/>
              </w:rPr>
              <w:t>Centrum Tarnogrodu okalają wały, cieki oraz liczne zbiorniki wodne</w:t>
            </w:r>
            <w:r>
              <w:rPr>
                <w:rFonts w:cstheme="minorHAnsi"/>
                <w:sz w:val="18"/>
                <w:szCs w:val="18"/>
              </w:rPr>
              <w:t>, stanowiące zieleń bez dodatkowego urządzania.</w:t>
            </w:r>
          </w:p>
        </w:tc>
        <w:tc>
          <w:tcPr>
            <w:tcW w:w="4309" w:type="dxa"/>
          </w:tcPr>
          <w:p w14:paraId="24CC3199" w14:textId="77777777" w:rsidR="004439DC" w:rsidRDefault="004439DC">
            <w:pPr>
              <w:pStyle w:val="Akapitzlist"/>
              <w:numPr>
                <w:ilvl w:val="0"/>
                <w:numId w:val="71"/>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Zmiana temperatury i okresów bezopadowych przyczyni się do intensyfikacji suszy, degradacji zieleni i zwiększenia ryzyka pożarów w lasach.</w:t>
            </w:r>
          </w:p>
          <w:p w14:paraId="4897721B" w14:textId="77777777" w:rsidR="004439DC" w:rsidRDefault="004439DC">
            <w:pPr>
              <w:pStyle w:val="Akapitzlist"/>
              <w:numPr>
                <w:ilvl w:val="0"/>
                <w:numId w:val="71"/>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Pojawienie się gatunków inwazyjnych, które mogą wypierać roślinność rodzimą.</w:t>
            </w:r>
          </w:p>
          <w:p w14:paraId="75014022" w14:textId="77777777" w:rsidR="004439DC" w:rsidRDefault="004439DC">
            <w:pPr>
              <w:pStyle w:val="Akapitzlist"/>
              <w:numPr>
                <w:ilvl w:val="0"/>
                <w:numId w:val="71"/>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Zmiana charakterystyki opadów i temperatury może uniemożliwić wzrost niektórym gatunkom.</w:t>
            </w:r>
          </w:p>
          <w:p w14:paraId="4C065FBF" w14:textId="77777777" w:rsidR="004439DC" w:rsidRDefault="004439DC">
            <w:pPr>
              <w:pStyle w:val="Akapitzlist"/>
              <w:numPr>
                <w:ilvl w:val="0"/>
                <w:numId w:val="71"/>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Wzrost zapotrzebowania na wodę do podlewania zieleni miejskiej.</w:t>
            </w:r>
          </w:p>
          <w:p w14:paraId="2B9404EB" w14:textId="77777777" w:rsidR="004439DC" w:rsidRDefault="004439DC">
            <w:pPr>
              <w:pStyle w:val="Akapitzlist"/>
              <w:numPr>
                <w:ilvl w:val="0"/>
                <w:numId w:val="71"/>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Ekstremalne zjawiska pogodowe spowodują zniszczenia zieleni.</w:t>
            </w:r>
          </w:p>
          <w:p w14:paraId="75A90D68" w14:textId="688D7FBD" w:rsidR="004439DC" w:rsidRDefault="004439DC">
            <w:pPr>
              <w:pStyle w:val="Akapitzlist"/>
              <w:numPr>
                <w:ilvl w:val="0"/>
                <w:numId w:val="72"/>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Możliwe może stać się hodowanie innych gatunków roślin w zmienionych warunkach klimatu.</w:t>
            </w:r>
          </w:p>
        </w:tc>
        <w:tc>
          <w:tcPr>
            <w:tcW w:w="1620" w:type="dxa"/>
            <w:shd w:val="clear" w:color="auto" w:fill="FF5050"/>
            <w:vAlign w:val="center"/>
          </w:tcPr>
          <w:p w14:paraId="717453C7" w14:textId="176A63BC" w:rsidR="004439DC" w:rsidRDefault="004439DC" w:rsidP="004439DC">
            <w:pPr>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cstheme="minorHAnsi"/>
                <w:b/>
                <w:bCs/>
                <w:color w:val="auto"/>
              </w:rPr>
            </w:pPr>
            <w:r w:rsidRPr="000C3A15">
              <w:rPr>
                <w:rFonts w:cstheme="minorHAnsi"/>
                <w:b/>
                <w:bCs/>
                <w:color w:val="auto"/>
              </w:rPr>
              <w:t>WYSOKA</w:t>
            </w:r>
          </w:p>
        </w:tc>
      </w:tr>
      <w:tr w:rsidR="00F531EC" w:rsidRPr="004D6E25" w14:paraId="5A1883C7" w14:textId="77777777" w:rsidTr="003F0B3D">
        <w:trPr>
          <w:cnfStyle w:val="000000010000" w:firstRow="0" w:lastRow="0" w:firstColumn="0" w:lastColumn="0" w:oddVBand="0" w:evenVBand="0" w:oddHBand="0" w:evenHBand="1" w:firstRowFirstColumn="0" w:firstRowLastColumn="0" w:lastRowFirstColumn="0" w:lastRowLastColumn="0"/>
          <w:trHeight w:val="1157"/>
        </w:trPr>
        <w:tc>
          <w:tcPr>
            <w:cnfStyle w:val="001000000000" w:firstRow="0" w:lastRow="0" w:firstColumn="1" w:lastColumn="0" w:oddVBand="0" w:evenVBand="0" w:oddHBand="0" w:evenHBand="0" w:firstRowFirstColumn="0" w:firstRowLastColumn="0" w:lastRowFirstColumn="0" w:lastRowLastColumn="0"/>
            <w:tcW w:w="3240" w:type="dxa"/>
            <w:vAlign w:val="center"/>
          </w:tcPr>
          <w:p w14:paraId="7BD172E9" w14:textId="7F4416B2" w:rsidR="00BC4AB2" w:rsidRPr="004D6E25" w:rsidRDefault="00BC4AB2" w:rsidP="00F9121C">
            <w:pPr>
              <w:tabs>
                <w:tab w:val="left" w:pos="3119"/>
              </w:tabs>
              <w:ind w:firstLine="0"/>
              <w:jc w:val="center"/>
              <w:rPr>
                <w:rFonts w:asciiTheme="minorHAnsi" w:hAnsiTheme="minorHAnsi" w:cstheme="minorHAnsi"/>
                <w:b w:val="0"/>
                <w:noProof/>
                <w:color w:val="262626" w:themeColor="text1" w:themeTint="D9"/>
                <w:sz w:val="28"/>
                <w:szCs w:val="28"/>
                <w:lang w:eastAsia="en-GB"/>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D6E25">
              <w:rPr>
                <w:rFonts w:cstheme="minorHAnsi"/>
                <w:noProof/>
                <w:sz w:val="28"/>
                <w:szCs w:val="28"/>
                <w:lang w:eastAsia="en-GB"/>
              </w:rPr>
              <w:drawing>
                <wp:inline distT="0" distB="0" distL="0" distR="0" wp14:anchorId="7227A8D7" wp14:editId="70547034">
                  <wp:extent cx="914400" cy="914400"/>
                  <wp:effectExtent l="0" t="0" r="0" b="0"/>
                  <wp:docPr id="655320987" name="Grafika 3" descr="Rolnictwo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20987" name="Grafika 655320987" descr="Rolnictwo z wypełnieniem pełnym"/>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914400" cy="914400"/>
                          </a:xfrm>
                          <a:prstGeom prst="rect">
                            <a:avLst/>
                          </a:prstGeom>
                        </pic:spPr>
                      </pic:pic>
                    </a:graphicData>
                  </a:graphic>
                </wp:inline>
              </w:drawing>
            </w:r>
          </w:p>
          <w:p w14:paraId="367691B4" w14:textId="7B9AC701" w:rsidR="00F531EC" w:rsidRPr="004D6E25" w:rsidRDefault="00BC4AB2" w:rsidP="00F9121C">
            <w:pPr>
              <w:tabs>
                <w:tab w:val="left" w:pos="3119"/>
              </w:tabs>
              <w:ind w:firstLine="0"/>
              <w:jc w:val="center"/>
              <w:rPr>
                <w:rFonts w:asciiTheme="minorHAnsi" w:hAnsiTheme="minorHAnsi" w:cstheme="minorHAnsi"/>
                <w:color w:val="262626" w:themeColor="text1" w:themeTint="D9"/>
                <w:sz w:val="28"/>
                <w:szCs w:val="28"/>
                <w:lang w:eastAsia="en-GB"/>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D6E25">
              <w:rPr>
                <w:rFonts w:asciiTheme="minorHAnsi" w:hAnsiTheme="minorHAnsi" w:cstheme="minorHAnsi"/>
                <w:noProof/>
                <w:color w:val="262626" w:themeColor="text1" w:themeTint="D9"/>
                <w:sz w:val="28"/>
                <w:szCs w:val="28"/>
                <w:lang w:eastAsia="en-GB"/>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ROLNICTWO</w:t>
            </w:r>
          </w:p>
        </w:tc>
        <w:tc>
          <w:tcPr>
            <w:tcW w:w="5232" w:type="dxa"/>
          </w:tcPr>
          <w:p w14:paraId="4A3581FC" w14:textId="77777777" w:rsidR="00F531EC" w:rsidRDefault="00220149">
            <w:pPr>
              <w:pStyle w:val="Akapitzlist"/>
              <w:numPr>
                <w:ilvl w:val="0"/>
                <w:numId w:val="59"/>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220149">
              <w:rPr>
                <w:rFonts w:cstheme="minorHAnsi"/>
                <w:sz w:val="18"/>
                <w:szCs w:val="18"/>
              </w:rPr>
              <w:t>Na terenie Miasta Tarnogród znajduje się łącznie 924 ha użytków rolnych, z czego 615 ha to grunty orne.</w:t>
            </w:r>
          </w:p>
          <w:p w14:paraId="01D3CF7F" w14:textId="6FA702C8" w:rsidR="00F9121C" w:rsidRDefault="00F9121C">
            <w:pPr>
              <w:pStyle w:val="Akapitzlist"/>
              <w:numPr>
                <w:ilvl w:val="0"/>
                <w:numId w:val="59"/>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W 2022 roku na terenie miasta istniało 8 podmiotów gospodarczych zarejestrowanych w sekcji rolnictwa.</w:t>
            </w:r>
          </w:p>
          <w:p w14:paraId="5A062924" w14:textId="77777777" w:rsidR="00220149" w:rsidRDefault="00220149">
            <w:pPr>
              <w:pStyle w:val="Akapitzlist"/>
              <w:numPr>
                <w:ilvl w:val="0"/>
                <w:numId w:val="59"/>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Miasto zagrożone jest suszą rolniczą w stopniu słabym.</w:t>
            </w:r>
          </w:p>
          <w:p w14:paraId="22C6144C" w14:textId="77777777" w:rsidR="00220149" w:rsidRDefault="00F9121C">
            <w:pPr>
              <w:pStyle w:val="Akapitzlist"/>
              <w:numPr>
                <w:ilvl w:val="0"/>
                <w:numId w:val="59"/>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Uprawy rolne znajdują się głównie na obrzeżach miasta, a zabudowa antropogeniczna koncentruje się w centrum.</w:t>
            </w:r>
          </w:p>
          <w:p w14:paraId="7DC06716" w14:textId="5548A407" w:rsidR="00F9121C" w:rsidRPr="00220149" w:rsidRDefault="000A6F14">
            <w:pPr>
              <w:pStyle w:val="Akapitzlist"/>
              <w:numPr>
                <w:ilvl w:val="0"/>
                <w:numId w:val="59"/>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Istnieje możliwość zagospodarowania gruntów rolnych pod tereny zieleni.</w:t>
            </w:r>
          </w:p>
        </w:tc>
        <w:tc>
          <w:tcPr>
            <w:tcW w:w="4309" w:type="dxa"/>
          </w:tcPr>
          <w:p w14:paraId="32F4B2EF" w14:textId="77777777" w:rsidR="00F531EC" w:rsidRDefault="000A6F14">
            <w:pPr>
              <w:pStyle w:val="Akapitzlist"/>
              <w:numPr>
                <w:ilvl w:val="0"/>
                <w:numId w:val="73"/>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Wskutek wzrostu temperatury i zmiany charakterystyki opadów wzrośnie zjawisko suszy, co przyczyni się również do wzrostu zapotrzebowania na wodę.</w:t>
            </w:r>
          </w:p>
          <w:p w14:paraId="50BEF9A3" w14:textId="33030045" w:rsidR="000A6F14" w:rsidRDefault="00A113BC">
            <w:pPr>
              <w:pStyle w:val="Akapitzlist"/>
              <w:numPr>
                <w:ilvl w:val="0"/>
                <w:numId w:val="73"/>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Anomalie pogodowe i ekstremalne zjawiska pogodowe będą prowadzić do strat w uprawach (przymrozki, burze z gradem).</w:t>
            </w:r>
          </w:p>
          <w:p w14:paraId="1B5E1C24" w14:textId="45CD0D6C" w:rsidR="00A113BC" w:rsidRDefault="00A113BC">
            <w:pPr>
              <w:pStyle w:val="Akapitzlist"/>
              <w:numPr>
                <w:ilvl w:val="0"/>
                <w:numId w:val="73"/>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Zmiany klimatu spowodują intensyfikację działalności szkodnik</w:t>
            </w:r>
            <w:r w:rsidR="00900DF9">
              <w:rPr>
                <w:rFonts w:cstheme="minorHAnsi"/>
                <w:sz w:val="18"/>
                <w:szCs w:val="18"/>
              </w:rPr>
              <w:t>ów</w:t>
            </w:r>
            <w:r>
              <w:rPr>
                <w:rFonts w:cstheme="minorHAnsi"/>
                <w:sz w:val="18"/>
                <w:szCs w:val="18"/>
              </w:rPr>
              <w:t>.</w:t>
            </w:r>
          </w:p>
          <w:p w14:paraId="593FC475" w14:textId="1D069065" w:rsidR="00A113BC" w:rsidRPr="000A6F14" w:rsidRDefault="00A113BC">
            <w:pPr>
              <w:pStyle w:val="Akapitzlist"/>
              <w:numPr>
                <w:ilvl w:val="0"/>
                <w:numId w:val="59"/>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Możliwe mogą być uprawy innych roślin wskutek zmiany okresu wegetacji i warunków klimatycznych.</w:t>
            </w:r>
          </w:p>
        </w:tc>
        <w:tc>
          <w:tcPr>
            <w:tcW w:w="1620" w:type="dxa"/>
            <w:shd w:val="clear" w:color="auto" w:fill="FFC000"/>
            <w:vAlign w:val="center"/>
          </w:tcPr>
          <w:p w14:paraId="7E6093F1" w14:textId="50E936E3" w:rsidR="00F531EC" w:rsidRPr="004D6E25" w:rsidRDefault="008566F0" w:rsidP="008566F0">
            <w:pPr>
              <w:tabs>
                <w:tab w:val="left" w:pos="3119"/>
              </w:tabs>
              <w:ind w:firstLine="0"/>
              <w:jc w:val="center"/>
              <w:cnfStyle w:val="000000010000" w:firstRow="0" w:lastRow="0" w:firstColumn="0" w:lastColumn="0" w:oddVBand="0" w:evenVBand="0" w:oddHBand="0" w:evenHBand="1" w:firstRowFirstColumn="0" w:firstRowLastColumn="0" w:lastRowFirstColumn="0" w:lastRowLastColumn="0"/>
              <w:rPr>
                <w:rFonts w:cstheme="minorHAnsi"/>
                <w:b/>
                <w:bCs/>
                <w:color w:val="auto"/>
              </w:rPr>
            </w:pPr>
            <w:r>
              <w:rPr>
                <w:rFonts w:cstheme="minorHAnsi"/>
                <w:b/>
                <w:bCs/>
                <w:color w:val="auto"/>
              </w:rPr>
              <w:t>ŚREDNIA</w:t>
            </w:r>
          </w:p>
        </w:tc>
      </w:tr>
      <w:tr w:rsidR="00F531EC" w:rsidRPr="004D6E25" w14:paraId="021324DD" w14:textId="77777777" w:rsidTr="003F0B3D">
        <w:trPr>
          <w:cnfStyle w:val="000000100000" w:firstRow="0" w:lastRow="0" w:firstColumn="0" w:lastColumn="0" w:oddVBand="0" w:evenVBand="0" w:oddHBand="1" w:evenHBand="0" w:firstRowFirstColumn="0" w:firstRowLastColumn="0" w:lastRowFirstColumn="0" w:lastRowLastColumn="0"/>
          <w:trHeight w:val="1157"/>
        </w:trPr>
        <w:tc>
          <w:tcPr>
            <w:cnfStyle w:val="001000000000" w:firstRow="0" w:lastRow="0" w:firstColumn="1" w:lastColumn="0" w:oddVBand="0" w:evenVBand="0" w:oddHBand="0" w:evenHBand="0" w:firstRowFirstColumn="0" w:firstRowLastColumn="0" w:lastRowFirstColumn="0" w:lastRowLastColumn="0"/>
            <w:tcW w:w="3240" w:type="dxa"/>
            <w:vAlign w:val="center"/>
          </w:tcPr>
          <w:p w14:paraId="7CD399F5" w14:textId="46E9347F" w:rsidR="00BC4AB2" w:rsidRPr="004D6E25" w:rsidRDefault="00BC4AB2" w:rsidP="00AE260A">
            <w:pPr>
              <w:tabs>
                <w:tab w:val="left" w:pos="3119"/>
              </w:tabs>
              <w:ind w:firstLine="0"/>
              <w:jc w:val="center"/>
              <w:rPr>
                <w:rFonts w:asciiTheme="minorHAnsi" w:hAnsiTheme="minorHAnsi" w:cstheme="minorHAnsi"/>
                <w:b w:val="0"/>
                <w:noProof/>
                <w:color w:val="262626" w:themeColor="text1" w:themeTint="D9"/>
                <w:sz w:val="28"/>
                <w:szCs w:val="28"/>
                <w:lang w:eastAsia="en-GB"/>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D6E25">
              <w:rPr>
                <w:rFonts w:cstheme="minorHAnsi"/>
                <w:noProof/>
                <w:sz w:val="28"/>
                <w:szCs w:val="28"/>
                <w:lang w:eastAsia="en-GB"/>
              </w:rPr>
              <w:drawing>
                <wp:inline distT="0" distB="0" distL="0" distR="0" wp14:anchorId="7B8FD003" wp14:editId="4F41FD83">
                  <wp:extent cx="914400" cy="914400"/>
                  <wp:effectExtent l="0" t="0" r="0" b="0"/>
                  <wp:docPr id="414686784" name="Grafika 5" descr="Wycieczk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86784" name="Grafika 414686784" descr="Wycieczka z wypełnieniem pełnym"/>
                          <pic:cNvPicPr/>
                        </pic:nvPicPr>
                        <pic:blipFill>
                          <a:blip r:embed="rId126">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914400" cy="914400"/>
                          </a:xfrm>
                          <a:prstGeom prst="rect">
                            <a:avLst/>
                          </a:prstGeom>
                        </pic:spPr>
                      </pic:pic>
                    </a:graphicData>
                  </a:graphic>
                </wp:inline>
              </w:drawing>
            </w:r>
          </w:p>
          <w:p w14:paraId="0F250E5C" w14:textId="31593331" w:rsidR="00F531EC" w:rsidRPr="004D6E25" w:rsidRDefault="00BC4AB2" w:rsidP="00AE260A">
            <w:pPr>
              <w:tabs>
                <w:tab w:val="left" w:pos="3119"/>
              </w:tabs>
              <w:ind w:firstLine="0"/>
              <w:jc w:val="center"/>
              <w:rPr>
                <w:rFonts w:asciiTheme="minorHAnsi" w:hAnsiTheme="minorHAnsi" w:cstheme="minorHAnsi"/>
                <w:color w:val="262626" w:themeColor="text1" w:themeTint="D9"/>
                <w:sz w:val="28"/>
                <w:szCs w:val="28"/>
                <w:lang w:eastAsia="en-GB"/>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D6E25">
              <w:rPr>
                <w:rFonts w:asciiTheme="minorHAnsi" w:hAnsiTheme="minorHAnsi" w:cstheme="minorHAnsi"/>
                <w:noProof/>
                <w:color w:val="262626" w:themeColor="text1" w:themeTint="D9"/>
                <w:sz w:val="28"/>
                <w:szCs w:val="28"/>
                <w:lang w:eastAsia="en-GB"/>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TURYSTYKA I DZIE</w:t>
            </w:r>
            <w:r w:rsidR="005B31C2" w:rsidRPr="004D6E25">
              <w:rPr>
                <w:rFonts w:asciiTheme="minorHAnsi" w:hAnsiTheme="minorHAnsi" w:cstheme="minorHAnsi"/>
                <w:noProof/>
                <w:color w:val="262626" w:themeColor="text1" w:themeTint="D9"/>
                <w:sz w:val="28"/>
                <w:szCs w:val="28"/>
                <w:lang w:eastAsia="en-GB"/>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DZIC</w:t>
            </w:r>
            <w:r w:rsidRPr="004D6E25">
              <w:rPr>
                <w:rFonts w:asciiTheme="minorHAnsi" w:hAnsiTheme="minorHAnsi" w:cstheme="minorHAnsi"/>
                <w:noProof/>
                <w:color w:val="262626" w:themeColor="text1" w:themeTint="D9"/>
                <w:sz w:val="28"/>
                <w:szCs w:val="28"/>
                <w:lang w:eastAsia="en-GB"/>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TWO KULTUROWE</w:t>
            </w:r>
          </w:p>
        </w:tc>
        <w:tc>
          <w:tcPr>
            <w:tcW w:w="5232" w:type="dxa"/>
          </w:tcPr>
          <w:p w14:paraId="23AA33BD" w14:textId="77777777" w:rsidR="00F531EC" w:rsidRDefault="009429DB">
            <w:pPr>
              <w:pStyle w:val="Akapitzlist"/>
              <w:numPr>
                <w:ilvl w:val="0"/>
                <w:numId w:val="61"/>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D</w:t>
            </w:r>
            <w:r w:rsidRPr="009429DB">
              <w:rPr>
                <w:rFonts w:cstheme="minorHAnsi"/>
                <w:sz w:val="18"/>
                <w:szCs w:val="18"/>
              </w:rPr>
              <w:t>ziałalność związana z zakwaterowaniem i usługami gastronomicznymi stanowi 1,7% wszystkich podmiotów funkcjonujących na terenie Miasta Tarnogród</w:t>
            </w:r>
            <w:r>
              <w:rPr>
                <w:rFonts w:cstheme="minorHAnsi"/>
                <w:sz w:val="18"/>
                <w:szCs w:val="18"/>
              </w:rPr>
              <w:t>.</w:t>
            </w:r>
          </w:p>
          <w:p w14:paraId="42E47C22" w14:textId="77777777" w:rsidR="009429DB" w:rsidRDefault="009429DB">
            <w:pPr>
              <w:pStyle w:val="Akapitzlist"/>
              <w:numPr>
                <w:ilvl w:val="0"/>
                <w:numId w:val="61"/>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429DB">
              <w:rPr>
                <w:rFonts w:cstheme="minorHAnsi"/>
                <w:sz w:val="18"/>
                <w:szCs w:val="18"/>
              </w:rPr>
              <w:t>Atrakcyjne położenie Tarnogrodu stwarza dogodne warunki do rozwoju specyficznych form rekreacji, takich jak turystyka piesza, rowerowa oraz wypoczynkowa</w:t>
            </w:r>
            <w:r>
              <w:rPr>
                <w:rFonts w:cstheme="minorHAnsi"/>
                <w:sz w:val="18"/>
                <w:szCs w:val="18"/>
              </w:rPr>
              <w:t>.</w:t>
            </w:r>
          </w:p>
          <w:p w14:paraId="1A0FF058" w14:textId="77777777" w:rsidR="009429DB" w:rsidRDefault="009429DB">
            <w:pPr>
              <w:pStyle w:val="Akapitzlist"/>
              <w:numPr>
                <w:ilvl w:val="0"/>
                <w:numId w:val="61"/>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429DB">
              <w:rPr>
                <w:rFonts w:cstheme="minorHAnsi"/>
                <w:sz w:val="18"/>
                <w:szCs w:val="18"/>
              </w:rPr>
              <w:t>Zagospodarowanie</w:t>
            </w:r>
            <w:r>
              <w:rPr>
                <w:rFonts w:cstheme="minorHAnsi"/>
                <w:sz w:val="18"/>
                <w:szCs w:val="18"/>
              </w:rPr>
              <w:t xml:space="preserve"> t</w:t>
            </w:r>
            <w:r w:rsidRPr="009429DB">
              <w:rPr>
                <w:rFonts w:cstheme="minorHAnsi"/>
                <w:sz w:val="18"/>
                <w:szCs w:val="18"/>
              </w:rPr>
              <w:t>erenów poprzez nadanie im funkcji publicznych może przyczynić się do wzrostu znaczenia Tarnogrodu w turystyce.</w:t>
            </w:r>
          </w:p>
          <w:p w14:paraId="1BA49CCA" w14:textId="09D6C4DD" w:rsidR="009429DB" w:rsidRPr="009429DB" w:rsidRDefault="009429DB">
            <w:pPr>
              <w:pStyle w:val="Akapitzlist"/>
              <w:numPr>
                <w:ilvl w:val="0"/>
                <w:numId w:val="61"/>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9429DB">
              <w:rPr>
                <w:rFonts w:cstheme="minorHAnsi"/>
                <w:sz w:val="18"/>
                <w:szCs w:val="18"/>
              </w:rPr>
              <w:t>Jednym z kluczowych wyzwań jest wykorzystanie potencjałów i walorów przyrodniczo-krajobrazowych obszarów dla rozwoju turystyki</w:t>
            </w:r>
            <w:r>
              <w:rPr>
                <w:rFonts w:cstheme="minorHAnsi"/>
                <w:sz w:val="18"/>
                <w:szCs w:val="18"/>
              </w:rPr>
              <w:t>.</w:t>
            </w:r>
          </w:p>
        </w:tc>
        <w:tc>
          <w:tcPr>
            <w:tcW w:w="4309" w:type="dxa"/>
          </w:tcPr>
          <w:p w14:paraId="2BBDAC8E" w14:textId="77777777" w:rsidR="00F531EC" w:rsidRDefault="000C5901">
            <w:pPr>
              <w:pStyle w:val="Akapitzlist"/>
              <w:numPr>
                <w:ilvl w:val="0"/>
                <w:numId w:val="74"/>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Degradacja środowiska przyczyni się do obniżenia walorów turystycznych regionu.</w:t>
            </w:r>
          </w:p>
          <w:p w14:paraId="4D9530E7" w14:textId="10E7E91A" w:rsidR="000C5901" w:rsidRDefault="000C5901">
            <w:pPr>
              <w:pStyle w:val="Akapitzlist"/>
              <w:numPr>
                <w:ilvl w:val="0"/>
                <w:numId w:val="74"/>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Ekstremalne zjawiska pogodowe mogą powodować zniszczenia infrastruktury turystycznej oraz zabytków.</w:t>
            </w:r>
          </w:p>
          <w:p w14:paraId="5D451431" w14:textId="77777777" w:rsidR="000C5901" w:rsidRDefault="000C5901">
            <w:pPr>
              <w:pStyle w:val="Akapitzlist"/>
              <w:numPr>
                <w:ilvl w:val="0"/>
                <w:numId w:val="74"/>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Narażenie turystów na zmiany klimatu, którym potencjalnie trzeba będzie zapewnić opiekę.</w:t>
            </w:r>
          </w:p>
          <w:p w14:paraId="151FC229" w14:textId="3D545044" w:rsidR="000C5901" w:rsidRPr="000C5901" w:rsidRDefault="000C5901">
            <w:pPr>
              <w:pStyle w:val="Akapitzlist"/>
              <w:numPr>
                <w:ilvl w:val="0"/>
                <w:numId w:val="61"/>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Wydłużenie okresu turystycznego.</w:t>
            </w:r>
          </w:p>
        </w:tc>
        <w:tc>
          <w:tcPr>
            <w:tcW w:w="1620" w:type="dxa"/>
            <w:shd w:val="clear" w:color="auto" w:fill="FFC000"/>
            <w:vAlign w:val="center"/>
          </w:tcPr>
          <w:p w14:paraId="7E684B06" w14:textId="5E6FA839" w:rsidR="00F531EC" w:rsidRPr="000C5901" w:rsidRDefault="000C5901" w:rsidP="000C5901">
            <w:pPr>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cstheme="minorHAnsi"/>
                <w:b/>
                <w:bCs/>
                <w:color w:val="auto"/>
                <w:sz w:val="18"/>
                <w:szCs w:val="18"/>
              </w:rPr>
            </w:pPr>
            <w:r w:rsidRPr="000C5901">
              <w:rPr>
                <w:rFonts w:cstheme="minorHAnsi"/>
                <w:b/>
                <w:bCs/>
                <w:color w:val="auto"/>
              </w:rPr>
              <w:t>ŚREDNIA</w:t>
            </w:r>
          </w:p>
        </w:tc>
      </w:tr>
      <w:tr w:rsidR="00F7307E" w:rsidRPr="004D6E25" w14:paraId="5DA23D65" w14:textId="77777777" w:rsidTr="003F0B3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vAlign w:val="center"/>
          </w:tcPr>
          <w:p w14:paraId="6A626EFF" w14:textId="1E863E05" w:rsidR="00BC4AB2" w:rsidRPr="004D6E25" w:rsidRDefault="00297203" w:rsidP="00AE260A">
            <w:pPr>
              <w:tabs>
                <w:tab w:val="left" w:pos="3119"/>
              </w:tabs>
              <w:ind w:firstLine="0"/>
              <w:jc w:val="center"/>
              <w:rPr>
                <w:rFonts w:asciiTheme="minorHAnsi" w:hAnsiTheme="minorHAnsi" w:cstheme="minorHAnsi"/>
                <w:b w:val="0"/>
                <w:noProof/>
                <w:color w:val="262626" w:themeColor="text1" w:themeTint="D9"/>
                <w:sz w:val="28"/>
                <w:szCs w:val="28"/>
                <w:lang w:eastAsia="en-GB"/>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D6E25">
              <w:rPr>
                <w:rFonts w:cstheme="minorHAnsi"/>
                <w:noProof/>
                <w:sz w:val="28"/>
                <w:szCs w:val="28"/>
                <w:lang w:eastAsia="en-GB"/>
              </w:rPr>
              <w:lastRenderedPageBreak/>
              <w:drawing>
                <wp:inline distT="0" distB="0" distL="0" distR="0" wp14:anchorId="1F0610AC" wp14:editId="7657B5A5">
                  <wp:extent cx="914400" cy="914400"/>
                  <wp:effectExtent l="0" t="0" r="0" b="0"/>
                  <wp:docPr id="1614368244" name="Grafika 7" descr="Energia odnawialn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4368244" name="Grafika 1614368244" descr="Energia odnawialna z wypełnieniem pełnym"/>
                          <pic:cNvPicPr/>
                        </pic:nvPicPr>
                        <pic:blipFill>
                          <a:blip r:embed="rId128">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914400" cy="914400"/>
                          </a:xfrm>
                          <a:prstGeom prst="rect">
                            <a:avLst/>
                          </a:prstGeom>
                        </pic:spPr>
                      </pic:pic>
                    </a:graphicData>
                  </a:graphic>
                </wp:inline>
              </w:drawing>
            </w:r>
          </w:p>
          <w:p w14:paraId="50467F95" w14:textId="4AD86333" w:rsidR="001B1B47" w:rsidRPr="004D6E25" w:rsidRDefault="00BC4AB2" w:rsidP="00AE260A">
            <w:pPr>
              <w:tabs>
                <w:tab w:val="left" w:pos="3119"/>
              </w:tabs>
              <w:ind w:firstLine="0"/>
              <w:jc w:val="center"/>
              <w:rPr>
                <w:rFonts w:asciiTheme="minorHAnsi" w:hAnsiTheme="minorHAnsi" w:cstheme="minorHAnsi"/>
                <w:color w:val="262626" w:themeColor="text1" w:themeTint="D9"/>
                <w:sz w:val="28"/>
                <w:szCs w:val="2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D6E25">
              <w:rPr>
                <w:rFonts w:asciiTheme="minorHAnsi" w:hAnsiTheme="minorHAnsi" w:cstheme="minorHAnsi"/>
                <w:noProof/>
                <w:color w:val="262626" w:themeColor="text1" w:themeTint="D9"/>
                <w:sz w:val="28"/>
                <w:szCs w:val="28"/>
                <w:lang w:eastAsia="en-GB"/>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ENERGETYKA</w:t>
            </w:r>
          </w:p>
        </w:tc>
        <w:tc>
          <w:tcPr>
            <w:tcW w:w="5232" w:type="dxa"/>
          </w:tcPr>
          <w:p w14:paraId="1AA6DC45" w14:textId="77777777" w:rsidR="001B1B47" w:rsidRDefault="006073B7">
            <w:pPr>
              <w:pStyle w:val="Akapitzlist"/>
              <w:numPr>
                <w:ilvl w:val="0"/>
                <w:numId w:val="63"/>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073B7">
              <w:rPr>
                <w:rFonts w:cstheme="minorHAnsi"/>
                <w:sz w:val="18"/>
                <w:szCs w:val="18"/>
              </w:rPr>
              <w:t>Procent ogółu mieszkańców miasta, jaki korzysta z instalacji gazowej, to 78,4%.</w:t>
            </w:r>
          </w:p>
          <w:p w14:paraId="59A814EC" w14:textId="77777777" w:rsidR="006073B7" w:rsidRDefault="006073B7">
            <w:pPr>
              <w:pStyle w:val="Akapitzlist"/>
              <w:numPr>
                <w:ilvl w:val="0"/>
                <w:numId w:val="63"/>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Zużycie gazu na jednego mieszkańca i jednego korzystającego utrzymuje się na podobnym poziomie.</w:t>
            </w:r>
          </w:p>
          <w:p w14:paraId="533E4AEF" w14:textId="17CD9116" w:rsidR="006073B7" w:rsidRDefault="006073B7">
            <w:pPr>
              <w:pStyle w:val="Akapitzlist"/>
              <w:numPr>
                <w:ilvl w:val="0"/>
                <w:numId w:val="63"/>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073B7">
              <w:rPr>
                <w:rFonts w:cstheme="minorHAnsi"/>
                <w:sz w:val="18"/>
                <w:szCs w:val="18"/>
              </w:rPr>
              <w:t>Na terenie Miasta Tarnogród występuje złoże gazu ziemnego</w:t>
            </w:r>
            <w:r>
              <w:rPr>
                <w:rFonts w:cstheme="minorHAnsi"/>
                <w:sz w:val="18"/>
                <w:szCs w:val="18"/>
              </w:rPr>
              <w:t>.</w:t>
            </w:r>
          </w:p>
          <w:p w14:paraId="666BB1AC" w14:textId="4256FA4A" w:rsidR="00286D10" w:rsidRDefault="00286D10">
            <w:pPr>
              <w:pStyle w:val="Akapitzlist"/>
              <w:numPr>
                <w:ilvl w:val="0"/>
                <w:numId w:val="63"/>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Brak jest sieci ciepłowniczej. Ciepło w indywidualnych źródłach pozyskiwane jest z: pelletu, drewna i gazu.</w:t>
            </w:r>
          </w:p>
          <w:p w14:paraId="16669A83" w14:textId="77777777" w:rsidR="006073B7" w:rsidRDefault="006073B7">
            <w:pPr>
              <w:pStyle w:val="Akapitzlist"/>
              <w:numPr>
                <w:ilvl w:val="0"/>
                <w:numId w:val="63"/>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W</w:t>
            </w:r>
            <w:r w:rsidRPr="006073B7">
              <w:rPr>
                <w:rFonts w:cstheme="minorHAnsi"/>
                <w:sz w:val="18"/>
                <w:szCs w:val="18"/>
              </w:rPr>
              <w:t xml:space="preserve"> strukturze mieszkań najwięcej jest takich, które wybudowane były w latach 1989-2002 oraz w latach 70</w:t>
            </w:r>
            <w:r>
              <w:rPr>
                <w:rFonts w:cstheme="minorHAnsi"/>
                <w:sz w:val="18"/>
                <w:szCs w:val="18"/>
              </w:rPr>
              <w:t>.</w:t>
            </w:r>
          </w:p>
          <w:p w14:paraId="4DA7E272" w14:textId="77777777" w:rsidR="006073B7" w:rsidRDefault="00286D10">
            <w:pPr>
              <w:pStyle w:val="Akapitzlist"/>
              <w:numPr>
                <w:ilvl w:val="0"/>
                <w:numId w:val="63"/>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W 2022 roku nastąpił znaczy spadek zużycia energii elektrycznej na jednego mieszkańca i jest on niższy, niż średnia dla Polski.</w:t>
            </w:r>
          </w:p>
          <w:p w14:paraId="3F657711" w14:textId="77777777" w:rsidR="00286D10" w:rsidRDefault="00286D10">
            <w:pPr>
              <w:pStyle w:val="Akapitzlist"/>
              <w:numPr>
                <w:ilvl w:val="0"/>
                <w:numId w:val="63"/>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W mieście istnieje 245 szt. instalacji OZE (w tym 242 szt. mikroinstalacji).</w:t>
            </w:r>
          </w:p>
          <w:p w14:paraId="634BF5A5" w14:textId="77777777" w:rsidR="00286D10" w:rsidRDefault="00286D10">
            <w:pPr>
              <w:pStyle w:val="Akapitzlist"/>
              <w:numPr>
                <w:ilvl w:val="0"/>
                <w:numId w:val="63"/>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286D10">
              <w:rPr>
                <w:rFonts w:cstheme="minorHAnsi"/>
                <w:sz w:val="18"/>
                <w:szCs w:val="18"/>
              </w:rPr>
              <w:t>Gmina Tarnogród nie jest obecnie częścią żadnej formy energetyki rozproszonej i obywatelskiej</w:t>
            </w:r>
            <w:r>
              <w:rPr>
                <w:rFonts w:cstheme="minorHAnsi"/>
                <w:sz w:val="18"/>
                <w:szCs w:val="18"/>
              </w:rPr>
              <w:t>.</w:t>
            </w:r>
          </w:p>
          <w:p w14:paraId="05BD11C0" w14:textId="58619DAC" w:rsidR="00286D10" w:rsidRPr="00B8188B" w:rsidRDefault="00286D10">
            <w:pPr>
              <w:pStyle w:val="Akapitzlist"/>
              <w:numPr>
                <w:ilvl w:val="0"/>
                <w:numId w:val="63"/>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Oprawy LED stanowią niespełna 14% wszystkich opraw świetlnych w mieście.</w:t>
            </w:r>
          </w:p>
        </w:tc>
        <w:tc>
          <w:tcPr>
            <w:tcW w:w="4309" w:type="dxa"/>
          </w:tcPr>
          <w:p w14:paraId="4EC2E15B" w14:textId="2995AAC1" w:rsidR="00B8188B" w:rsidRDefault="00B8188B">
            <w:pPr>
              <w:pStyle w:val="Akapitzlist"/>
              <w:numPr>
                <w:ilvl w:val="0"/>
                <w:numId w:val="64"/>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B8188B">
              <w:rPr>
                <w:rFonts w:cstheme="minorHAnsi"/>
                <w:sz w:val="18"/>
                <w:szCs w:val="18"/>
              </w:rPr>
              <w:t xml:space="preserve">Zniszczenia infrastruktury </w:t>
            </w:r>
            <w:r w:rsidR="00F7307E">
              <w:rPr>
                <w:rFonts w:cstheme="minorHAnsi"/>
                <w:sz w:val="18"/>
                <w:szCs w:val="18"/>
              </w:rPr>
              <w:t>energetycznej</w:t>
            </w:r>
            <w:r w:rsidRPr="00B8188B">
              <w:rPr>
                <w:rFonts w:cstheme="minorHAnsi"/>
                <w:sz w:val="18"/>
                <w:szCs w:val="18"/>
              </w:rPr>
              <w:t xml:space="preserve"> wskutek ekstremalnych zjawisk atmosferycznych.</w:t>
            </w:r>
          </w:p>
          <w:p w14:paraId="09EBA7EA" w14:textId="0560328A" w:rsidR="00B8188B" w:rsidRDefault="00F7307E">
            <w:pPr>
              <w:pStyle w:val="Akapitzlist"/>
              <w:numPr>
                <w:ilvl w:val="0"/>
                <w:numId w:val="64"/>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Zagrożenie dostępności paliw kopalnych, w przypadku ich dalszego wykorzystania w systemie energetycznym, ryzyko występowania systematycznych przerw w dostawach prądu.</w:t>
            </w:r>
          </w:p>
          <w:p w14:paraId="13D4EB94" w14:textId="3CD349A3" w:rsidR="00B8188B" w:rsidRDefault="00B8188B">
            <w:pPr>
              <w:pStyle w:val="Akapitzlist"/>
              <w:numPr>
                <w:ilvl w:val="0"/>
                <w:numId w:val="64"/>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Wzrost temperatury latem i wzrost okresów upalnych zwiększą zapotrzebowanie na chłód.</w:t>
            </w:r>
          </w:p>
          <w:p w14:paraId="6466C908" w14:textId="0A0A738D" w:rsidR="00B8188B" w:rsidRDefault="00B8188B">
            <w:pPr>
              <w:pStyle w:val="Akapitzlist"/>
              <w:numPr>
                <w:ilvl w:val="0"/>
                <w:numId w:val="65"/>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B8188B">
              <w:rPr>
                <w:rFonts w:cstheme="minorHAnsi"/>
                <w:sz w:val="18"/>
                <w:szCs w:val="18"/>
              </w:rPr>
              <w:t>Wzrost temperatury zimą przyczyni się do spadku zapotrzebowania na ciepło.</w:t>
            </w:r>
          </w:p>
          <w:p w14:paraId="2D6629EF" w14:textId="24133A42" w:rsidR="001B1B47" w:rsidRPr="00F7307E" w:rsidRDefault="00F7307E">
            <w:pPr>
              <w:pStyle w:val="Akapitzlist"/>
              <w:numPr>
                <w:ilvl w:val="0"/>
                <w:numId w:val="65"/>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Zwiększenie się ilości godzin nasłonecznienie może przyczynić się do rozwoju tej formy energetyki.</w:t>
            </w:r>
          </w:p>
        </w:tc>
        <w:tc>
          <w:tcPr>
            <w:tcW w:w="1620" w:type="dxa"/>
            <w:shd w:val="clear" w:color="auto" w:fill="FFC000"/>
            <w:vAlign w:val="center"/>
          </w:tcPr>
          <w:p w14:paraId="43639043" w14:textId="2B81B339" w:rsidR="001B1B47" w:rsidRPr="00F7307E" w:rsidRDefault="00F7307E" w:rsidP="00F7307E">
            <w:pPr>
              <w:tabs>
                <w:tab w:val="left" w:pos="3119"/>
              </w:tabs>
              <w:ind w:firstLine="0"/>
              <w:jc w:val="center"/>
              <w:cnfStyle w:val="000000010000" w:firstRow="0" w:lastRow="0" w:firstColumn="0" w:lastColumn="0" w:oddVBand="0" w:evenVBand="0" w:oddHBand="0" w:evenHBand="1" w:firstRowFirstColumn="0" w:firstRowLastColumn="0" w:lastRowFirstColumn="0" w:lastRowLastColumn="0"/>
              <w:rPr>
                <w:rFonts w:cstheme="minorHAnsi"/>
                <w:b/>
                <w:bCs/>
                <w:color w:val="auto"/>
              </w:rPr>
            </w:pPr>
            <w:r w:rsidRPr="00F7307E">
              <w:rPr>
                <w:rFonts w:cstheme="minorHAnsi"/>
                <w:b/>
                <w:bCs/>
                <w:color w:val="auto"/>
              </w:rPr>
              <w:t>ŚREDNIA</w:t>
            </w:r>
          </w:p>
        </w:tc>
      </w:tr>
      <w:tr w:rsidR="00F7307E" w:rsidRPr="004D6E25" w14:paraId="0F861550" w14:textId="77777777" w:rsidTr="003F0B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40" w:type="dxa"/>
            <w:vAlign w:val="center"/>
          </w:tcPr>
          <w:p w14:paraId="4AB808BF" w14:textId="77777777" w:rsidR="00F7307E" w:rsidRPr="004D6E25" w:rsidRDefault="00F7307E" w:rsidP="00F7307E">
            <w:pPr>
              <w:tabs>
                <w:tab w:val="left" w:pos="3119"/>
              </w:tabs>
              <w:ind w:firstLine="0"/>
              <w:jc w:val="center"/>
              <w:rPr>
                <w:rFonts w:asciiTheme="minorHAnsi" w:hAnsiTheme="minorHAnsi" w:cstheme="minorHAnsi"/>
                <w:b w:val="0"/>
                <w:noProof/>
                <w:color w:val="262626" w:themeColor="text1" w:themeTint="D9"/>
                <w:sz w:val="28"/>
                <w:szCs w:val="28"/>
                <w:lang w:eastAsia="en-GB"/>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4D6E25">
              <w:rPr>
                <w:rFonts w:cstheme="minorHAnsi"/>
                <w:noProof/>
                <w:sz w:val="28"/>
                <w:szCs w:val="28"/>
                <w:lang w:eastAsia="en-GB"/>
              </w:rPr>
              <w:drawing>
                <wp:inline distT="0" distB="0" distL="0" distR="0" wp14:anchorId="23FE032A" wp14:editId="62CC1F3F">
                  <wp:extent cx="914400" cy="914400"/>
                  <wp:effectExtent l="0" t="0" r="0" b="0"/>
                  <wp:docPr id="818991916" name="Grafika 6" descr="Autobus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991916" name="Grafika 818991916" descr="Autobus z wypełnieniem pełnym"/>
                          <pic:cNvPicPr/>
                        </pic:nvPicPr>
                        <pic:blipFill>
                          <a:blip r:embed="rId130">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a:xfrm>
                            <a:off x="0" y="0"/>
                            <a:ext cx="914400" cy="914400"/>
                          </a:xfrm>
                          <a:prstGeom prst="rect">
                            <a:avLst/>
                          </a:prstGeom>
                        </pic:spPr>
                      </pic:pic>
                    </a:graphicData>
                  </a:graphic>
                </wp:inline>
              </w:drawing>
            </w:r>
          </w:p>
          <w:p w14:paraId="44AD14DB" w14:textId="113471CA" w:rsidR="00F7307E" w:rsidRPr="004D6E25" w:rsidRDefault="00F7307E" w:rsidP="00F7307E">
            <w:pPr>
              <w:tabs>
                <w:tab w:val="left" w:pos="3119"/>
              </w:tabs>
              <w:ind w:firstLine="0"/>
              <w:jc w:val="center"/>
              <w:rPr>
                <w:rFonts w:cstheme="minorHAnsi"/>
                <w:b w:val="0"/>
                <w:noProof/>
                <w:sz w:val="28"/>
                <w:szCs w:val="28"/>
                <w:lang w:eastAsia="en-GB"/>
              </w:rPr>
            </w:pPr>
            <w:r w:rsidRPr="004D6E25">
              <w:rPr>
                <w:rFonts w:asciiTheme="minorHAnsi" w:hAnsiTheme="minorHAnsi" w:cstheme="minorHAnsi"/>
                <w:noProof/>
                <w:color w:val="262626" w:themeColor="text1" w:themeTint="D9"/>
                <w:sz w:val="28"/>
                <w:szCs w:val="28"/>
                <w:lang w:eastAsia="en-GB"/>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TRANSPORT</w:t>
            </w:r>
          </w:p>
        </w:tc>
        <w:tc>
          <w:tcPr>
            <w:tcW w:w="5232" w:type="dxa"/>
          </w:tcPr>
          <w:p w14:paraId="4BD7AE8B" w14:textId="77777777" w:rsidR="00F7307E" w:rsidRDefault="00F7307E">
            <w:pPr>
              <w:pStyle w:val="Akapitzlist"/>
              <w:numPr>
                <w:ilvl w:val="0"/>
                <w:numId w:val="62"/>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59C6">
              <w:rPr>
                <w:rFonts w:cstheme="minorHAnsi"/>
                <w:sz w:val="18"/>
                <w:szCs w:val="18"/>
              </w:rPr>
              <w:t>Sieć transportową na terenie Miasta Tarnogród tworzą drogi: wojewódzkie, powiatowe oraz drogi gminne i wewnętrzne.</w:t>
            </w:r>
          </w:p>
          <w:p w14:paraId="2C4FF199" w14:textId="77777777" w:rsidR="00F7307E" w:rsidRDefault="00F7307E">
            <w:pPr>
              <w:pStyle w:val="Akapitzlist"/>
              <w:numPr>
                <w:ilvl w:val="0"/>
                <w:numId w:val="62"/>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59C6">
              <w:rPr>
                <w:rFonts w:cstheme="minorHAnsi"/>
                <w:sz w:val="18"/>
                <w:szCs w:val="18"/>
              </w:rPr>
              <w:t>Najważniejszymi węzłami komunikacyjnymi są drogi wojewódzkie</w:t>
            </w:r>
            <w:r>
              <w:rPr>
                <w:rFonts w:cstheme="minorHAnsi"/>
                <w:sz w:val="18"/>
                <w:szCs w:val="18"/>
              </w:rPr>
              <w:t>: nr 863 i nr 835.</w:t>
            </w:r>
          </w:p>
          <w:p w14:paraId="11F45207" w14:textId="77777777" w:rsidR="00F7307E" w:rsidRDefault="00F7307E">
            <w:pPr>
              <w:pStyle w:val="Akapitzlist"/>
              <w:numPr>
                <w:ilvl w:val="0"/>
                <w:numId w:val="62"/>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659C6">
              <w:rPr>
                <w:rFonts w:cstheme="minorHAnsi"/>
                <w:sz w:val="18"/>
                <w:szCs w:val="18"/>
              </w:rPr>
              <w:t xml:space="preserve">Na terenie </w:t>
            </w:r>
            <w:r>
              <w:rPr>
                <w:rFonts w:cstheme="minorHAnsi"/>
                <w:sz w:val="18"/>
                <w:szCs w:val="18"/>
              </w:rPr>
              <w:t>miasta</w:t>
            </w:r>
            <w:r w:rsidRPr="007659C6">
              <w:rPr>
                <w:rFonts w:cstheme="minorHAnsi"/>
                <w:sz w:val="18"/>
                <w:szCs w:val="18"/>
              </w:rPr>
              <w:t xml:space="preserve"> funkcjonuje komunikacja zbiorowa obsługiwana przez PKS w Biłgoraju S.A.</w:t>
            </w:r>
          </w:p>
          <w:p w14:paraId="64FB890B" w14:textId="77777777" w:rsidR="00F7307E" w:rsidRDefault="00F7307E">
            <w:pPr>
              <w:pStyle w:val="Akapitzlist"/>
              <w:numPr>
                <w:ilvl w:val="0"/>
                <w:numId w:val="62"/>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Jedyna istniejąca ścieżka rowerowa w mieście, wzdłuż DW835, ma długość 8 km i wymaga rozbudowy.</w:t>
            </w:r>
          </w:p>
          <w:p w14:paraId="20C5552C" w14:textId="77777777" w:rsidR="00F7307E" w:rsidRDefault="00F7307E">
            <w:pPr>
              <w:pStyle w:val="Akapitzlist"/>
              <w:numPr>
                <w:ilvl w:val="0"/>
                <w:numId w:val="62"/>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Parking rowerowy przy ul. Rynek.</w:t>
            </w:r>
          </w:p>
          <w:p w14:paraId="4D613B38" w14:textId="77777777" w:rsidR="00F7307E" w:rsidRDefault="00F7307E">
            <w:pPr>
              <w:pStyle w:val="Akapitzlist"/>
              <w:numPr>
                <w:ilvl w:val="0"/>
                <w:numId w:val="62"/>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Parkingi samochodowe wykonane z nawierzchni nieprzepuszczalnej.</w:t>
            </w:r>
          </w:p>
          <w:p w14:paraId="2629C310" w14:textId="77777777" w:rsidR="00F7307E" w:rsidRDefault="00F7307E">
            <w:pPr>
              <w:pStyle w:val="Akapitzlist"/>
              <w:numPr>
                <w:ilvl w:val="0"/>
                <w:numId w:val="62"/>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D</w:t>
            </w:r>
            <w:r w:rsidRPr="007659C6">
              <w:rPr>
                <w:rFonts w:cstheme="minorHAnsi"/>
                <w:sz w:val="18"/>
                <w:szCs w:val="18"/>
              </w:rPr>
              <w:t>ostępność transportową regionu określa się jako niską</w:t>
            </w:r>
            <w:r>
              <w:rPr>
                <w:rFonts w:cstheme="minorHAnsi"/>
                <w:sz w:val="18"/>
                <w:szCs w:val="18"/>
              </w:rPr>
              <w:t>.</w:t>
            </w:r>
          </w:p>
          <w:p w14:paraId="3F05E25C" w14:textId="3FBD7CB1" w:rsidR="00F7307E" w:rsidRPr="007B6770" w:rsidRDefault="007B6770">
            <w:pPr>
              <w:pStyle w:val="Akapitzlist"/>
              <w:numPr>
                <w:ilvl w:val="0"/>
                <w:numId w:val="62"/>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AE2AA0">
              <w:rPr>
                <w:rFonts w:cstheme="minorHAnsi"/>
                <w:sz w:val="18"/>
                <w:szCs w:val="18"/>
              </w:rPr>
              <w:t>Przewaga indywidualnych środków transportu nad komunikacją publiczną prowadzi do zjawiska wykluczenia komunikacyjnego.</w:t>
            </w:r>
          </w:p>
        </w:tc>
        <w:tc>
          <w:tcPr>
            <w:tcW w:w="4309" w:type="dxa"/>
          </w:tcPr>
          <w:p w14:paraId="7ACB01D9" w14:textId="77777777" w:rsidR="00F7307E" w:rsidRPr="007B6770" w:rsidRDefault="00F7307E">
            <w:pPr>
              <w:pStyle w:val="Akapitzlist"/>
              <w:numPr>
                <w:ilvl w:val="0"/>
                <w:numId w:val="66"/>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6770">
              <w:rPr>
                <w:rFonts w:cstheme="minorHAnsi"/>
                <w:sz w:val="18"/>
                <w:szCs w:val="18"/>
              </w:rPr>
              <w:t>Zniszczenia infrastruktury transportowej wskutek ekstremalnych zjawisk atmosferycznych.</w:t>
            </w:r>
          </w:p>
          <w:p w14:paraId="5912D0BA" w14:textId="77777777" w:rsidR="00F7307E" w:rsidRPr="007B6770" w:rsidRDefault="00F7307E">
            <w:pPr>
              <w:pStyle w:val="Akapitzlist"/>
              <w:numPr>
                <w:ilvl w:val="0"/>
                <w:numId w:val="66"/>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6770">
              <w:rPr>
                <w:rFonts w:cstheme="minorHAnsi"/>
                <w:sz w:val="18"/>
                <w:szCs w:val="18"/>
              </w:rPr>
              <w:t>Wzrost temperatury i okresów upalnych przyczyni się do spadku komfortu korzystających z komunikacji zbiorowej.</w:t>
            </w:r>
          </w:p>
          <w:p w14:paraId="41DE42D1" w14:textId="77777777" w:rsidR="00F7307E" w:rsidRPr="007B6770" w:rsidRDefault="00F7307E">
            <w:pPr>
              <w:pStyle w:val="Akapitzlist"/>
              <w:numPr>
                <w:ilvl w:val="0"/>
                <w:numId w:val="66"/>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6770">
              <w:rPr>
                <w:rFonts w:cstheme="minorHAnsi"/>
                <w:sz w:val="18"/>
                <w:szCs w:val="18"/>
              </w:rPr>
              <w:t>Wykluczenie komunikacyjne osób z grup mniej uprzywilejowanych, bardziej narażonych na stuki zmian klimatu.</w:t>
            </w:r>
          </w:p>
          <w:p w14:paraId="5FC9C43A" w14:textId="06B61E33" w:rsidR="00F7307E" w:rsidRPr="007B6770" w:rsidRDefault="00F7307E">
            <w:pPr>
              <w:pStyle w:val="Akapitzlist"/>
              <w:numPr>
                <w:ilvl w:val="0"/>
                <w:numId w:val="67"/>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7B6770">
              <w:rPr>
                <w:rFonts w:cstheme="minorHAnsi"/>
                <w:sz w:val="18"/>
                <w:szCs w:val="18"/>
              </w:rPr>
              <w:t>Spadek okresów mroźnych i opadów śniegów spowoduje mniejszą awaryjność transportu w okresie zimowym.</w:t>
            </w:r>
          </w:p>
        </w:tc>
        <w:tc>
          <w:tcPr>
            <w:tcW w:w="1620" w:type="dxa"/>
            <w:shd w:val="clear" w:color="auto" w:fill="92D050"/>
            <w:vAlign w:val="center"/>
          </w:tcPr>
          <w:p w14:paraId="5A79D8FC" w14:textId="13B14EF1" w:rsidR="00F7307E" w:rsidRPr="00F7307E" w:rsidRDefault="00F7307E" w:rsidP="00F7307E">
            <w:pPr>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cstheme="minorHAnsi"/>
                <w:b/>
                <w:bCs/>
                <w:color w:val="auto"/>
              </w:rPr>
            </w:pPr>
            <w:r w:rsidRPr="006073B7">
              <w:rPr>
                <w:rFonts w:cstheme="minorHAnsi"/>
                <w:b/>
                <w:bCs/>
                <w:color w:val="auto"/>
              </w:rPr>
              <w:t>NISKA</w:t>
            </w:r>
          </w:p>
        </w:tc>
      </w:tr>
    </w:tbl>
    <w:p w14:paraId="7AD5D5C8" w14:textId="77777777" w:rsidR="009F0A0E" w:rsidRPr="00655FC7" w:rsidRDefault="009F0A0E" w:rsidP="00940D31">
      <w:pPr>
        <w:tabs>
          <w:tab w:val="left" w:pos="3119"/>
        </w:tabs>
        <w:rPr>
          <w:rFonts w:cstheme="minorHAnsi"/>
          <w:color w:val="auto"/>
        </w:rPr>
        <w:sectPr w:rsidR="009F0A0E" w:rsidRPr="00655FC7" w:rsidSect="00F71C55">
          <w:headerReference w:type="even" r:id="rId132"/>
          <w:headerReference w:type="default" r:id="rId133"/>
          <w:footerReference w:type="even" r:id="rId134"/>
          <w:footerReference w:type="default" r:id="rId135"/>
          <w:pgSz w:w="16838" w:h="11906" w:orient="landscape"/>
          <w:pgMar w:top="1418" w:right="986" w:bottom="1274" w:left="1418" w:header="709" w:footer="709" w:gutter="0"/>
          <w:cols w:space="708"/>
          <w:docGrid w:linePitch="360"/>
        </w:sectPr>
      </w:pPr>
    </w:p>
    <w:p w14:paraId="29148A10" w14:textId="07CC8DFD" w:rsidR="003F3E5A" w:rsidRPr="00655FC7" w:rsidRDefault="003F3E5A" w:rsidP="00B62479">
      <w:pPr>
        <w:pStyle w:val="Nagwek2"/>
      </w:pPr>
      <w:bookmarkStart w:id="229" w:name="_Toc177732077"/>
      <w:bookmarkStart w:id="230" w:name="_Toc143596943"/>
      <w:r>
        <w:lastRenderedPageBreak/>
        <w:t>Ocena potencjału adaptacyjnego</w:t>
      </w:r>
      <w:bookmarkEnd w:id="229"/>
    </w:p>
    <w:p w14:paraId="558C10A1" w14:textId="427A9BDF" w:rsidR="003F3E5A" w:rsidRDefault="003F3E5A" w:rsidP="00AC3498">
      <w:pPr>
        <w:tabs>
          <w:tab w:val="left" w:pos="3119"/>
        </w:tabs>
        <w:rPr>
          <w:rFonts w:cstheme="minorHAnsi"/>
          <w:color w:val="auto"/>
        </w:rPr>
      </w:pPr>
      <w:r w:rsidRPr="003F3E5A">
        <w:rPr>
          <w:rFonts w:cstheme="minorHAnsi"/>
          <w:color w:val="auto"/>
        </w:rPr>
        <w:t>Ocena potencjału adaptacyjnego ma na celu ocenę zasobów miasta pod kątem możliwości</w:t>
      </w:r>
      <w:r>
        <w:rPr>
          <w:rFonts w:cstheme="minorHAnsi"/>
          <w:color w:val="auto"/>
        </w:rPr>
        <w:t xml:space="preserve"> </w:t>
      </w:r>
      <w:r w:rsidRPr="003F3E5A">
        <w:rPr>
          <w:rFonts w:cstheme="minorHAnsi"/>
          <w:color w:val="auto"/>
        </w:rPr>
        <w:t>ich wykorzystania w działaniach adaptacyjnych.</w:t>
      </w:r>
      <w:r>
        <w:rPr>
          <w:rFonts w:cstheme="minorHAnsi"/>
          <w:color w:val="auto"/>
        </w:rPr>
        <w:t xml:space="preserve"> </w:t>
      </w:r>
      <w:r w:rsidR="00AC3498" w:rsidRPr="00AC3498">
        <w:rPr>
          <w:rFonts w:cstheme="minorHAnsi"/>
          <w:color w:val="auto"/>
        </w:rPr>
        <w:t>Celem oceny potencjału jest zidentyfikowanie tych zasobów, które mogą pomóc w adaptacji do zmian</w:t>
      </w:r>
      <w:r w:rsidR="00AC3498">
        <w:rPr>
          <w:rFonts w:cstheme="minorHAnsi"/>
          <w:color w:val="auto"/>
        </w:rPr>
        <w:t xml:space="preserve"> </w:t>
      </w:r>
      <w:r w:rsidR="00AC3498" w:rsidRPr="00AC3498">
        <w:rPr>
          <w:rFonts w:cstheme="minorHAnsi"/>
          <w:color w:val="auto"/>
        </w:rPr>
        <w:t>klimatu lub które – przeciwnie – należy rozwijać, poprawiać i wzmacniać działaniami adaptacyjnymi.</w:t>
      </w:r>
    </w:p>
    <w:p w14:paraId="14014CC0" w14:textId="1A0A0423" w:rsidR="003F3E5A" w:rsidRPr="00655FC7" w:rsidRDefault="00AC3498" w:rsidP="00AC3498">
      <w:pPr>
        <w:spacing w:after="120"/>
      </w:pPr>
      <w:r w:rsidRPr="00AC3498">
        <w:t>Potencjał adaptacyjny to materialne i niematerialne zasoby miasta, które mogą służyć do dostosowania</w:t>
      </w:r>
      <w:r>
        <w:t xml:space="preserve"> </w:t>
      </w:r>
      <w:r w:rsidRPr="00AC3498">
        <w:t>i przygotowania się na zmiany klimatu oraz ich skutki</w:t>
      </w:r>
      <w:r>
        <w:t xml:space="preserve">. W ocenie potencjału adaptacyjnego przyjęto skalę </w:t>
      </w:r>
      <w:r w:rsidR="003F3E5A" w:rsidRPr="00655FC7">
        <w:t>Zgodnie z </w:t>
      </w:r>
      <w:r w:rsidR="003F3E5A" w:rsidRPr="00655FC7">
        <w:rPr>
          <w:i/>
        </w:rPr>
        <w:t>Podręcznikiem adaptacji dla miast. Wytyczne do przygotowania Miejskiego Planu Adaptacji do zmian klimatu. Aktualizacja 2023</w:t>
      </w:r>
      <w:r w:rsidR="003F3E5A" w:rsidRPr="00655FC7">
        <w:t>:</w:t>
      </w:r>
    </w:p>
    <w:p w14:paraId="10EA196D" w14:textId="60DF7801" w:rsidR="003F3E5A" w:rsidRPr="00655FC7" w:rsidRDefault="00AC3498">
      <w:pPr>
        <w:pStyle w:val="Akapitzlist"/>
        <w:numPr>
          <w:ilvl w:val="0"/>
          <w:numId w:val="80"/>
        </w:numPr>
      </w:pPr>
      <w:r w:rsidRPr="00AC3498">
        <w:rPr>
          <w:b/>
        </w:rPr>
        <w:t>W</w:t>
      </w:r>
      <w:r w:rsidR="003F3E5A" w:rsidRPr="00AC3498">
        <w:rPr>
          <w:b/>
        </w:rPr>
        <w:t>ysok</w:t>
      </w:r>
      <w:r w:rsidRPr="00AC3498">
        <w:rPr>
          <w:b/>
        </w:rPr>
        <w:t>i potencjał adaptacyjny:</w:t>
      </w:r>
      <w:r w:rsidR="003F3E5A" w:rsidRPr="00655FC7">
        <w:t xml:space="preserve"> obszar funkcjonalny jest przygotowany do adaptacji do skutków zmian klimatu,</w:t>
      </w:r>
    </w:p>
    <w:p w14:paraId="7FDE1C7F" w14:textId="23FD245B" w:rsidR="003F3E5A" w:rsidRPr="00655FC7" w:rsidRDefault="00AC3498">
      <w:pPr>
        <w:pStyle w:val="Akapitzlist"/>
        <w:numPr>
          <w:ilvl w:val="0"/>
          <w:numId w:val="80"/>
        </w:numPr>
      </w:pPr>
      <w:r w:rsidRPr="00AC3498">
        <w:rPr>
          <w:b/>
        </w:rPr>
        <w:t>Ś</w:t>
      </w:r>
      <w:r w:rsidR="003F3E5A" w:rsidRPr="00AC3498">
        <w:rPr>
          <w:b/>
        </w:rPr>
        <w:t>redni</w:t>
      </w:r>
      <w:r w:rsidRPr="00AC3498">
        <w:rPr>
          <w:b/>
        </w:rPr>
        <w:t xml:space="preserve"> potencjał adaptacyjny:</w:t>
      </w:r>
      <w:r w:rsidR="003F3E5A" w:rsidRPr="00655FC7">
        <w:t xml:space="preserve"> obszar funkcjonalny jest przygotowany jedynie częściowo do działań zmniejszających negatywny wpływ skutków zmian klimatu,</w:t>
      </w:r>
    </w:p>
    <w:p w14:paraId="06F8334B" w14:textId="5BA89257" w:rsidR="003F3E5A" w:rsidRPr="00655FC7" w:rsidRDefault="00AC3498">
      <w:pPr>
        <w:pStyle w:val="Akapitzlist"/>
        <w:numPr>
          <w:ilvl w:val="0"/>
          <w:numId w:val="80"/>
        </w:numPr>
      </w:pPr>
      <w:r w:rsidRPr="00AC3498">
        <w:rPr>
          <w:b/>
        </w:rPr>
        <w:t>N</w:t>
      </w:r>
      <w:r w:rsidR="003F3E5A" w:rsidRPr="00AC3498">
        <w:rPr>
          <w:b/>
        </w:rPr>
        <w:t>isk</w:t>
      </w:r>
      <w:r w:rsidRPr="00AC3498">
        <w:rPr>
          <w:b/>
        </w:rPr>
        <w:t>i potencjał adaptacyjny:</w:t>
      </w:r>
      <w:r w:rsidR="003F3E5A" w:rsidRPr="00655FC7">
        <w:t xml:space="preserve"> obszar funkcjonalny nie jest przygotowany do zmniejszania wrażliwości na skutki zmian klimatu i każda zmiana lub próba adaptacji będzie wiązała się ze znacznymi kosztami i wysiłkiem.</w:t>
      </w:r>
    </w:p>
    <w:p w14:paraId="7AD48129" w14:textId="77777777" w:rsidR="003F3E5A" w:rsidRPr="00655FC7" w:rsidRDefault="003F3E5A" w:rsidP="003F3E5A">
      <w:pPr>
        <w:pStyle w:val="Akapitzlist"/>
        <w:tabs>
          <w:tab w:val="left" w:pos="3119"/>
        </w:tabs>
        <w:rPr>
          <w:rFonts w:cstheme="minorHAnsi"/>
          <w:color w:val="auto"/>
        </w:rPr>
      </w:pPr>
    </w:p>
    <w:p w14:paraId="5A576ACE" w14:textId="77777777" w:rsidR="00941381" w:rsidRPr="00720A2F" w:rsidRDefault="00941381" w:rsidP="00941381">
      <w:pPr>
        <w:tabs>
          <w:tab w:val="left" w:pos="3119"/>
        </w:tabs>
        <w:rPr>
          <w:rFonts w:cstheme="minorHAnsi"/>
          <w:color w:val="auto"/>
        </w:rPr>
      </w:pPr>
      <w:bookmarkStart w:id="231" w:name="_Toc111117348"/>
      <w:bookmarkStart w:id="232" w:name="_Toc118548654"/>
      <w:r w:rsidRPr="00720A2F">
        <w:rPr>
          <w:rFonts w:cstheme="minorHAnsi"/>
          <w:color w:val="auto"/>
        </w:rPr>
        <w:t>Potencjał adaptacyjny tworzą:</w:t>
      </w:r>
    </w:p>
    <w:p w14:paraId="66A93893" w14:textId="77777777" w:rsidR="00941381" w:rsidRPr="00720A2F" w:rsidRDefault="00941381">
      <w:pPr>
        <w:pStyle w:val="Akapitzlist"/>
        <w:numPr>
          <w:ilvl w:val="0"/>
          <w:numId w:val="33"/>
        </w:numPr>
        <w:ind w:left="1077" w:hanging="357"/>
        <w:rPr>
          <w:rFonts w:eastAsia="Times New Roman" w:cstheme="minorHAnsi"/>
          <w:b/>
          <w:bCs/>
        </w:rPr>
      </w:pPr>
      <w:r w:rsidRPr="00720A2F">
        <w:rPr>
          <w:rFonts w:cstheme="minorHAnsi"/>
          <w:b/>
        </w:rPr>
        <w:t>Zasoby finansowe</w:t>
      </w:r>
      <w:r w:rsidRPr="00720A2F">
        <w:rPr>
          <w:rFonts w:cstheme="minorHAnsi"/>
        </w:rPr>
        <w:t xml:space="preserve"> </w:t>
      </w:r>
      <w:r>
        <w:rPr>
          <w:rFonts w:cstheme="minorHAnsi"/>
          <w:b/>
          <w:bCs/>
        </w:rPr>
        <w:t>–</w:t>
      </w:r>
      <w:r w:rsidRPr="00720A2F">
        <w:rPr>
          <w:rFonts w:cstheme="minorHAnsi"/>
        </w:rPr>
        <w:t xml:space="preserve"> </w:t>
      </w:r>
      <w:r>
        <w:rPr>
          <w:rFonts w:cstheme="minorHAnsi"/>
        </w:rPr>
        <w:t>to możliwości finansowe dla realizacji działań adaptacyjnych, które uwarunkowane są budżetem całej gminy. S</w:t>
      </w:r>
      <w:r w:rsidRPr="00720A2F">
        <w:rPr>
          <w:rFonts w:cstheme="minorHAnsi"/>
        </w:rPr>
        <w:t>zczególnie istotne jest, jaka część budżetu obecnie wydatkowana jest m.in. na ochronę środowiska</w:t>
      </w:r>
      <w:r>
        <w:rPr>
          <w:rFonts w:cstheme="minorHAnsi"/>
        </w:rPr>
        <w:t xml:space="preserve"> oraz jakie istnieją możliwości pozyskania środków ze źródeł zewnętrznych na adaptację i łagodzenie do zmian klimatu.</w:t>
      </w:r>
    </w:p>
    <w:p w14:paraId="04EC5425" w14:textId="77777777" w:rsidR="00941381" w:rsidRPr="00720A2F" w:rsidRDefault="00941381">
      <w:pPr>
        <w:pStyle w:val="Akapitzlist"/>
        <w:numPr>
          <w:ilvl w:val="0"/>
          <w:numId w:val="33"/>
        </w:numPr>
        <w:ind w:left="1077" w:hanging="357"/>
        <w:rPr>
          <w:rFonts w:eastAsia="Times New Roman" w:cstheme="minorHAnsi"/>
          <w:b/>
          <w:bCs/>
        </w:rPr>
      </w:pPr>
      <w:r w:rsidRPr="00720A2F">
        <w:rPr>
          <w:rFonts w:eastAsia="Times New Roman" w:cstheme="minorHAnsi"/>
          <w:b/>
          <w:bCs/>
        </w:rPr>
        <w:t>Zasoby ludzkie</w:t>
      </w:r>
      <w:r>
        <w:rPr>
          <w:rFonts w:eastAsia="Times New Roman" w:cstheme="minorHAnsi"/>
          <w:b/>
          <w:bCs/>
        </w:rPr>
        <w:t xml:space="preserve"> – </w:t>
      </w:r>
      <w:r w:rsidRPr="00720A2F">
        <w:rPr>
          <w:rFonts w:eastAsia="Times New Roman" w:cstheme="minorHAnsi"/>
          <w:bCs/>
        </w:rPr>
        <w:t>to zdolność społecznej adaptacji do skutków zmian klimatu. W tym przypadku istotny j</w:t>
      </w:r>
      <w:r>
        <w:rPr>
          <w:rFonts w:eastAsia="Times New Roman" w:cstheme="minorHAnsi"/>
          <w:bCs/>
        </w:rPr>
        <w:t>est</w:t>
      </w:r>
      <w:r w:rsidRPr="00720A2F">
        <w:rPr>
          <w:rFonts w:eastAsia="Times New Roman" w:cstheme="minorHAnsi"/>
          <w:bCs/>
        </w:rPr>
        <w:t xml:space="preserve"> kapitał ludzki</w:t>
      </w:r>
      <w:r>
        <w:rPr>
          <w:rFonts w:eastAsia="Times New Roman" w:cstheme="minorHAnsi"/>
          <w:bCs/>
        </w:rPr>
        <w:t xml:space="preserve"> (dynamika zmian ludności w mieście), czy</w:t>
      </w:r>
      <w:r w:rsidRPr="00720A2F">
        <w:rPr>
          <w:rFonts w:eastAsia="Times New Roman" w:cstheme="minorHAnsi"/>
          <w:bCs/>
        </w:rPr>
        <w:t xml:space="preserve"> kapitał społeczny, czyli </w:t>
      </w:r>
      <w:r>
        <w:rPr>
          <w:rFonts w:eastAsia="Times New Roman" w:cstheme="minorHAnsi"/>
          <w:bCs/>
        </w:rPr>
        <w:t>stopień zaangażowania społeczeństwa</w:t>
      </w:r>
      <w:r w:rsidRPr="00720A2F">
        <w:rPr>
          <w:rFonts w:eastAsia="Times New Roman" w:cstheme="minorHAnsi"/>
          <w:bCs/>
        </w:rPr>
        <w:t>.</w:t>
      </w:r>
    </w:p>
    <w:p w14:paraId="7964C2C4" w14:textId="77777777" w:rsidR="00941381" w:rsidRPr="00720A2F" w:rsidRDefault="00941381">
      <w:pPr>
        <w:pStyle w:val="Akapitzlist"/>
        <w:numPr>
          <w:ilvl w:val="0"/>
          <w:numId w:val="33"/>
        </w:numPr>
        <w:ind w:left="1077" w:hanging="357"/>
        <w:rPr>
          <w:rFonts w:eastAsia="Times New Roman" w:cstheme="minorHAnsi"/>
          <w:b/>
          <w:bCs/>
        </w:rPr>
      </w:pPr>
      <w:r w:rsidRPr="00720A2F">
        <w:rPr>
          <w:rFonts w:eastAsia="Times New Roman" w:cstheme="minorHAnsi"/>
          <w:b/>
          <w:bCs/>
        </w:rPr>
        <w:t xml:space="preserve">Zasoby infrastrukturalne </w:t>
      </w:r>
      <w:r w:rsidRPr="00720A2F">
        <w:rPr>
          <w:rFonts w:eastAsia="Times New Roman" w:cstheme="minorHAnsi"/>
          <w:bCs/>
        </w:rPr>
        <w:t>to zarówno infrastruktura uzbrojenia terenu, drogowa, kolejowa, jak i wyposażenie jakim dysponuje miasto w sytuacji zagrożenia.</w:t>
      </w:r>
    </w:p>
    <w:p w14:paraId="2990C34E" w14:textId="77777777" w:rsidR="00941381" w:rsidRPr="00720A2F" w:rsidRDefault="00941381">
      <w:pPr>
        <w:pStyle w:val="Akapitzlist"/>
        <w:numPr>
          <w:ilvl w:val="0"/>
          <w:numId w:val="33"/>
        </w:numPr>
        <w:ind w:left="1077" w:hanging="357"/>
        <w:rPr>
          <w:rFonts w:cstheme="minorHAnsi"/>
        </w:rPr>
      </w:pPr>
      <w:r w:rsidRPr="00720A2F">
        <w:rPr>
          <w:rFonts w:cstheme="minorHAnsi"/>
          <w:b/>
        </w:rPr>
        <w:t>Zasoby instytucjonalne i wiedzy</w:t>
      </w:r>
      <w:r w:rsidRPr="00720A2F">
        <w:rPr>
          <w:rFonts w:cstheme="minorHAnsi"/>
        </w:rPr>
        <w:t xml:space="preserve"> to zdolność reagowania na skutki zmian klimatu na poziomie instytucji i dokumentów planistycznych.</w:t>
      </w:r>
    </w:p>
    <w:p w14:paraId="4574A634" w14:textId="77777777" w:rsidR="00AC3498" w:rsidRDefault="00AC3498">
      <w:pPr>
        <w:spacing w:after="200"/>
        <w:ind w:firstLine="0"/>
        <w:jc w:val="left"/>
        <w:rPr>
          <w:rFonts w:cstheme="minorHAnsi"/>
        </w:rPr>
      </w:pPr>
      <w:r>
        <w:rPr>
          <w:rFonts w:cstheme="minorHAnsi"/>
        </w:rPr>
        <w:br w:type="page"/>
      </w:r>
    </w:p>
    <w:p w14:paraId="6D8732E4" w14:textId="7E94FA6D" w:rsidR="003F3E5A" w:rsidRDefault="003F3E5A" w:rsidP="003F3E5A">
      <w:pPr>
        <w:pStyle w:val="Styltabela"/>
      </w:pPr>
      <w:bookmarkStart w:id="233" w:name="_Toc178846333"/>
      <w:r w:rsidRPr="00655FC7">
        <w:lastRenderedPageBreak/>
        <w:t xml:space="preserve">Tabela </w:t>
      </w:r>
      <w:r w:rsidR="00E833A9">
        <w:fldChar w:fldCharType="begin"/>
      </w:r>
      <w:r w:rsidR="00E833A9">
        <w:instrText xml:space="preserve"> SEQ Tabela \* ARABIC </w:instrText>
      </w:r>
      <w:r w:rsidR="00E833A9">
        <w:fldChar w:fldCharType="separate"/>
      </w:r>
      <w:r w:rsidR="00A654D8">
        <w:rPr>
          <w:noProof/>
        </w:rPr>
        <w:t>27</w:t>
      </w:r>
      <w:r w:rsidR="00E833A9">
        <w:rPr>
          <w:noProof/>
        </w:rPr>
        <w:fldChar w:fldCharType="end"/>
      </w:r>
      <w:r w:rsidRPr="00655FC7">
        <w:t xml:space="preserve">. </w:t>
      </w:r>
      <w:r w:rsidR="00AC3498">
        <w:t>Ocena potencjału adaptacyjnego Miasta Tarnogród</w:t>
      </w:r>
      <w:r w:rsidRPr="00655FC7">
        <w:t>.</w:t>
      </w:r>
      <w:bookmarkEnd w:id="233"/>
    </w:p>
    <w:tbl>
      <w:tblPr>
        <w:tblStyle w:val="Tabelalisty4akcent1"/>
        <w:tblW w:w="9072" w:type="dxa"/>
        <w:tblLook w:val="04A0" w:firstRow="1" w:lastRow="0" w:firstColumn="1" w:lastColumn="0" w:noHBand="0" w:noVBand="1"/>
      </w:tblPr>
      <w:tblGrid>
        <w:gridCol w:w="6629"/>
        <w:gridCol w:w="2443"/>
      </w:tblGrid>
      <w:tr w:rsidR="005750D6" w:rsidRPr="00FC7CB0" w14:paraId="2CE0A05A" w14:textId="77777777" w:rsidTr="003F0B3D">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6629" w:type="dxa"/>
            <w:tcBorders>
              <w:top w:val="single" w:sz="12" w:space="0" w:color="638A29" w:themeColor="accent1"/>
              <w:left w:val="single" w:sz="12" w:space="0" w:color="638A29" w:themeColor="accent1"/>
            </w:tcBorders>
            <w:vAlign w:val="center"/>
          </w:tcPr>
          <w:p w14:paraId="6D89537B" w14:textId="0C376958" w:rsidR="005750D6" w:rsidRPr="00E2641B" w:rsidRDefault="005750D6" w:rsidP="00FC7CB0">
            <w:pPr>
              <w:pStyle w:val="Styltabela"/>
              <w:jc w:val="center"/>
              <w:rPr>
                <w:rFonts w:eastAsia="Times New Roman"/>
                <w:b/>
                <w:bCs w:val="0"/>
                <w:color w:val="FFFFFF" w:themeColor="background1"/>
                <w:sz w:val="18"/>
                <w:szCs w:val="18"/>
              </w:rPr>
            </w:pPr>
            <w:r w:rsidRPr="00E2641B">
              <w:rPr>
                <w:rFonts w:eastAsia="Times New Roman"/>
                <w:b/>
                <w:bCs w:val="0"/>
                <w:color w:val="FFFFFF" w:themeColor="background1"/>
                <w:sz w:val="18"/>
                <w:szCs w:val="18"/>
              </w:rPr>
              <w:t>Stan wpływający na zdolność adaptacyjn</w:t>
            </w:r>
            <w:r w:rsidR="003F0B3D">
              <w:rPr>
                <w:rFonts w:eastAsia="Times New Roman"/>
                <w:b/>
                <w:bCs w:val="0"/>
                <w:color w:val="FFFFFF" w:themeColor="background1"/>
                <w:sz w:val="18"/>
                <w:szCs w:val="18"/>
              </w:rPr>
              <w:t>ą</w:t>
            </w:r>
          </w:p>
        </w:tc>
        <w:tc>
          <w:tcPr>
            <w:tcW w:w="2443" w:type="dxa"/>
            <w:tcBorders>
              <w:top w:val="single" w:sz="12" w:space="0" w:color="638A29" w:themeColor="accent1"/>
              <w:right w:val="single" w:sz="12" w:space="0" w:color="638A29" w:themeColor="accent1"/>
            </w:tcBorders>
            <w:vAlign w:val="center"/>
          </w:tcPr>
          <w:p w14:paraId="485497AF" w14:textId="36327E86" w:rsidR="005750D6" w:rsidRPr="00E2641B" w:rsidRDefault="005750D6" w:rsidP="00FC7CB0">
            <w:pPr>
              <w:pStyle w:val="Styltabela"/>
              <w:jc w:val="center"/>
              <w:cnfStyle w:val="100000000000" w:firstRow="1" w:lastRow="0" w:firstColumn="0" w:lastColumn="0" w:oddVBand="0" w:evenVBand="0" w:oddHBand="0" w:evenHBand="0" w:firstRowFirstColumn="0" w:firstRowLastColumn="0" w:lastRowFirstColumn="0" w:lastRowLastColumn="0"/>
              <w:rPr>
                <w:rFonts w:eastAsia="Times New Roman"/>
                <w:b/>
                <w:bCs w:val="0"/>
                <w:color w:val="FFFFFF" w:themeColor="background1"/>
                <w:sz w:val="18"/>
                <w:szCs w:val="18"/>
              </w:rPr>
            </w:pPr>
            <w:r w:rsidRPr="00E2641B">
              <w:rPr>
                <w:rFonts w:eastAsia="Times New Roman"/>
                <w:b/>
                <w:bCs w:val="0"/>
                <w:color w:val="FFFFFF" w:themeColor="background1"/>
                <w:sz w:val="18"/>
                <w:szCs w:val="18"/>
              </w:rPr>
              <w:t>Potencjał adaptacyjny</w:t>
            </w:r>
          </w:p>
        </w:tc>
      </w:tr>
      <w:tr w:rsidR="005750D6" w:rsidRPr="00FC7CB0" w14:paraId="55244A7A" w14:textId="77777777" w:rsidTr="003F0B3D">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072" w:type="dxa"/>
            <w:gridSpan w:val="2"/>
            <w:tcBorders>
              <w:left w:val="single" w:sz="12" w:space="0" w:color="638A29" w:themeColor="accent1"/>
              <w:right w:val="single" w:sz="12" w:space="0" w:color="638A29" w:themeColor="accent1"/>
            </w:tcBorders>
            <w:vAlign w:val="center"/>
          </w:tcPr>
          <w:p w14:paraId="26F66242" w14:textId="19BAAB6F" w:rsidR="005750D6" w:rsidRPr="00FC7CB0" w:rsidRDefault="005750D6" w:rsidP="00FC7CB0">
            <w:pPr>
              <w:pStyle w:val="Styltabela"/>
              <w:jc w:val="center"/>
              <w:rPr>
                <w:rFonts w:eastAsia="Times New Roman"/>
                <w:b/>
                <w:bCs w:val="0"/>
                <w:sz w:val="18"/>
                <w:szCs w:val="18"/>
              </w:rPr>
            </w:pPr>
            <w:r w:rsidRPr="00FC7CB0">
              <w:rPr>
                <w:rFonts w:cstheme="minorHAnsi"/>
                <w:b/>
                <w:bCs w:val="0"/>
                <w:sz w:val="18"/>
                <w:szCs w:val="18"/>
                <w:lang w:eastAsia="en-GB"/>
              </w:rPr>
              <w:t>Zasoby finansowe</w:t>
            </w:r>
          </w:p>
        </w:tc>
      </w:tr>
      <w:tr w:rsidR="005750D6" w:rsidRPr="00FC7CB0" w14:paraId="11BE0270" w14:textId="77777777" w:rsidTr="003F0B3D">
        <w:trPr>
          <w:trHeight w:val="1661"/>
        </w:trPr>
        <w:tc>
          <w:tcPr>
            <w:cnfStyle w:val="001000000000" w:firstRow="0" w:lastRow="0" w:firstColumn="1" w:lastColumn="0" w:oddVBand="0" w:evenVBand="0" w:oddHBand="0" w:evenHBand="0" w:firstRowFirstColumn="0" w:firstRowLastColumn="0" w:lastRowFirstColumn="0" w:lastRowLastColumn="0"/>
            <w:tcW w:w="6629" w:type="dxa"/>
            <w:tcBorders>
              <w:left w:val="single" w:sz="12" w:space="0" w:color="638A29" w:themeColor="accent1"/>
            </w:tcBorders>
            <w:vAlign w:val="center"/>
          </w:tcPr>
          <w:p w14:paraId="6825A293" w14:textId="14617C41" w:rsidR="005750D6" w:rsidRPr="00FC7CB0" w:rsidRDefault="00FC7CB0">
            <w:pPr>
              <w:pStyle w:val="Styltabela"/>
              <w:numPr>
                <w:ilvl w:val="0"/>
                <w:numId w:val="81"/>
              </w:numPr>
              <w:ind w:left="170" w:hanging="170"/>
              <w:jc w:val="left"/>
              <w:rPr>
                <w:rFonts w:eastAsia="Times New Roman"/>
                <w:sz w:val="18"/>
                <w:szCs w:val="18"/>
              </w:rPr>
            </w:pPr>
            <w:r w:rsidRPr="00FC7CB0">
              <w:rPr>
                <w:rFonts w:eastAsia="Times New Roman"/>
                <w:sz w:val="18"/>
                <w:szCs w:val="18"/>
              </w:rPr>
              <w:t>Dochody i wydatki na 1 mieszkańca w przeciągu ostatnich lat wyraźnie wzrosły.</w:t>
            </w:r>
          </w:p>
          <w:p w14:paraId="2D6E074F" w14:textId="77777777" w:rsidR="00FC7CB0" w:rsidRPr="00E2641B" w:rsidRDefault="00FC7CB0">
            <w:pPr>
              <w:pStyle w:val="Styltabela"/>
              <w:numPr>
                <w:ilvl w:val="0"/>
                <w:numId w:val="81"/>
              </w:numPr>
              <w:ind w:left="170" w:hanging="170"/>
              <w:jc w:val="left"/>
              <w:rPr>
                <w:rFonts w:eastAsia="Times New Roman"/>
                <w:sz w:val="18"/>
                <w:szCs w:val="18"/>
              </w:rPr>
            </w:pPr>
            <w:r w:rsidRPr="00FC7CB0">
              <w:rPr>
                <w:rFonts w:eastAsia="Times New Roman"/>
                <w:sz w:val="18"/>
                <w:szCs w:val="18"/>
              </w:rPr>
              <w:t>Wydatki na jednego mieszkańca w 2022 roku były największe.</w:t>
            </w:r>
          </w:p>
          <w:p w14:paraId="1C38FF88" w14:textId="77240C4F" w:rsidR="00E2641B" w:rsidRPr="00FC7CB0" w:rsidRDefault="00E2641B">
            <w:pPr>
              <w:pStyle w:val="Styltabela"/>
              <w:numPr>
                <w:ilvl w:val="0"/>
                <w:numId w:val="81"/>
              </w:numPr>
              <w:ind w:left="170" w:hanging="170"/>
              <w:jc w:val="left"/>
              <w:rPr>
                <w:rFonts w:eastAsia="Times New Roman"/>
                <w:sz w:val="18"/>
                <w:szCs w:val="18"/>
              </w:rPr>
            </w:pPr>
            <w:r>
              <w:rPr>
                <w:rFonts w:eastAsia="Times New Roman"/>
                <w:sz w:val="18"/>
                <w:szCs w:val="18"/>
              </w:rPr>
              <w:t>W ostatni latach wydatki na 1 mieszkańca przekraczały dochody.</w:t>
            </w:r>
          </w:p>
          <w:p w14:paraId="40746FF1" w14:textId="7F8CEC32" w:rsidR="00FC7CB0" w:rsidRPr="00FC7CB0" w:rsidRDefault="00FC7CB0">
            <w:pPr>
              <w:pStyle w:val="Styltabela"/>
              <w:numPr>
                <w:ilvl w:val="0"/>
                <w:numId w:val="81"/>
              </w:numPr>
              <w:ind w:left="170" w:hanging="170"/>
              <w:jc w:val="left"/>
              <w:rPr>
                <w:rFonts w:eastAsia="Times New Roman"/>
                <w:sz w:val="18"/>
                <w:szCs w:val="18"/>
              </w:rPr>
            </w:pPr>
            <w:r w:rsidRPr="00FC7CB0">
              <w:rPr>
                <w:rFonts w:eastAsia="Times New Roman"/>
                <w:sz w:val="18"/>
                <w:szCs w:val="18"/>
              </w:rPr>
              <w:t>Pomiędzy rokiem 2013 a 2022 nastąpił wzrost wydatków zarówno na gospodarkę komunalną i ochronę środowiska oraz transport i łączność, jak i na bezpieczeństwo publiczne i ochronę pożarową oraz ochronę zdrowia</w:t>
            </w:r>
          </w:p>
        </w:tc>
        <w:tc>
          <w:tcPr>
            <w:tcW w:w="2443" w:type="dxa"/>
            <w:tcBorders>
              <w:right w:val="single" w:sz="12" w:space="0" w:color="638A29" w:themeColor="accent1"/>
            </w:tcBorders>
            <w:shd w:val="clear" w:color="auto" w:fill="92D050"/>
            <w:vAlign w:val="center"/>
          </w:tcPr>
          <w:p w14:paraId="4DF742D2" w14:textId="6D022652" w:rsidR="005750D6" w:rsidRPr="00FC7CB0" w:rsidRDefault="00FC7CB0" w:rsidP="00FC7CB0">
            <w:pPr>
              <w:pStyle w:val="Styltabela"/>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Wysoki</w:t>
            </w:r>
          </w:p>
        </w:tc>
      </w:tr>
      <w:tr w:rsidR="00FC7CB0" w:rsidRPr="00FC7CB0" w14:paraId="7C2EBC68" w14:textId="77777777" w:rsidTr="003F0B3D">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072" w:type="dxa"/>
            <w:gridSpan w:val="2"/>
            <w:tcBorders>
              <w:left w:val="single" w:sz="12" w:space="0" w:color="638A29" w:themeColor="accent1"/>
              <w:right w:val="single" w:sz="12" w:space="0" w:color="638A29" w:themeColor="accent1"/>
            </w:tcBorders>
            <w:vAlign w:val="center"/>
          </w:tcPr>
          <w:p w14:paraId="07314E13" w14:textId="36DFE1E0" w:rsidR="00FC7CB0" w:rsidRPr="00FC7CB0" w:rsidRDefault="00FC7CB0" w:rsidP="00FC7CB0">
            <w:pPr>
              <w:pStyle w:val="Styltabela"/>
              <w:jc w:val="center"/>
              <w:rPr>
                <w:rFonts w:eastAsia="Times New Roman"/>
                <w:b/>
                <w:sz w:val="18"/>
                <w:szCs w:val="18"/>
              </w:rPr>
            </w:pPr>
            <w:r w:rsidRPr="00FC7CB0">
              <w:rPr>
                <w:rFonts w:cstheme="minorHAnsi"/>
                <w:b/>
                <w:sz w:val="18"/>
                <w:szCs w:val="18"/>
                <w:lang w:eastAsia="en-GB"/>
              </w:rPr>
              <w:t>Zasoby ludzkie</w:t>
            </w:r>
          </w:p>
        </w:tc>
      </w:tr>
      <w:tr w:rsidR="005750D6" w:rsidRPr="00FC7CB0" w14:paraId="63476604" w14:textId="77777777" w:rsidTr="003F0B3D">
        <w:trPr>
          <w:trHeight w:val="1348"/>
        </w:trPr>
        <w:tc>
          <w:tcPr>
            <w:cnfStyle w:val="001000000000" w:firstRow="0" w:lastRow="0" w:firstColumn="1" w:lastColumn="0" w:oddVBand="0" w:evenVBand="0" w:oddHBand="0" w:evenHBand="0" w:firstRowFirstColumn="0" w:firstRowLastColumn="0" w:lastRowFirstColumn="0" w:lastRowLastColumn="0"/>
            <w:tcW w:w="6629" w:type="dxa"/>
            <w:tcBorders>
              <w:left w:val="single" w:sz="12" w:space="0" w:color="638A29" w:themeColor="accent1"/>
            </w:tcBorders>
            <w:vAlign w:val="center"/>
          </w:tcPr>
          <w:p w14:paraId="0E2B0945" w14:textId="6ABB7E3E" w:rsidR="005750D6" w:rsidRPr="00FC7CB0" w:rsidRDefault="00FC7CB0">
            <w:pPr>
              <w:pStyle w:val="Styltabela"/>
              <w:numPr>
                <w:ilvl w:val="0"/>
                <w:numId w:val="82"/>
              </w:numPr>
              <w:ind w:left="170" w:hanging="170"/>
              <w:jc w:val="left"/>
              <w:rPr>
                <w:rFonts w:eastAsia="Times New Roman"/>
                <w:bCs w:val="0"/>
                <w:sz w:val="18"/>
                <w:szCs w:val="18"/>
              </w:rPr>
            </w:pPr>
            <w:r>
              <w:rPr>
                <w:rFonts w:eastAsia="Times New Roman"/>
                <w:bCs w:val="0"/>
                <w:sz w:val="18"/>
                <w:szCs w:val="18"/>
              </w:rPr>
              <w:t>Trend spadku liczby mieszkańców w ostatnich latach</w:t>
            </w:r>
          </w:p>
          <w:p w14:paraId="7E74A553" w14:textId="77777777" w:rsidR="00FC7CB0" w:rsidRPr="00FC7CB0" w:rsidRDefault="00FC7CB0">
            <w:pPr>
              <w:pStyle w:val="Styltabela"/>
              <w:numPr>
                <w:ilvl w:val="0"/>
                <w:numId w:val="82"/>
              </w:numPr>
              <w:ind w:left="170" w:hanging="170"/>
              <w:jc w:val="left"/>
              <w:rPr>
                <w:rFonts w:eastAsia="Times New Roman"/>
                <w:bCs w:val="0"/>
                <w:sz w:val="18"/>
                <w:szCs w:val="18"/>
              </w:rPr>
            </w:pPr>
            <w:r>
              <w:rPr>
                <w:rFonts w:eastAsia="Times New Roman"/>
                <w:bCs w:val="0"/>
                <w:sz w:val="18"/>
                <w:szCs w:val="18"/>
              </w:rPr>
              <w:t>Ujemny wskaźnik urodzeń.</w:t>
            </w:r>
          </w:p>
          <w:p w14:paraId="295B16F2" w14:textId="77777777" w:rsidR="00FC7CB0" w:rsidRPr="00E2641B" w:rsidRDefault="00E2641B">
            <w:pPr>
              <w:pStyle w:val="Styltabela"/>
              <w:numPr>
                <w:ilvl w:val="0"/>
                <w:numId w:val="82"/>
              </w:numPr>
              <w:ind w:left="170" w:hanging="170"/>
              <w:jc w:val="left"/>
              <w:rPr>
                <w:rFonts w:eastAsia="Times New Roman"/>
                <w:bCs w:val="0"/>
                <w:sz w:val="18"/>
                <w:szCs w:val="18"/>
              </w:rPr>
            </w:pPr>
            <w:r>
              <w:rPr>
                <w:rFonts w:eastAsia="Times New Roman"/>
                <w:bCs w:val="0"/>
                <w:sz w:val="18"/>
                <w:szCs w:val="18"/>
              </w:rPr>
              <w:t>Zmniejszający się udział osób w wieku produkcyjnym.</w:t>
            </w:r>
          </w:p>
          <w:p w14:paraId="06551C80" w14:textId="4727231D" w:rsidR="00E2641B" w:rsidRPr="00FC7CB0" w:rsidRDefault="00E2641B">
            <w:pPr>
              <w:pStyle w:val="Styltabela"/>
              <w:numPr>
                <w:ilvl w:val="0"/>
                <w:numId w:val="82"/>
              </w:numPr>
              <w:ind w:left="170" w:hanging="170"/>
              <w:jc w:val="left"/>
              <w:rPr>
                <w:rFonts w:eastAsia="Times New Roman"/>
                <w:bCs w:val="0"/>
                <w:sz w:val="18"/>
                <w:szCs w:val="18"/>
              </w:rPr>
            </w:pPr>
            <w:r w:rsidRPr="00E2641B">
              <w:rPr>
                <w:rFonts w:eastAsia="Times New Roman"/>
                <w:bCs w:val="0"/>
                <w:sz w:val="18"/>
                <w:szCs w:val="18"/>
              </w:rPr>
              <w:t>Ilość fundacji, stowarzyszeń i organizacji społecznych na 1000 mieszkańców w ostatnich latach wzrosła</w:t>
            </w:r>
            <w:r>
              <w:rPr>
                <w:rFonts w:eastAsia="Times New Roman"/>
                <w:bCs w:val="0"/>
                <w:sz w:val="18"/>
                <w:szCs w:val="18"/>
              </w:rPr>
              <w:t>.</w:t>
            </w:r>
          </w:p>
        </w:tc>
        <w:tc>
          <w:tcPr>
            <w:tcW w:w="2443" w:type="dxa"/>
            <w:tcBorders>
              <w:right w:val="single" w:sz="12" w:space="0" w:color="638A29" w:themeColor="accent1"/>
            </w:tcBorders>
            <w:shd w:val="clear" w:color="auto" w:fill="FFC000"/>
            <w:vAlign w:val="center"/>
          </w:tcPr>
          <w:p w14:paraId="0A330B5B" w14:textId="2E48082E" w:rsidR="005750D6" w:rsidRPr="00FC7CB0" w:rsidRDefault="00E2641B" w:rsidP="00FC7CB0">
            <w:pPr>
              <w:pStyle w:val="Styltabela"/>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Średni</w:t>
            </w:r>
          </w:p>
        </w:tc>
      </w:tr>
      <w:tr w:rsidR="00FC7CB0" w:rsidRPr="00FC7CB0" w14:paraId="4D364041" w14:textId="77777777" w:rsidTr="003F0B3D">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072" w:type="dxa"/>
            <w:gridSpan w:val="2"/>
            <w:tcBorders>
              <w:left w:val="single" w:sz="12" w:space="0" w:color="638A29" w:themeColor="accent1"/>
              <w:right w:val="single" w:sz="12" w:space="0" w:color="638A29" w:themeColor="accent1"/>
            </w:tcBorders>
            <w:vAlign w:val="center"/>
          </w:tcPr>
          <w:p w14:paraId="60D457B9" w14:textId="3B8815B2" w:rsidR="00FC7CB0" w:rsidRPr="00FC7CB0" w:rsidRDefault="00FC7CB0" w:rsidP="00FC7CB0">
            <w:pPr>
              <w:pStyle w:val="Styltabela"/>
              <w:jc w:val="center"/>
              <w:rPr>
                <w:rFonts w:eastAsia="Times New Roman"/>
                <w:b/>
                <w:sz w:val="18"/>
                <w:szCs w:val="18"/>
              </w:rPr>
            </w:pPr>
            <w:r w:rsidRPr="00FC7CB0">
              <w:rPr>
                <w:rFonts w:cstheme="minorHAnsi"/>
                <w:b/>
                <w:sz w:val="18"/>
                <w:szCs w:val="18"/>
                <w:lang w:eastAsia="en-GB"/>
              </w:rPr>
              <w:t>Zasoby instytucjonalne i wiedzy</w:t>
            </w:r>
          </w:p>
        </w:tc>
      </w:tr>
      <w:tr w:rsidR="005750D6" w:rsidRPr="00FC7CB0" w14:paraId="338EE861" w14:textId="77777777" w:rsidTr="003F0B3D">
        <w:trPr>
          <w:trHeight w:val="2182"/>
        </w:trPr>
        <w:tc>
          <w:tcPr>
            <w:cnfStyle w:val="001000000000" w:firstRow="0" w:lastRow="0" w:firstColumn="1" w:lastColumn="0" w:oddVBand="0" w:evenVBand="0" w:oddHBand="0" w:evenHBand="0" w:firstRowFirstColumn="0" w:firstRowLastColumn="0" w:lastRowFirstColumn="0" w:lastRowLastColumn="0"/>
            <w:tcW w:w="6629" w:type="dxa"/>
            <w:tcBorders>
              <w:left w:val="single" w:sz="12" w:space="0" w:color="638A29" w:themeColor="accent1"/>
            </w:tcBorders>
            <w:vAlign w:val="center"/>
          </w:tcPr>
          <w:p w14:paraId="5E5A8DE8" w14:textId="58396290" w:rsidR="00E2641B" w:rsidRPr="00E2641B" w:rsidRDefault="00E2641B">
            <w:pPr>
              <w:pStyle w:val="Styltabela"/>
              <w:numPr>
                <w:ilvl w:val="0"/>
                <w:numId w:val="83"/>
              </w:numPr>
              <w:ind w:left="170" w:hanging="170"/>
              <w:jc w:val="left"/>
              <w:rPr>
                <w:rFonts w:eastAsia="Times New Roman"/>
                <w:bCs w:val="0"/>
                <w:sz w:val="18"/>
                <w:szCs w:val="18"/>
              </w:rPr>
            </w:pPr>
            <w:r>
              <w:rPr>
                <w:rFonts w:eastAsia="Times New Roman"/>
                <w:bCs w:val="0"/>
                <w:sz w:val="18"/>
                <w:szCs w:val="18"/>
              </w:rPr>
              <w:t>Miasto współpracuje z gminami sąsiednimi w ramach Partnerstwa Gmin Powiatu Biłgorajskiego, czego efektem było powstanie Strategii terytorialnej Partnerstwa IIT.</w:t>
            </w:r>
          </w:p>
          <w:p w14:paraId="0EE0B329" w14:textId="77777777" w:rsidR="00E2641B" w:rsidRPr="00E2641B" w:rsidRDefault="00E2641B">
            <w:pPr>
              <w:pStyle w:val="Styltabela"/>
              <w:numPr>
                <w:ilvl w:val="0"/>
                <w:numId w:val="83"/>
              </w:numPr>
              <w:ind w:left="170" w:hanging="170"/>
              <w:jc w:val="left"/>
              <w:rPr>
                <w:rFonts w:eastAsia="Times New Roman"/>
                <w:bCs w:val="0"/>
                <w:sz w:val="18"/>
                <w:szCs w:val="18"/>
              </w:rPr>
            </w:pPr>
            <w:r w:rsidRPr="00E2641B">
              <w:rPr>
                <w:rFonts w:eastAsia="Times New Roman"/>
                <w:bCs w:val="0"/>
                <w:sz w:val="18"/>
                <w:szCs w:val="18"/>
              </w:rPr>
              <w:t xml:space="preserve">Miasto nie posiada wytycznych w razie wystąpienia ekstremalnych zjawisk i postępowania w razie nastania klęsk żywiołowych. </w:t>
            </w:r>
          </w:p>
          <w:p w14:paraId="5C7492BC" w14:textId="19AB35BF" w:rsidR="00E2641B" w:rsidRPr="00E2641B" w:rsidRDefault="00E2641B">
            <w:pPr>
              <w:pStyle w:val="Styltabela"/>
              <w:numPr>
                <w:ilvl w:val="0"/>
                <w:numId w:val="83"/>
              </w:numPr>
              <w:ind w:left="170" w:hanging="170"/>
              <w:jc w:val="left"/>
              <w:rPr>
                <w:rFonts w:eastAsia="Times New Roman"/>
                <w:bCs w:val="0"/>
                <w:sz w:val="18"/>
                <w:szCs w:val="18"/>
              </w:rPr>
            </w:pPr>
            <w:r w:rsidRPr="00E2641B">
              <w:rPr>
                <w:rFonts w:eastAsia="Times New Roman"/>
                <w:bCs w:val="0"/>
                <w:sz w:val="18"/>
                <w:szCs w:val="18"/>
              </w:rPr>
              <w:t>Na terenie miasta nie istnieje system monitoringu i ostrzegania o zagrożeniach.</w:t>
            </w:r>
          </w:p>
          <w:p w14:paraId="26C60E06" w14:textId="07A687BB" w:rsidR="00E2641B" w:rsidRPr="00E2641B" w:rsidRDefault="005214BB">
            <w:pPr>
              <w:pStyle w:val="Styltabela"/>
              <w:numPr>
                <w:ilvl w:val="0"/>
                <w:numId w:val="83"/>
              </w:numPr>
              <w:ind w:left="170" w:hanging="170"/>
              <w:jc w:val="left"/>
              <w:rPr>
                <w:rFonts w:eastAsia="Times New Roman"/>
                <w:bCs w:val="0"/>
                <w:sz w:val="18"/>
                <w:szCs w:val="18"/>
              </w:rPr>
            </w:pPr>
            <w:r>
              <w:rPr>
                <w:rFonts w:eastAsia="Times New Roman"/>
                <w:bCs w:val="0"/>
                <w:sz w:val="18"/>
                <w:szCs w:val="18"/>
              </w:rPr>
              <w:t>Miasto posiada następujące dokumenty strateficzne:</w:t>
            </w:r>
          </w:p>
          <w:p w14:paraId="3D736D10" w14:textId="7F2E1AC6" w:rsidR="00E2641B" w:rsidRPr="00E2641B" w:rsidRDefault="00E2641B">
            <w:pPr>
              <w:pStyle w:val="Styltabela"/>
              <w:numPr>
                <w:ilvl w:val="0"/>
                <w:numId w:val="84"/>
              </w:numPr>
              <w:jc w:val="left"/>
              <w:rPr>
                <w:rFonts w:eastAsia="Times New Roman"/>
                <w:bCs w:val="0"/>
                <w:sz w:val="18"/>
                <w:szCs w:val="18"/>
              </w:rPr>
            </w:pPr>
            <w:r>
              <w:rPr>
                <w:rFonts w:eastAsia="Times New Roman"/>
                <w:bCs w:val="0"/>
                <w:sz w:val="18"/>
                <w:szCs w:val="18"/>
              </w:rPr>
              <w:t>Lokalny Program Rewitalizacji Gminy</w:t>
            </w:r>
          </w:p>
          <w:p w14:paraId="53DA6631" w14:textId="5489D7C2" w:rsidR="00E2641B" w:rsidRPr="00E2641B" w:rsidRDefault="00E2641B">
            <w:pPr>
              <w:pStyle w:val="Styltabela"/>
              <w:numPr>
                <w:ilvl w:val="0"/>
                <w:numId w:val="84"/>
              </w:numPr>
              <w:jc w:val="left"/>
              <w:rPr>
                <w:rFonts w:eastAsia="Times New Roman"/>
                <w:bCs w:val="0"/>
                <w:sz w:val="18"/>
                <w:szCs w:val="18"/>
              </w:rPr>
            </w:pPr>
            <w:r>
              <w:rPr>
                <w:rFonts w:eastAsia="Times New Roman"/>
                <w:bCs w:val="0"/>
                <w:sz w:val="18"/>
                <w:szCs w:val="18"/>
              </w:rPr>
              <w:t>Strategia Rozwoju Gminy</w:t>
            </w:r>
          </w:p>
          <w:p w14:paraId="5189A31B" w14:textId="3CF927AA" w:rsidR="005750D6" w:rsidRPr="00FC7CB0" w:rsidRDefault="00E2641B">
            <w:pPr>
              <w:pStyle w:val="Styltabela"/>
              <w:numPr>
                <w:ilvl w:val="0"/>
                <w:numId w:val="84"/>
              </w:numPr>
              <w:jc w:val="left"/>
              <w:rPr>
                <w:rFonts w:eastAsia="Times New Roman"/>
                <w:bCs w:val="0"/>
                <w:sz w:val="18"/>
                <w:szCs w:val="18"/>
              </w:rPr>
            </w:pPr>
            <w:r w:rsidRPr="00E2641B">
              <w:rPr>
                <w:rFonts w:eastAsia="Times New Roman"/>
                <w:bCs w:val="0"/>
                <w:sz w:val="18"/>
                <w:szCs w:val="18"/>
              </w:rPr>
              <w:t>Program współpracy z organizacjami pozarządowymi</w:t>
            </w:r>
          </w:p>
        </w:tc>
        <w:tc>
          <w:tcPr>
            <w:tcW w:w="2443" w:type="dxa"/>
            <w:tcBorders>
              <w:right w:val="single" w:sz="12" w:space="0" w:color="638A29" w:themeColor="accent1"/>
            </w:tcBorders>
            <w:shd w:val="clear" w:color="auto" w:fill="FFC000"/>
            <w:vAlign w:val="center"/>
          </w:tcPr>
          <w:p w14:paraId="2843292A" w14:textId="5B03012B" w:rsidR="005750D6" w:rsidRPr="00FC7CB0" w:rsidRDefault="005214BB" w:rsidP="00FC7CB0">
            <w:pPr>
              <w:pStyle w:val="Styltabela"/>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Średni</w:t>
            </w:r>
          </w:p>
        </w:tc>
      </w:tr>
      <w:tr w:rsidR="00FC7CB0" w:rsidRPr="00FC7CB0" w14:paraId="166F0E41" w14:textId="77777777" w:rsidTr="003F0B3D">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9072" w:type="dxa"/>
            <w:gridSpan w:val="2"/>
            <w:tcBorders>
              <w:left w:val="single" w:sz="12" w:space="0" w:color="638A29" w:themeColor="accent1"/>
              <w:right w:val="single" w:sz="12" w:space="0" w:color="638A29" w:themeColor="accent1"/>
            </w:tcBorders>
            <w:vAlign w:val="center"/>
          </w:tcPr>
          <w:p w14:paraId="4611080F" w14:textId="4940C9B6" w:rsidR="00FC7CB0" w:rsidRPr="00FC7CB0" w:rsidRDefault="00FC7CB0" w:rsidP="00FC7CB0">
            <w:pPr>
              <w:pStyle w:val="Styltabela"/>
              <w:jc w:val="center"/>
              <w:rPr>
                <w:rFonts w:eastAsia="Times New Roman"/>
                <w:b/>
                <w:sz w:val="18"/>
                <w:szCs w:val="18"/>
              </w:rPr>
            </w:pPr>
            <w:r w:rsidRPr="00FC7CB0">
              <w:rPr>
                <w:rFonts w:cstheme="minorHAnsi"/>
                <w:b/>
                <w:sz w:val="18"/>
                <w:szCs w:val="18"/>
                <w:lang w:eastAsia="en-GB"/>
              </w:rPr>
              <w:t>Zasoby infrastrukturalne</w:t>
            </w:r>
          </w:p>
        </w:tc>
      </w:tr>
      <w:tr w:rsidR="005750D6" w:rsidRPr="00FC7CB0" w14:paraId="40DE02D3" w14:textId="77777777" w:rsidTr="003F0B3D">
        <w:trPr>
          <w:trHeight w:val="3040"/>
        </w:trPr>
        <w:tc>
          <w:tcPr>
            <w:cnfStyle w:val="001000000000" w:firstRow="0" w:lastRow="0" w:firstColumn="1" w:lastColumn="0" w:oddVBand="0" w:evenVBand="0" w:oddHBand="0" w:evenHBand="0" w:firstRowFirstColumn="0" w:firstRowLastColumn="0" w:lastRowFirstColumn="0" w:lastRowLastColumn="0"/>
            <w:tcW w:w="6629" w:type="dxa"/>
            <w:tcBorders>
              <w:left w:val="single" w:sz="12" w:space="0" w:color="638A29" w:themeColor="accent1"/>
              <w:bottom w:val="single" w:sz="12" w:space="0" w:color="638A29" w:themeColor="accent1"/>
            </w:tcBorders>
            <w:vAlign w:val="center"/>
          </w:tcPr>
          <w:p w14:paraId="3E9163E1" w14:textId="77777777" w:rsidR="005214BB" w:rsidRPr="005214BB" w:rsidRDefault="005214BB">
            <w:pPr>
              <w:pStyle w:val="Akapitzlist"/>
              <w:numPr>
                <w:ilvl w:val="0"/>
                <w:numId w:val="85"/>
              </w:numPr>
              <w:ind w:left="170" w:hanging="170"/>
              <w:rPr>
                <w:rFonts w:eastAsiaTheme="majorEastAsia" w:cstheme="minorHAnsi"/>
                <w:b w:val="0"/>
                <w:bCs w:val="0"/>
                <w:color w:val="auto"/>
                <w:sz w:val="18"/>
                <w:szCs w:val="18"/>
                <w:lang w:eastAsia="en-GB"/>
              </w:rPr>
            </w:pPr>
            <w:r w:rsidRPr="005214BB">
              <w:rPr>
                <w:rFonts w:eastAsiaTheme="majorEastAsia" w:cstheme="minorHAnsi"/>
                <w:b w:val="0"/>
                <w:bCs w:val="0"/>
                <w:color w:val="auto"/>
                <w:sz w:val="18"/>
                <w:szCs w:val="18"/>
                <w:lang w:eastAsia="en-GB"/>
              </w:rPr>
              <w:t>Odsetek mieszkańców korzystających z sieci wodociągowej w 2022 r. wynosił 99,4% ogółu ludności.</w:t>
            </w:r>
          </w:p>
          <w:p w14:paraId="316B536A" w14:textId="77777777" w:rsidR="005214BB" w:rsidRPr="005214BB" w:rsidRDefault="005214BB">
            <w:pPr>
              <w:pStyle w:val="Akapitzlist"/>
              <w:numPr>
                <w:ilvl w:val="0"/>
                <w:numId w:val="85"/>
              </w:numPr>
              <w:ind w:left="170" w:hanging="170"/>
              <w:rPr>
                <w:rFonts w:eastAsiaTheme="majorEastAsia" w:cstheme="minorHAnsi"/>
                <w:b w:val="0"/>
                <w:bCs w:val="0"/>
                <w:color w:val="auto"/>
                <w:sz w:val="18"/>
                <w:szCs w:val="18"/>
                <w:lang w:eastAsia="en-GB"/>
              </w:rPr>
            </w:pPr>
            <w:r w:rsidRPr="005214BB">
              <w:rPr>
                <w:rFonts w:eastAsiaTheme="majorEastAsia" w:cstheme="minorHAnsi"/>
                <w:b w:val="0"/>
                <w:bCs w:val="0"/>
                <w:color w:val="auto"/>
                <w:sz w:val="18"/>
                <w:szCs w:val="18"/>
                <w:lang w:eastAsia="en-GB"/>
              </w:rPr>
              <w:t>Odsetek mieszkańców korzystających z sieci kanalizacyjnej w 2022 r. wynosił 82,4% ogółu ludności.</w:t>
            </w:r>
          </w:p>
          <w:p w14:paraId="71B254BF" w14:textId="5FBB59A6" w:rsidR="005214BB" w:rsidRPr="005214BB" w:rsidRDefault="005214BB">
            <w:pPr>
              <w:pStyle w:val="Styltabela"/>
              <w:numPr>
                <w:ilvl w:val="0"/>
                <w:numId w:val="85"/>
              </w:numPr>
              <w:ind w:left="170" w:hanging="170"/>
              <w:jc w:val="left"/>
              <w:rPr>
                <w:rFonts w:cstheme="minorHAnsi"/>
                <w:bCs w:val="0"/>
                <w:sz w:val="18"/>
                <w:szCs w:val="18"/>
                <w:lang w:eastAsia="en-GB"/>
              </w:rPr>
            </w:pPr>
            <w:r w:rsidRPr="005214BB">
              <w:rPr>
                <w:rFonts w:cstheme="minorHAnsi"/>
                <w:bCs w:val="0"/>
                <w:sz w:val="18"/>
                <w:szCs w:val="18"/>
                <w:lang w:eastAsia="en-GB"/>
              </w:rPr>
              <w:t>Procent ogółu mieszkańców miasta, jaki korzysta z instalacji gazowej, to 78,4%.</w:t>
            </w:r>
          </w:p>
          <w:p w14:paraId="68D4F245" w14:textId="0EA55382" w:rsidR="005214BB" w:rsidRPr="005214BB" w:rsidRDefault="005214BB">
            <w:pPr>
              <w:pStyle w:val="Styltabela"/>
              <w:numPr>
                <w:ilvl w:val="0"/>
                <w:numId w:val="85"/>
              </w:numPr>
              <w:ind w:left="170" w:hanging="170"/>
              <w:jc w:val="left"/>
              <w:rPr>
                <w:rFonts w:cstheme="minorHAnsi"/>
                <w:bCs w:val="0"/>
                <w:sz w:val="18"/>
                <w:szCs w:val="18"/>
                <w:lang w:eastAsia="en-GB"/>
              </w:rPr>
            </w:pPr>
            <w:r w:rsidRPr="005214BB">
              <w:rPr>
                <w:rFonts w:cstheme="minorHAnsi"/>
                <w:bCs w:val="0"/>
                <w:sz w:val="18"/>
                <w:szCs w:val="18"/>
                <w:lang w:eastAsia="en-GB"/>
              </w:rPr>
              <w:t xml:space="preserve">Brak jest sieci ciepłowniczej. </w:t>
            </w:r>
          </w:p>
          <w:p w14:paraId="61808DBC" w14:textId="77777777" w:rsidR="005214BB" w:rsidRPr="005214BB" w:rsidRDefault="005214BB">
            <w:pPr>
              <w:pStyle w:val="Styltabela"/>
              <w:numPr>
                <w:ilvl w:val="0"/>
                <w:numId w:val="85"/>
              </w:numPr>
              <w:ind w:left="170" w:hanging="170"/>
              <w:jc w:val="left"/>
              <w:rPr>
                <w:rFonts w:cstheme="minorHAnsi"/>
                <w:bCs w:val="0"/>
                <w:sz w:val="18"/>
                <w:szCs w:val="18"/>
                <w:lang w:eastAsia="en-GB"/>
              </w:rPr>
            </w:pPr>
            <w:r w:rsidRPr="005214BB">
              <w:rPr>
                <w:rFonts w:cstheme="minorHAnsi"/>
                <w:bCs w:val="0"/>
                <w:sz w:val="18"/>
                <w:szCs w:val="18"/>
                <w:lang w:eastAsia="en-GB"/>
              </w:rPr>
              <w:t>Sieć transportową na terenie Miasta Tarnogród tworzą drogi: wojewódzkie, powiatowe oraz drogi gminne i wewnętrzne.</w:t>
            </w:r>
          </w:p>
          <w:p w14:paraId="1BCA4DE6" w14:textId="77777777" w:rsidR="005214BB" w:rsidRPr="005214BB" w:rsidRDefault="005214BB">
            <w:pPr>
              <w:pStyle w:val="Styltabela"/>
              <w:numPr>
                <w:ilvl w:val="0"/>
                <w:numId w:val="85"/>
              </w:numPr>
              <w:ind w:left="170" w:hanging="170"/>
              <w:jc w:val="left"/>
              <w:rPr>
                <w:rFonts w:cstheme="minorHAnsi"/>
                <w:bCs w:val="0"/>
                <w:sz w:val="18"/>
                <w:szCs w:val="18"/>
                <w:lang w:eastAsia="en-GB"/>
              </w:rPr>
            </w:pPr>
            <w:r w:rsidRPr="005214BB">
              <w:rPr>
                <w:rFonts w:cstheme="minorHAnsi"/>
                <w:bCs w:val="0"/>
                <w:sz w:val="18"/>
                <w:szCs w:val="18"/>
                <w:lang w:eastAsia="en-GB"/>
              </w:rPr>
              <w:t>Najważniejszymi węzłami komunikacyjnymi są drogi wojewódzkie: nr 863 i nr 835.</w:t>
            </w:r>
          </w:p>
          <w:p w14:paraId="3B1B39E9" w14:textId="77777777" w:rsidR="005214BB" w:rsidRPr="005214BB" w:rsidRDefault="005214BB">
            <w:pPr>
              <w:pStyle w:val="Styltabela"/>
              <w:numPr>
                <w:ilvl w:val="0"/>
                <w:numId w:val="85"/>
              </w:numPr>
              <w:ind w:left="170" w:hanging="170"/>
              <w:jc w:val="left"/>
              <w:rPr>
                <w:rFonts w:cstheme="minorHAnsi"/>
                <w:bCs w:val="0"/>
                <w:sz w:val="18"/>
                <w:szCs w:val="18"/>
                <w:lang w:eastAsia="en-GB"/>
              </w:rPr>
            </w:pPr>
            <w:r w:rsidRPr="005214BB">
              <w:rPr>
                <w:rFonts w:cstheme="minorHAnsi"/>
                <w:bCs w:val="0"/>
                <w:sz w:val="18"/>
                <w:szCs w:val="18"/>
                <w:lang w:eastAsia="en-GB"/>
              </w:rPr>
              <w:t>Na terenie miasta funkcjonuje komunikacja zbiorowa obsługiwana przez PKS w Biłgoraju S.A.</w:t>
            </w:r>
          </w:p>
          <w:p w14:paraId="384E4464" w14:textId="77777777" w:rsidR="005750D6" w:rsidRPr="00230805" w:rsidRDefault="005214BB">
            <w:pPr>
              <w:pStyle w:val="Styltabela"/>
              <w:numPr>
                <w:ilvl w:val="0"/>
                <w:numId w:val="85"/>
              </w:numPr>
              <w:ind w:left="170" w:hanging="170"/>
              <w:jc w:val="left"/>
              <w:rPr>
                <w:rFonts w:cstheme="minorHAnsi"/>
                <w:bCs w:val="0"/>
                <w:sz w:val="18"/>
                <w:szCs w:val="18"/>
                <w:lang w:eastAsia="en-GB"/>
              </w:rPr>
            </w:pPr>
            <w:r w:rsidRPr="005214BB">
              <w:rPr>
                <w:rFonts w:cstheme="minorHAnsi"/>
                <w:bCs w:val="0"/>
                <w:sz w:val="18"/>
                <w:szCs w:val="18"/>
                <w:lang w:eastAsia="en-GB"/>
              </w:rPr>
              <w:t>Jedyna istniejąca ścieżka rowerowa w mieście, wzdłuż DW835, ma długość 8 km i wymaga rozbudowy.</w:t>
            </w:r>
          </w:p>
          <w:p w14:paraId="269A905C" w14:textId="70AE657E" w:rsidR="00230805" w:rsidRPr="005214BB" w:rsidRDefault="00230805">
            <w:pPr>
              <w:pStyle w:val="Styltabela"/>
              <w:numPr>
                <w:ilvl w:val="0"/>
                <w:numId w:val="85"/>
              </w:numPr>
              <w:ind w:left="170" w:hanging="170"/>
              <w:jc w:val="left"/>
              <w:rPr>
                <w:rFonts w:cstheme="minorHAnsi"/>
                <w:bCs w:val="0"/>
                <w:sz w:val="18"/>
                <w:szCs w:val="18"/>
                <w:lang w:eastAsia="en-GB"/>
              </w:rPr>
            </w:pPr>
            <w:r>
              <w:rPr>
                <w:rFonts w:cstheme="minorHAnsi"/>
                <w:bCs w:val="0"/>
                <w:sz w:val="18"/>
                <w:szCs w:val="18"/>
                <w:lang w:eastAsia="en-GB"/>
              </w:rPr>
              <w:t xml:space="preserve">Kanalizacja burzowa wymagająca rozbudowy i modernizacji </w:t>
            </w:r>
          </w:p>
        </w:tc>
        <w:tc>
          <w:tcPr>
            <w:tcW w:w="2443" w:type="dxa"/>
            <w:tcBorders>
              <w:bottom w:val="single" w:sz="12" w:space="0" w:color="638A29" w:themeColor="accent1"/>
              <w:right w:val="single" w:sz="12" w:space="0" w:color="638A29" w:themeColor="accent1"/>
            </w:tcBorders>
            <w:shd w:val="clear" w:color="auto" w:fill="FFC000"/>
            <w:vAlign w:val="center"/>
          </w:tcPr>
          <w:p w14:paraId="12A0E0D5" w14:textId="318D899A" w:rsidR="005750D6" w:rsidRPr="00FC7CB0" w:rsidRDefault="005214BB" w:rsidP="00FC7CB0">
            <w:pPr>
              <w:pStyle w:val="Styltabela"/>
              <w:jc w:val="center"/>
              <w:cnfStyle w:val="000000000000" w:firstRow="0" w:lastRow="0" w:firstColumn="0" w:lastColumn="0" w:oddVBand="0" w:evenVBand="0" w:oddHBand="0" w:evenHBand="0" w:firstRowFirstColumn="0" w:firstRowLastColumn="0" w:lastRowFirstColumn="0" w:lastRowLastColumn="0"/>
              <w:rPr>
                <w:rFonts w:eastAsia="Times New Roman"/>
                <w:sz w:val="18"/>
                <w:szCs w:val="18"/>
              </w:rPr>
            </w:pPr>
            <w:r>
              <w:rPr>
                <w:rFonts w:eastAsia="Times New Roman"/>
                <w:sz w:val="18"/>
                <w:szCs w:val="18"/>
              </w:rPr>
              <w:t>Średni</w:t>
            </w:r>
          </w:p>
        </w:tc>
      </w:tr>
    </w:tbl>
    <w:bookmarkEnd w:id="231"/>
    <w:bookmarkEnd w:id="232"/>
    <w:p w14:paraId="022F13FE" w14:textId="77777777" w:rsidR="003F3E5A" w:rsidRPr="00655FC7" w:rsidRDefault="003F3E5A" w:rsidP="00FC7CB0">
      <w:pPr>
        <w:ind w:firstLine="0"/>
        <w:jc w:val="center"/>
        <w:rPr>
          <w:rFonts w:cstheme="minorHAnsi"/>
          <w:sz w:val="20"/>
        </w:rPr>
      </w:pPr>
      <w:r w:rsidRPr="00655FC7">
        <w:rPr>
          <w:rFonts w:cstheme="minorHAnsi"/>
          <w:sz w:val="20"/>
        </w:rPr>
        <w:t>Źródło: opracowanie własne</w:t>
      </w:r>
    </w:p>
    <w:p w14:paraId="631E9E02" w14:textId="77777777" w:rsidR="003F3E5A" w:rsidRPr="00655FC7" w:rsidRDefault="003F3E5A" w:rsidP="003F3E5A">
      <w:pPr>
        <w:spacing w:after="200"/>
        <w:ind w:firstLine="0"/>
        <w:jc w:val="left"/>
        <w:rPr>
          <w:rFonts w:cstheme="minorHAnsi"/>
          <w:color w:val="auto"/>
          <w:sz w:val="20"/>
          <w:szCs w:val="20"/>
        </w:rPr>
      </w:pPr>
    </w:p>
    <w:p w14:paraId="28A0AF69" w14:textId="77777777" w:rsidR="003F3E5A" w:rsidRPr="00655FC7" w:rsidRDefault="003F3E5A" w:rsidP="003F3E5A">
      <w:pPr>
        <w:rPr>
          <w:rFonts w:cstheme="minorHAnsi"/>
        </w:rPr>
        <w:sectPr w:rsidR="003F3E5A" w:rsidRPr="00655FC7" w:rsidSect="003F3E5A">
          <w:headerReference w:type="even" r:id="rId136"/>
          <w:headerReference w:type="default" r:id="rId137"/>
          <w:footerReference w:type="even" r:id="rId138"/>
          <w:footerReference w:type="default" r:id="rId139"/>
          <w:pgSz w:w="11906" w:h="16838"/>
          <w:pgMar w:top="1418" w:right="1418" w:bottom="1418" w:left="1418" w:header="709" w:footer="709" w:gutter="0"/>
          <w:cols w:space="708"/>
          <w:docGrid w:linePitch="360"/>
        </w:sectPr>
      </w:pPr>
    </w:p>
    <w:p w14:paraId="06D5C990" w14:textId="4ECCDFE9" w:rsidR="00CF4B57" w:rsidRPr="00655FC7" w:rsidRDefault="00CF4B57" w:rsidP="00B62479">
      <w:pPr>
        <w:pStyle w:val="Nagwek2"/>
      </w:pPr>
      <w:bookmarkStart w:id="234" w:name="_Toc177732078"/>
      <w:r w:rsidRPr="00655FC7">
        <w:lastRenderedPageBreak/>
        <w:t>Analiza ryzyka</w:t>
      </w:r>
      <w:bookmarkEnd w:id="230"/>
      <w:r w:rsidR="002044D6">
        <w:t xml:space="preserve"> i szans</w:t>
      </w:r>
      <w:bookmarkEnd w:id="234"/>
    </w:p>
    <w:p w14:paraId="11CD93E7" w14:textId="661236A5" w:rsidR="00CF4B57" w:rsidRDefault="002044D6" w:rsidP="002044D6">
      <w:r w:rsidRPr="002044D6">
        <w:t>Ryzyko klimatyczne jest funkcją</w:t>
      </w:r>
      <w:r>
        <w:t xml:space="preserve"> </w:t>
      </w:r>
      <w:r w:rsidRPr="002044D6">
        <w:t>trzech elementów: zagrożenia, podatności i ekspozycji</w:t>
      </w:r>
      <w:r>
        <w:t xml:space="preserve">. Przedmiotem analizy ryzyka powinny być sektory funkcjonowania miasta i obszary miasta, które oceniono jako wysoko i średnio podatne na zmiany klimatu. Przeprowadzenie analizy ryzyka prowadzi do nadania wagi zagrożeniom – im wyższe ryzyko, tym wyższa waga danego zagrożenia, a tym samym działania adaptacyjne ukierunkowane na radzenie sobie z danym zagrożeniem mogą być ważniejsze. </w:t>
      </w:r>
    </w:p>
    <w:p w14:paraId="0AB655FC" w14:textId="3DA68572" w:rsidR="002044D6" w:rsidRDefault="002044D6" w:rsidP="002044D6">
      <w:r>
        <w:t>Zmiany klimatu są zjawiskiem negatywnym, w tym negatywnie wpływającym na społeczeństwa, przyrodę i gospodarkę, jednakże w niektórych strefach klimatycznych mogą wiązać się z pewnymi korzyściami. Korzyści te są oczywiście bardzo ograniczone, a ich wystąpienie z reguły wątpliwe, niemniej zaleca się ich rozważenie w trakcie opracowania MPA.</w:t>
      </w:r>
      <w:r w:rsidR="001A1812">
        <w:t xml:space="preserve"> Z tego względu poniżej przedstawiono zagrożenia i szanse dla każdego z analizowanych sektorów miasta, które odznaczały się wysoką i średnią wrażliwością.</w:t>
      </w:r>
    </w:p>
    <w:p w14:paraId="78997835" w14:textId="77777777" w:rsidR="001A1812" w:rsidRPr="00655FC7" w:rsidRDefault="001A1812" w:rsidP="002044D6"/>
    <w:p w14:paraId="0188B032" w14:textId="081BD866" w:rsidR="007D4272" w:rsidRPr="00655FC7" w:rsidRDefault="007D4272" w:rsidP="006D7AFC">
      <w:pPr>
        <w:pStyle w:val="Styltabela"/>
      </w:pPr>
      <w:bookmarkStart w:id="235" w:name="_Toc178846334"/>
      <w:r w:rsidRPr="00655FC7">
        <w:t xml:space="preserve">Tabela </w:t>
      </w:r>
      <w:r w:rsidR="00E833A9">
        <w:fldChar w:fldCharType="begin"/>
      </w:r>
      <w:r w:rsidR="00E833A9">
        <w:instrText xml:space="preserve"> SEQ Tabela \* ARABIC </w:instrText>
      </w:r>
      <w:r w:rsidR="00E833A9">
        <w:fldChar w:fldCharType="separate"/>
      </w:r>
      <w:r w:rsidR="00A654D8">
        <w:rPr>
          <w:noProof/>
        </w:rPr>
        <w:t>28</w:t>
      </w:r>
      <w:r w:rsidR="00E833A9">
        <w:rPr>
          <w:noProof/>
        </w:rPr>
        <w:fldChar w:fldCharType="end"/>
      </w:r>
      <w:r w:rsidRPr="00655FC7">
        <w:t>.</w:t>
      </w:r>
      <w:r w:rsidR="001755FB" w:rsidRPr="00655FC7">
        <w:t xml:space="preserve"> Potencjalne szanse i zagrożenia związane ze zmianami klimatu.</w:t>
      </w:r>
      <w:bookmarkEnd w:id="235"/>
      <w:r w:rsidR="001755FB" w:rsidRPr="00655FC7">
        <w:t xml:space="preserve"> </w:t>
      </w:r>
    </w:p>
    <w:tbl>
      <w:tblPr>
        <w:tblStyle w:val="Jasnasiatkaakcent3212"/>
        <w:tblW w:w="9072" w:type="dxa"/>
        <w:jc w:val="center"/>
        <w:tblLayout w:type="fixed"/>
        <w:tblLook w:val="04A0" w:firstRow="1" w:lastRow="0" w:firstColumn="1" w:lastColumn="0" w:noHBand="0" w:noVBand="1"/>
      </w:tblPr>
      <w:tblGrid>
        <w:gridCol w:w="1378"/>
        <w:gridCol w:w="2724"/>
        <w:gridCol w:w="3480"/>
        <w:gridCol w:w="1490"/>
      </w:tblGrid>
      <w:tr w:rsidR="001A1812" w:rsidRPr="001A1812" w14:paraId="69CA86AA" w14:textId="2171E60C" w:rsidTr="003F0B3D">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408" w:type="dxa"/>
            <w:tcBorders>
              <w:top w:val="single" w:sz="18" w:space="0" w:color="78923D" w:themeColor="accent5" w:themeShade="80"/>
              <w:left w:val="single" w:sz="18" w:space="0" w:color="78923D" w:themeColor="accent5" w:themeShade="80"/>
              <w:bottom w:val="single" w:sz="18" w:space="0" w:color="78923D" w:themeColor="accent5" w:themeShade="80"/>
            </w:tcBorders>
            <w:shd w:val="clear" w:color="auto" w:fill="BCC167" w:themeFill="accent2"/>
            <w:vAlign w:val="center"/>
          </w:tcPr>
          <w:p w14:paraId="3F8FED1A" w14:textId="3D59E800" w:rsidR="001A1812" w:rsidRPr="001A1812" w:rsidRDefault="001A1812" w:rsidP="001A1812">
            <w:pPr>
              <w:autoSpaceDE w:val="0"/>
              <w:autoSpaceDN w:val="0"/>
              <w:adjustRightInd w:val="0"/>
              <w:ind w:firstLine="0"/>
              <w:jc w:val="center"/>
              <w:rPr>
                <w:rFonts w:asciiTheme="minorHAnsi" w:hAnsiTheme="minorHAnsi" w:cstheme="minorHAnsi"/>
                <w:color w:val="auto"/>
                <w:sz w:val="18"/>
                <w:szCs w:val="18"/>
              </w:rPr>
            </w:pPr>
            <w:bookmarkStart w:id="236" w:name="_Hlk166588243"/>
            <w:r w:rsidRPr="001A1812">
              <w:rPr>
                <w:rFonts w:asciiTheme="minorHAnsi" w:hAnsiTheme="minorHAnsi" w:cstheme="minorHAnsi"/>
                <w:color w:val="auto"/>
                <w:sz w:val="18"/>
                <w:szCs w:val="18"/>
              </w:rPr>
              <w:t>Sektor</w:t>
            </w:r>
          </w:p>
        </w:tc>
        <w:tc>
          <w:tcPr>
            <w:tcW w:w="2790" w:type="dxa"/>
            <w:tcBorders>
              <w:top w:val="single" w:sz="18" w:space="0" w:color="78923D" w:themeColor="accent5" w:themeShade="80"/>
              <w:bottom w:val="single" w:sz="18" w:space="0" w:color="78923D" w:themeColor="accent5" w:themeShade="80"/>
            </w:tcBorders>
            <w:shd w:val="clear" w:color="auto" w:fill="BCC167" w:themeFill="accent2"/>
            <w:vAlign w:val="center"/>
          </w:tcPr>
          <w:p w14:paraId="6C1A3487" w14:textId="628E5D82" w:rsidR="001A1812" w:rsidRPr="001A1812" w:rsidRDefault="001A1812" w:rsidP="001A1812">
            <w:pPr>
              <w:autoSpaceDE w:val="0"/>
              <w:autoSpaceDN w:val="0"/>
              <w:adjustRightInd w:val="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A1812">
              <w:rPr>
                <w:rFonts w:asciiTheme="minorHAnsi" w:hAnsiTheme="minorHAnsi" w:cstheme="minorHAnsi"/>
                <w:color w:val="auto"/>
                <w:sz w:val="18"/>
                <w:szCs w:val="18"/>
              </w:rPr>
              <w:t>Zagrożenia</w:t>
            </w:r>
          </w:p>
        </w:tc>
        <w:tc>
          <w:tcPr>
            <w:tcW w:w="3565" w:type="dxa"/>
            <w:tcBorders>
              <w:top w:val="single" w:sz="18" w:space="0" w:color="78923D" w:themeColor="accent5" w:themeShade="80"/>
              <w:bottom w:val="single" w:sz="18" w:space="0" w:color="78923D" w:themeColor="accent5" w:themeShade="80"/>
            </w:tcBorders>
            <w:shd w:val="clear" w:color="auto" w:fill="BCC167" w:themeFill="accent2"/>
            <w:vAlign w:val="center"/>
          </w:tcPr>
          <w:p w14:paraId="445E1EA5" w14:textId="25461C89" w:rsidR="001A1812" w:rsidRPr="001A1812" w:rsidRDefault="001A1812" w:rsidP="001A1812">
            <w:pPr>
              <w:autoSpaceDE w:val="0"/>
              <w:autoSpaceDN w:val="0"/>
              <w:adjustRightInd w:val="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A1812">
              <w:rPr>
                <w:rFonts w:asciiTheme="minorHAnsi" w:hAnsiTheme="minorHAnsi" w:cstheme="minorHAnsi"/>
                <w:color w:val="auto"/>
                <w:sz w:val="18"/>
                <w:szCs w:val="18"/>
              </w:rPr>
              <w:t>Szanse</w:t>
            </w:r>
          </w:p>
        </w:tc>
        <w:tc>
          <w:tcPr>
            <w:tcW w:w="1523" w:type="dxa"/>
            <w:tcBorders>
              <w:top w:val="single" w:sz="18" w:space="0" w:color="78923D" w:themeColor="accent5" w:themeShade="80"/>
              <w:bottom w:val="single" w:sz="18" w:space="0" w:color="78923D" w:themeColor="accent5" w:themeShade="80"/>
              <w:right w:val="single" w:sz="18" w:space="0" w:color="78923D" w:themeColor="accent5" w:themeShade="80"/>
            </w:tcBorders>
            <w:shd w:val="clear" w:color="auto" w:fill="BCC167" w:themeFill="accent2"/>
            <w:vAlign w:val="center"/>
          </w:tcPr>
          <w:p w14:paraId="29931542" w14:textId="7C9CFA21" w:rsidR="001A1812" w:rsidRPr="001A1812" w:rsidRDefault="001A1812" w:rsidP="001A1812">
            <w:pPr>
              <w:autoSpaceDE w:val="0"/>
              <w:autoSpaceDN w:val="0"/>
              <w:adjustRightInd w:val="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 w:val="18"/>
                <w:szCs w:val="18"/>
              </w:rPr>
            </w:pPr>
            <w:r w:rsidRPr="001A1812">
              <w:rPr>
                <w:rFonts w:asciiTheme="minorHAnsi" w:hAnsiTheme="minorHAnsi" w:cstheme="minorHAnsi"/>
                <w:color w:val="auto"/>
                <w:sz w:val="18"/>
                <w:szCs w:val="18"/>
              </w:rPr>
              <w:t>Ryzyko klimatyczne</w:t>
            </w:r>
          </w:p>
        </w:tc>
      </w:tr>
      <w:bookmarkEnd w:id="236"/>
      <w:tr w:rsidR="00FC78BA" w:rsidRPr="001A1812" w14:paraId="0D63BF63" w14:textId="0AA3469E" w:rsidTr="002E3F94">
        <w:trPr>
          <w:cnfStyle w:val="000000100000" w:firstRow="0" w:lastRow="0" w:firstColumn="0" w:lastColumn="0" w:oddVBand="0" w:evenVBand="0" w:oddHBand="1" w:evenHBand="0" w:firstRowFirstColumn="0" w:firstRowLastColumn="0" w:lastRowFirstColumn="0" w:lastRowLastColumn="0"/>
          <w:trHeight w:val="737"/>
          <w:jc w:val="center"/>
        </w:trPr>
        <w:tc>
          <w:tcPr>
            <w:cnfStyle w:val="001000000000" w:firstRow="0" w:lastRow="0" w:firstColumn="1" w:lastColumn="0" w:oddVBand="0" w:evenVBand="0" w:oddHBand="0" w:evenHBand="0" w:firstRowFirstColumn="0" w:firstRowLastColumn="0" w:lastRowFirstColumn="0" w:lastRowLastColumn="0"/>
            <w:tcW w:w="1408" w:type="dxa"/>
            <w:vMerge w:val="restart"/>
            <w:tcBorders>
              <w:top w:val="single" w:sz="18" w:space="0" w:color="78923D" w:themeColor="accent5" w:themeShade="80"/>
              <w:left w:val="single" w:sz="18" w:space="0" w:color="78923D" w:themeColor="accent5" w:themeShade="80"/>
            </w:tcBorders>
            <w:vAlign w:val="center"/>
          </w:tcPr>
          <w:p w14:paraId="0F436350" w14:textId="70D6E294" w:rsidR="00FC78BA" w:rsidRPr="001A1812" w:rsidRDefault="00FC78BA" w:rsidP="001A1812">
            <w:pPr>
              <w:autoSpaceDE w:val="0"/>
              <w:autoSpaceDN w:val="0"/>
              <w:adjustRightInd w:val="0"/>
              <w:ind w:firstLine="0"/>
              <w:jc w:val="center"/>
              <w:rPr>
                <w:rFonts w:asciiTheme="minorHAnsi" w:hAnsiTheme="minorHAnsi" w:cstheme="minorHAnsi"/>
                <w:b w:val="0"/>
                <w:bCs w:val="0"/>
                <w:color w:val="auto"/>
                <w:sz w:val="18"/>
                <w:szCs w:val="18"/>
              </w:rPr>
            </w:pPr>
            <w:r>
              <w:rPr>
                <w:rFonts w:cstheme="minorHAnsi"/>
                <w:noProof/>
                <w:color w:val="auto"/>
                <w:sz w:val="18"/>
                <w:szCs w:val="18"/>
              </w:rPr>
              <w:drawing>
                <wp:inline distT="0" distB="0" distL="0" distR="0" wp14:anchorId="7EBF4A10" wp14:editId="474BD060">
                  <wp:extent cx="684000" cy="684000"/>
                  <wp:effectExtent l="0" t="0" r="0" b="0"/>
                  <wp:docPr id="1115256287" name="Grafika 8" descr="Medyczne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56287" name="Grafika 1115256287" descr="Medyczne z wypełnieniem pełnym"/>
                          <pic:cNvPicPr/>
                        </pic:nvPicPr>
                        <pic:blipFill>
                          <a:blip r:embed="rId118">
                            <a:extLst>
                              <a:ext uri="{28A0092B-C50C-407E-A947-70E740481C1C}">
                                <a14:useLocalDpi xmlns:a14="http://schemas.microsoft.com/office/drawing/2010/main" val="0"/>
                              </a:ext>
                              <a:ext uri="{96DAC541-7B7A-43D3-8B79-37D633B846F1}">
                                <asvg:svgBlip xmlns:asvg="http://schemas.microsoft.com/office/drawing/2016/SVG/main" r:embed="rId119"/>
                              </a:ext>
                            </a:extLst>
                          </a:blip>
                          <a:stretch>
                            <a:fillRect/>
                          </a:stretch>
                        </pic:blipFill>
                        <pic:spPr>
                          <a:xfrm>
                            <a:off x="0" y="0"/>
                            <a:ext cx="684000" cy="684000"/>
                          </a:xfrm>
                          <a:prstGeom prst="rect">
                            <a:avLst/>
                          </a:prstGeom>
                        </pic:spPr>
                      </pic:pic>
                    </a:graphicData>
                  </a:graphic>
                </wp:inline>
              </w:drawing>
            </w:r>
          </w:p>
          <w:p w14:paraId="6B1967D3" w14:textId="735B43C2" w:rsidR="00FC78BA" w:rsidRPr="001A1812" w:rsidRDefault="00FC78BA" w:rsidP="001A1812">
            <w:pPr>
              <w:autoSpaceDE w:val="0"/>
              <w:autoSpaceDN w:val="0"/>
              <w:adjustRightInd w:val="0"/>
              <w:ind w:firstLine="0"/>
              <w:jc w:val="center"/>
              <w:rPr>
                <w:rFonts w:asciiTheme="minorHAnsi" w:hAnsiTheme="minorHAnsi" w:cstheme="minorHAnsi"/>
                <w:color w:val="auto"/>
                <w:sz w:val="18"/>
                <w:szCs w:val="18"/>
              </w:rPr>
            </w:pPr>
            <w:r w:rsidRPr="001A1812">
              <w:rPr>
                <w:rFonts w:asciiTheme="minorHAnsi" w:hAnsiTheme="minorHAnsi" w:cstheme="minorHAnsi"/>
                <w:color w:val="auto"/>
                <w:sz w:val="18"/>
                <w:szCs w:val="18"/>
              </w:rPr>
              <w:t>Zdrowie publiczne</w:t>
            </w:r>
          </w:p>
        </w:tc>
        <w:tc>
          <w:tcPr>
            <w:tcW w:w="2790" w:type="dxa"/>
            <w:tcBorders>
              <w:top w:val="single" w:sz="18" w:space="0" w:color="78923D" w:themeColor="accent5" w:themeShade="80"/>
            </w:tcBorders>
            <w:vAlign w:val="center"/>
          </w:tcPr>
          <w:p w14:paraId="199D2916" w14:textId="63FFA3B1" w:rsidR="00FC78BA" w:rsidRPr="001A1812" w:rsidRDefault="00FC78BA" w:rsidP="002E3F94">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Wzrost średniej temperatury powietrza oraz częstotliwości występowania upałów</w:t>
            </w:r>
          </w:p>
        </w:tc>
        <w:tc>
          <w:tcPr>
            <w:tcW w:w="3565" w:type="dxa"/>
            <w:vMerge w:val="restart"/>
            <w:tcBorders>
              <w:top w:val="single" w:sz="18" w:space="0" w:color="78923D" w:themeColor="accent5" w:themeShade="80"/>
            </w:tcBorders>
            <w:shd w:val="clear" w:color="auto" w:fill="EFF2BE"/>
            <w:vAlign w:val="center"/>
          </w:tcPr>
          <w:p w14:paraId="77EFF9C8" w14:textId="1FEC1A74" w:rsidR="00FC78BA" w:rsidRDefault="0028088D">
            <w:pPr>
              <w:pStyle w:val="Akapitzlist"/>
              <w:numPr>
                <w:ilvl w:val="0"/>
                <w:numId w:val="67"/>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Poprawa jakości świadczenia usług z zakresu ochrony zdrowia</w:t>
            </w:r>
            <w:r w:rsidR="00C0669C">
              <w:rPr>
                <w:rFonts w:cstheme="minorHAnsi"/>
                <w:sz w:val="18"/>
                <w:szCs w:val="18"/>
              </w:rPr>
              <w:t>.</w:t>
            </w:r>
          </w:p>
          <w:p w14:paraId="3D3DF81A" w14:textId="3FBF9900" w:rsidR="0028088D" w:rsidRPr="00FC78BA" w:rsidRDefault="0028088D">
            <w:pPr>
              <w:pStyle w:val="Akapitzlist"/>
              <w:numPr>
                <w:ilvl w:val="0"/>
                <w:numId w:val="67"/>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Akcje edukacyjne dla mieszkańców na temat prowadzenia zdrowego stylu życia, tym samym ogólne podniesienie jakości życia w mieście</w:t>
            </w:r>
            <w:r w:rsidR="00C0669C">
              <w:rPr>
                <w:rFonts w:cstheme="minorHAnsi"/>
                <w:sz w:val="18"/>
                <w:szCs w:val="18"/>
              </w:rPr>
              <w:t>.</w:t>
            </w:r>
          </w:p>
        </w:tc>
        <w:tc>
          <w:tcPr>
            <w:tcW w:w="1523" w:type="dxa"/>
            <w:tcBorders>
              <w:top w:val="single" w:sz="18" w:space="0" w:color="78923D" w:themeColor="accent5" w:themeShade="80"/>
              <w:bottom w:val="single" w:sz="12" w:space="0" w:color="FFFFFF" w:themeColor="background1"/>
              <w:right w:val="single" w:sz="18" w:space="0" w:color="78923D" w:themeColor="accent5" w:themeShade="80"/>
            </w:tcBorders>
            <w:shd w:val="clear" w:color="auto" w:fill="FF5050"/>
            <w:vAlign w:val="center"/>
          </w:tcPr>
          <w:p w14:paraId="34D8D35F" w14:textId="6F2B3060" w:rsidR="00FC78BA" w:rsidRPr="00F4294E" w:rsidRDefault="00F4294E" w:rsidP="00F4294E">
            <w:pPr>
              <w:ind w:firstLine="0"/>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F4294E">
              <w:rPr>
                <w:rFonts w:cstheme="minorHAnsi"/>
                <w:b/>
                <w:bCs/>
                <w:sz w:val="18"/>
                <w:szCs w:val="18"/>
              </w:rPr>
              <w:t>Wysokie</w:t>
            </w:r>
          </w:p>
        </w:tc>
      </w:tr>
      <w:tr w:rsidR="00FC78BA" w:rsidRPr="001A1812" w14:paraId="798EABD7" w14:textId="77777777" w:rsidTr="002E3F94">
        <w:trPr>
          <w:cnfStyle w:val="000000010000" w:firstRow="0" w:lastRow="0" w:firstColumn="0" w:lastColumn="0" w:oddVBand="0" w:evenVBand="0" w:oddHBand="0" w:evenHBand="1" w:firstRowFirstColumn="0" w:firstRowLastColumn="0" w:lastRowFirstColumn="0" w:lastRowLastColumn="0"/>
          <w:trHeight w:val="737"/>
          <w:jc w:val="center"/>
        </w:trPr>
        <w:tc>
          <w:tcPr>
            <w:cnfStyle w:val="001000000000" w:firstRow="0" w:lastRow="0" w:firstColumn="1" w:lastColumn="0" w:oddVBand="0" w:evenVBand="0" w:oddHBand="0" w:evenHBand="0" w:firstRowFirstColumn="0" w:firstRowLastColumn="0" w:lastRowFirstColumn="0" w:lastRowLastColumn="0"/>
            <w:tcW w:w="1408" w:type="dxa"/>
            <w:vMerge/>
            <w:tcBorders>
              <w:left w:val="single" w:sz="18" w:space="0" w:color="78923D" w:themeColor="accent5" w:themeShade="80"/>
            </w:tcBorders>
            <w:shd w:val="clear" w:color="auto" w:fill="EFF2BE" w:themeFill="accent3" w:themeFillTint="3F"/>
            <w:vAlign w:val="center"/>
          </w:tcPr>
          <w:p w14:paraId="6696115F" w14:textId="77777777" w:rsidR="00FC78BA" w:rsidRDefault="00FC78BA" w:rsidP="001A1812">
            <w:pPr>
              <w:autoSpaceDE w:val="0"/>
              <w:autoSpaceDN w:val="0"/>
              <w:adjustRightInd w:val="0"/>
              <w:ind w:firstLine="0"/>
              <w:jc w:val="center"/>
              <w:rPr>
                <w:rFonts w:cstheme="minorHAnsi"/>
                <w:b w:val="0"/>
                <w:bCs w:val="0"/>
                <w:noProof/>
                <w:color w:val="auto"/>
                <w:sz w:val="18"/>
                <w:szCs w:val="18"/>
              </w:rPr>
            </w:pPr>
          </w:p>
        </w:tc>
        <w:tc>
          <w:tcPr>
            <w:tcW w:w="2790" w:type="dxa"/>
            <w:shd w:val="clear" w:color="auto" w:fill="auto"/>
            <w:vAlign w:val="center"/>
          </w:tcPr>
          <w:p w14:paraId="262560B9" w14:textId="5346F3B1" w:rsidR="00FC78BA" w:rsidRDefault="00FC78BA" w:rsidP="002E3F94">
            <w:pPr>
              <w:ind w:firstLine="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Powodzie, podtopienia, intensywne burze, porywiste wiatry</w:t>
            </w:r>
          </w:p>
        </w:tc>
        <w:tc>
          <w:tcPr>
            <w:tcW w:w="3565" w:type="dxa"/>
            <w:vMerge/>
            <w:shd w:val="clear" w:color="auto" w:fill="EFF2BE"/>
            <w:vAlign w:val="center"/>
          </w:tcPr>
          <w:p w14:paraId="02FC72AD" w14:textId="77777777" w:rsidR="00FC78BA" w:rsidRPr="001A1812" w:rsidRDefault="00FC78BA" w:rsidP="00C124EF">
            <w:pPr>
              <w:ind w:firstLine="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c>
          <w:tcPr>
            <w:tcW w:w="1523" w:type="dxa"/>
            <w:tcBorders>
              <w:top w:val="single" w:sz="12" w:space="0" w:color="FFFFFF" w:themeColor="background1"/>
              <w:bottom w:val="single" w:sz="12" w:space="0" w:color="FFFFFF" w:themeColor="background1"/>
              <w:right w:val="single" w:sz="18" w:space="0" w:color="78923D" w:themeColor="accent5" w:themeShade="80"/>
            </w:tcBorders>
            <w:shd w:val="clear" w:color="auto" w:fill="C00000"/>
            <w:vAlign w:val="center"/>
          </w:tcPr>
          <w:p w14:paraId="29C805AE" w14:textId="156F40D2" w:rsidR="00FC78BA" w:rsidRPr="00D255EB" w:rsidRDefault="00F4294E" w:rsidP="00F4294E">
            <w:pPr>
              <w:ind w:firstLine="0"/>
              <w:jc w:val="center"/>
              <w:cnfStyle w:val="000000010000" w:firstRow="0" w:lastRow="0" w:firstColumn="0" w:lastColumn="0" w:oddVBand="0" w:evenVBand="0" w:oddHBand="0" w:evenHBand="1" w:firstRowFirstColumn="0" w:firstRowLastColumn="0" w:lastRowFirstColumn="0" w:lastRowLastColumn="0"/>
              <w:rPr>
                <w:rFonts w:cstheme="minorHAnsi"/>
                <w:b/>
                <w:bCs/>
                <w:color w:val="FFFFFF" w:themeColor="background1"/>
                <w:sz w:val="18"/>
                <w:szCs w:val="18"/>
              </w:rPr>
            </w:pPr>
            <w:r w:rsidRPr="00D255EB">
              <w:rPr>
                <w:rFonts w:cstheme="minorHAnsi"/>
                <w:b/>
                <w:bCs/>
                <w:color w:val="FFFFFF" w:themeColor="background1"/>
                <w:sz w:val="18"/>
                <w:szCs w:val="18"/>
              </w:rPr>
              <w:t>Bardzo wysokie</w:t>
            </w:r>
          </w:p>
        </w:tc>
      </w:tr>
      <w:tr w:rsidR="00FC78BA" w:rsidRPr="001A1812" w14:paraId="6299415A" w14:textId="77777777" w:rsidTr="002E3F94">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1408" w:type="dxa"/>
            <w:vMerge/>
            <w:tcBorders>
              <w:left w:val="single" w:sz="18" w:space="0" w:color="78923D" w:themeColor="accent5" w:themeShade="80"/>
              <w:bottom w:val="single" w:sz="18" w:space="0" w:color="78923D" w:themeColor="accent5" w:themeShade="80"/>
            </w:tcBorders>
            <w:vAlign w:val="center"/>
          </w:tcPr>
          <w:p w14:paraId="716360D2" w14:textId="77777777" w:rsidR="00FC78BA" w:rsidRDefault="00FC78BA" w:rsidP="001A1812">
            <w:pPr>
              <w:autoSpaceDE w:val="0"/>
              <w:autoSpaceDN w:val="0"/>
              <w:adjustRightInd w:val="0"/>
              <w:ind w:firstLine="0"/>
              <w:jc w:val="center"/>
              <w:rPr>
                <w:rFonts w:cstheme="minorHAnsi"/>
                <w:b w:val="0"/>
                <w:bCs w:val="0"/>
                <w:noProof/>
                <w:color w:val="auto"/>
                <w:sz w:val="18"/>
                <w:szCs w:val="18"/>
              </w:rPr>
            </w:pPr>
          </w:p>
        </w:tc>
        <w:tc>
          <w:tcPr>
            <w:tcW w:w="2790" w:type="dxa"/>
            <w:tcBorders>
              <w:bottom w:val="single" w:sz="18" w:space="0" w:color="78923D" w:themeColor="accent5" w:themeShade="80"/>
            </w:tcBorders>
            <w:vAlign w:val="center"/>
          </w:tcPr>
          <w:p w14:paraId="0C86531A" w14:textId="7B0FBF79" w:rsidR="00FC78BA" w:rsidRDefault="00FC78BA" w:rsidP="002E3F94">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Rozwój patogenów i nieznanych chorób</w:t>
            </w:r>
          </w:p>
        </w:tc>
        <w:tc>
          <w:tcPr>
            <w:tcW w:w="3565" w:type="dxa"/>
            <w:vMerge/>
            <w:tcBorders>
              <w:bottom w:val="single" w:sz="18" w:space="0" w:color="78923D" w:themeColor="accent5" w:themeShade="80"/>
            </w:tcBorders>
            <w:shd w:val="clear" w:color="auto" w:fill="EFF2BE"/>
            <w:vAlign w:val="center"/>
          </w:tcPr>
          <w:p w14:paraId="182EB4D6" w14:textId="77777777" w:rsidR="00FC78BA" w:rsidRPr="001A1812" w:rsidRDefault="00FC78BA" w:rsidP="00C124EF">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523" w:type="dxa"/>
            <w:tcBorders>
              <w:top w:val="single" w:sz="12" w:space="0" w:color="FFFFFF" w:themeColor="background1"/>
              <w:bottom w:val="single" w:sz="18" w:space="0" w:color="78923D" w:themeColor="accent5" w:themeShade="80"/>
              <w:right w:val="single" w:sz="18" w:space="0" w:color="78923D" w:themeColor="accent5" w:themeShade="80"/>
            </w:tcBorders>
            <w:shd w:val="clear" w:color="auto" w:fill="FF5050"/>
            <w:vAlign w:val="center"/>
          </w:tcPr>
          <w:p w14:paraId="52DC258C" w14:textId="6C9E2FB1" w:rsidR="00FC78BA" w:rsidRPr="00F4294E" w:rsidRDefault="00F4294E" w:rsidP="00F4294E">
            <w:pPr>
              <w:ind w:firstLine="0"/>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F4294E">
              <w:rPr>
                <w:rFonts w:cstheme="minorHAnsi"/>
                <w:b/>
                <w:bCs/>
                <w:sz w:val="18"/>
                <w:szCs w:val="18"/>
              </w:rPr>
              <w:t>Wysokie</w:t>
            </w:r>
          </w:p>
        </w:tc>
      </w:tr>
      <w:tr w:rsidR="00F4294E" w:rsidRPr="001A1812" w14:paraId="067D9EB7" w14:textId="7D31B149" w:rsidTr="002E3F94">
        <w:trPr>
          <w:cnfStyle w:val="000000010000" w:firstRow="0" w:lastRow="0" w:firstColumn="0" w:lastColumn="0" w:oddVBand="0" w:evenVBand="0" w:oddHBand="0" w:evenHBand="1" w:firstRowFirstColumn="0" w:firstRowLastColumn="0" w:lastRowFirstColumn="0" w:lastRowLastColumn="0"/>
          <w:trHeight w:val="737"/>
          <w:jc w:val="center"/>
        </w:trPr>
        <w:tc>
          <w:tcPr>
            <w:cnfStyle w:val="001000000000" w:firstRow="0" w:lastRow="0" w:firstColumn="1" w:lastColumn="0" w:oddVBand="0" w:evenVBand="0" w:oddHBand="0" w:evenHBand="0" w:firstRowFirstColumn="0" w:firstRowLastColumn="0" w:lastRowFirstColumn="0" w:lastRowLastColumn="0"/>
            <w:tcW w:w="1408" w:type="dxa"/>
            <w:vMerge w:val="restart"/>
            <w:tcBorders>
              <w:top w:val="single" w:sz="18" w:space="0" w:color="78923D" w:themeColor="accent5" w:themeShade="80"/>
              <w:left w:val="single" w:sz="18" w:space="0" w:color="78923D" w:themeColor="accent5" w:themeShade="80"/>
            </w:tcBorders>
            <w:vAlign w:val="center"/>
          </w:tcPr>
          <w:p w14:paraId="2033EF5D" w14:textId="17A12F0D" w:rsidR="00F4294E" w:rsidRDefault="00F4294E" w:rsidP="00F4294E">
            <w:pPr>
              <w:autoSpaceDE w:val="0"/>
              <w:autoSpaceDN w:val="0"/>
              <w:adjustRightInd w:val="0"/>
              <w:ind w:firstLine="0"/>
              <w:jc w:val="center"/>
              <w:rPr>
                <w:rFonts w:cstheme="minorHAnsi"/>
                <w:b w:val="0"/>
                <w:bCs w:val="0"/>
                <w:sz w:val="18"/>
                <w:szCs w:val="18"/>
                <w:lang w:eastAsia="en-GB"/>
              </w:rPr>
            </w:pPr>
            <w:r>
              <w:rPr>
                <w:rFonts w:cstheme="minorHAnsi"/>
                <w:noProof/>
                <w:sz w:val="18"/>
                <w:szCs w:val="18"/>
                <w:lang w:eastAsia="en-GB"/>
              </w:rPr>
              <w:drawing>
                <wp:inline distT="0" distB="0" distL="0" distR="0" wp14:anchorId="1D96B35B" wp14:editId="302D6B97">
                  <wp:extent cx="720000" cy="720000"/>
                  <wp:effectExtent l="0" t="0" r="0" b="0"/>
                  <wp:docPr id="1932990561" name="Grafika 9" descr="Wod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990561" name="Grafika 1932990561" descr="Woda z wypełnieniem pełnym"/>
                          <pic:cNvPicPr/>
                        </pic:nvPicPr>
                        <pic:blipFill>
                          <a:blip r:embed="rId120">
                            <a:extLst>
                              <a:ext uri="{28A0092B-C50C-407E-A947-70E740481C1C}">
                                <a14:useLocalDpi xmlns:a14="http://schemas.microsoft.com/office/drawing/2010/main" val="0"/>
                              </a:ext>
                              <a:ext uri="{96DAC541-7B7A-43D3-8B79-37D633B846F1}">
                                <asvg:svgBlip xmlns:asvg="http://schemas.microsoft.com/office/drawing/2016/SVG/main" r:embed="rId121"/>
                              </a:ext>
                            </a:extLst>
                          </a:blip>
                          <a:stretch>
                            <a:fillRect/>
                          </a:stretch>
                        </pic:blipFill>
                        <pic:spPr>
                          <a:xfrm>
                            <a:off x="0" y="0"/>
                            <a:ext cx="720000" cy="720000"/>
                          </a:xfrm>
                          <a:prstGeom prst="rect">
                            <a:avLst/>
                          </a:prstGeom>
                        </pic:spPr>
                      </pic:pic>
                    </a:graphicData>
                  </a:graphic>
                </wp:inline>
              </w:drawing>
            </w:r>
          </w:p>
          <w:p w14:paraId="482B8E8A" w14:textId="4285C06D" w:rsidR="00F4294E" w:rsidRPr="001A1812" w:rsidRDefault="00F4294E" w:rsidP="00F4294E">
            <w:pPr>
              <w:autoSpaceDE w:val="0"/>
              <w:autoSpaceDN w:val="0"/>
              <w:adjustRightInd w:val="0"/>
              <w:ind w:firstLine="0"/>
              <w:jc w:val="center"/>
              <w:rPr>
                <w:rFonts w:asciiTheme="minorHAnsi" w:hAnsiTheme="minorHAnsi" w:cstheme="minorHAnsi"/>
                <w:sz w:val="18"/>
                <w:szCs w:val="18"/>
                <w:lang w:eastAsia="en-GB"/>
              </w:rPr>
            </w:pPr>
            <w:r w:rsidRPr="001A1812">
              <w:rPr>
                <w:rFonts w:asciiTheme="minorHAnsi" w:hAnsiTheme="minorHAnsi" w:cstheme="minorHAnsi"/>
                <w:sz w:val="18"/>
                <w:szCs w:val="18"/>
                <w:lang w:eastAsia="en-GB"/>
              </w:rPr>
              <w:t>Gospodarka wodna</w:t>
            </w:r>
          </w:p>
        </w:tc>
        <w:tc>
          <w:tcPr>
            <w:tcW w:w="2790" w:type="dxa"/>
            <w:tcBorders>
              <w:top w:val="single" w:sz="18" w:space="0" w:color="78923D" w:themeColor="accent5" w:themeShade="80"/>
            </w:tcBorders>
            <w:vAlign w:val="center"/>
          </w:tcPr>
          <w:p w14:paraId="4A082756" w14:textId="4B42498E" w:rsidR="00F4294E" w:rsidRPr="001A1812" w:rsidRDefault="00F4294E" w:rsidP="002E3F94">
            <w:pPr>
              <w:ind w:firstLine="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Podtopienia i powodzie, lokalne wezbrania wskutek intensywnych opadów</w:t>
            </w:r>
          </w:p>
        </w:tc>
        <w:tc>
          <w:tcPr>
            <w:tcW w:w="3565" w:type="dxa"/>
            <w:vMerge w:val="restart"/>
            <w:tcBorders>
              <w:top w:val="single" w:sz="18" w:space="0" w:color="78923D" w:themeColor="accent5" w:themeShade="80"/>
            </w:tcBorders>
            <w:vAlign w:val="center"/>
          </w:tcPr>
          <w:p w14:paraId="4255CE2E" w14:textId="4FC5C64C" w:rsidR="00F4294E" w:rsidRDefault="00F4294E">
            <w:pPr>
              <w:pStyle w:val="Akapitzlist"/>
              <w:numPr>
                <w:ilvl w:val="0"/>
                <w:numId w:val="75"/>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Wykorzystanie potencjału retencyjnego w mieście.</w:t>
            </w:r>
          </w:p>
          <w:p w14:paraId="6B9BCA82" w14:textId="77777777" w:rsidR="00F4294E" w:rsidRDefault="00F4294E">
            <w:pPr>
              <w:pStyle w:val="Akapitzlist"/>
              <w:numPr>
                <w:ilvl w:val="0"/>
                <w:numId w:val="75"/>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Spadek zużycia wody.</w:t>
            </w:r>
          </w:p>
          <w:p w14:paraId="35D9FAF7" w14:textId="04A1576C" w:rsidR="00F4294E" w:rsidRPr="00C0669C" w:rsidRDefault="00F4294E">
            <w:pPr>
              <w:pStyle w:val="Akapitzlist"/>
              <w:numPr>
                <w:ilvl w:val="0"/>
                <w:numId w:val="75"/>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Zmniejszenie presji na zasoby wodne.</w:t>
            </w:r>
          </w:p>
        </w:tc>
        <w:tc>
          <w:tcPr>
            <w:tcW w:w="1523" w:type="dxa"/>
            <w:tcBorders>
              <w:top w:val="single" w:sz="18" w:space="0" w:color="78923D" w:themeColor="accent5" w:themeShade="80"/>
              <w:bottom w:val="single" w:sz="12" w:space="0" w:color="FFFFFF" w:themeColor="background1"/>
              <w:right w:val="single" w:sz="18" w:space="0" w:color="78923D" w:themeColor="accent5" w:themeShade="80"/>
            </w:tcBorders>
            <w:shd w:val="clear" w:color="auto" w:fill="C00000"/>
            <w:vAlign w:val="center"/>
          </w:tcPr>
          <w:p w14:paraId="766B2C30" w14:textId="6F8B9661" w:rsidR="00F4294E" w:rsidRPr="00D255EB" w:rsidRDefault="00F4294E" w:rsidP="00F4294E">
            <w:pPr>
              <w:ind w:firstLine="0"/>
              <w:jc w:val="center"/>
              <w:cnfStyle w:val="000000010000" w:firstRow="0" w:lastRow="0" w:firstColumn="0" w:lastColumn="0" w:oddVBand="0" w:evenVBand="0" w:oddHBand="0" w:evenHBand="1" w:firstRowFirstColumn="0" w:firstRowLastColumn="0" w:lastRowFirstColumn="0" w:lastRowLastColumn="0"/>
              <w:rPr>
                <w:rFonts w:cstheme="minorHAnsi"/>
                <w:b/>
                <w:bCs/>
                <w:color w:val="FFFFFF" w:themeColor="background1"/>
                <w:sz w:val="18"/>
                <w:szCs w:val="18"/>
              </w:rPr>
            </w:pPr>
            <w:r w:rsidRPr="00D255EB">
              <w:rPr>
                <w:rFonts w:cstheme="minorHAnsi"/>
                <w:b/>
                <w:bCs/>
                <w:color w:val="FFFFFF" w:themeColor="background1"/>
                <w:sz w:val="18"/>
                <w:szCs w:val="18"/>
              </w:rPr>
              <w:t>Bardzo wysokie</w:t>
            </w:r>
          </w:p>
        </w:tc>
      </w:tr>
      <w:tr w:rsidR="00F4294E" w:rsidRPr="001A1812" w14:paraId="655747D4" w14:textId="77777777" w:rsidTr="002E3F94">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408" w:type="dxa"/>
            <w:vMerge/>
            <w:tcBorders>
              <w:left w:val="single" w:sz="18" w:space="0" w:color="78923D" w:themeColor="accent5" w:themeShade="80"/>
            </w:tcBorders>
            <w:vAlign w:val="center"/>
          </w:tcPr>
          <w:p w14:paraId="477E7567" w14:textId="77777777" w:rsidR="00F4294E" w:rsidRDefault="00F4294E" w:rsidP="00F4294E">
            <w:pPr>
              <w:autoSpaceDE w:val="0"/>
              <w:autoSpaceDN w:val="0"/>
              <w:adjustRightInd w:val="0"/>
              <w:ind w:firstLine="0"/>
              <w:jc w:val="center"/>
              <w:rPr>
                <w:rFonts w:cstheme="minorHAnsi"/>
                <w:b w:val="0"/>
                <w:bCs w:val="0"/>
                <w:noProof/>
                <w:sz w:val="18"/>
                <w:szCs w:val="18"/>
                <w:lang w:eastAsia="en-GB"/>
              </w:rPr>
            </w:pPr>
          </w:p>
        </w:tc>
        <w:tc>
          <w:tcPr>
            <w:tcW w:w="2790" w:type="dxa"/>
            <w:vAlign w:val="center"/>
          </w:tcPr>
          <w:p w14:paraId="596AD379" w14:textId="0A8A1758" w:rsidR="00F4294E" w:rsidRDefault="00F4294E" w:rsidP="002E3F94">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Susze i okresy bezopadowe</w:t>
            </w:r>
          </w:p>
        </w:tc>
        <w:tc>
          <w:tcPr>
            <w:tcW w:w="3565" w:type="dxa"/>
            <w:vMerge/>
          </w:tcPr>
          <w:p w14:paraId="723FA7BD" w14:textId="77777777" w:rsidR="00F4294E" w:rsidRPr="001A1812" w:rsidRDefault="00F4294E" w:rsidP="00F4294E">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523" w:type="dxa"/>
            <w:tcBorders>
              <w:top w:val="single" w:sz="12" w:space="0" w:color="FFFFFF" w:themeColor="background1"/>
              <w:bottom w:val="single" w:sz="12" w:space="0" w:color="FFFFFF" w:themeColor="background1"/>
              <w:right w:val="single" w:sz="18" w:space="0" w:color="78923D" w:themeColor="accent5" w:themeShade="80"/>
            </w:tcBorders>
            <w:shd w:val="clear" w:color="auto" w:fill="FF5050"/>
            <w:vAlign w:val="center"/>
          </w:tcPr>
          <w:p w14:paraId="0F12F540" w14:textId="0775BDC9" w:rsidR="00F4294E" w:rsidRPr="00F4294E" w:rsidRDefault="00D255EB" w:rsidP="00F4294E">
            <w:pPr>
              <w:ind w:firstLine="0"/>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Pr>
                <w:rFonts w:cstheme="minorHAnsi"/>
                <w:b/>
                <w:bCs/>
                <w:sz w:val="18"/>
                <w:szCs w:val="18"/>
              </w:rPr>
              <w:t>Wysokie</w:t>
            </w:r>
          </w:p>
        </w:tc>
      </w:tr>
      <w:tr w:rsidR="00F4294E" w:rsidRPr="001A1812" w14:paraId="48701124" w14:textId="77777777" w:rsidTr="002E3F94">
        <w:trPr>
          <w:cnfStyle w:val="000000010000" w:firstRow="0" w:lastRow="0" w:firstColumn="0" w:lastColumn="0" w:oddVBand="0" w:evenVBand="0" w:oddHBand="0" w:evenHBand="1" w:firstRowFirstColumn="0" w:firstRowLastColumn="0" w:lastRowFirstColumn="0" w:lastRowLastColumn="0"/>
          <w:trHeight w:val="737"/>
          <w:jc w:val="center"/>
        </w:trPr>
        <w:tc>
          <w:tcPr>
            <w:cnfStyle w:val="001000000000" w:firstRow="0" w:lastRow="0" w:firstColumn="1" w:lastColumn="0" w:oddVBand="0" w:evenVBand="0" w:oddHBand="0" w:evenHBand="0" w:firstRowFirstColumn="0" w:firstRowLastColumn="0" w:lastRowFirstColumn="0" w:lastRowLastColumn="0"/>
            <w:tcW w:w="1408" w:type="dxa"/>
            <w:vMerge/>
            <w:tcBorders>
              <w:left w:val="single" w:sz="18" w:space="0" w:color="78923D" w:themeColor="accent5" w:themeShade="80"/>
            </w:tcBorders>
            <w:vAlign w:val="center"/>
          </w:tcPr>
          <w:p w14:paraId="606B76F7" w14:textId="77777777" w:rsidR="00F4294E" w:rsidRDefault="00F4294E" w:rsidP="00F4294E">
            <w:pPr>
              <w:autoSpaceDE w:val="0"/>
              <w:autoSpaceDN w:val="0"/>
              <w:adjustRightInd w:val="0"/>
              <w:ind w:firstLine="0"/>
              <w:jc w:val="center"/>
              <w:rPr>
                <w:rFonts w:cstheme="minorHAnsi"/>
                <w:b w:val="0"/>
                <w:bCs w:val="0"/>
                <w:noProof/>
                <w:sz w:val="18"/>
                <w:szCs w:val="18"/>
                <w:lang w:eastAsia="en-GB"/>
              </w:rPr>
            </w:pPr>
          </w:p>
        </w:tc>
        <w:tc>
          <w:tcPr>
            <w:tcW w:w="2790" w:type="dxa"/>
            <w:vAlign w:val="center"/>
          </w:tcPr>
          <w:p w14:paraId="15BFD19A" w14:textId="277D3C96" w:rsidR="00F4294E" w:rsidRDefault="00F4294E" w:rsidP="002E3F94">
            <w:pPr>
              <w:ind w:firstLine="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Wzrost średniej temperatury powietrza oraz częstotliwości występowania upałów</w:t>
            </w:r>
          </w:p>
        </w:tc>
        <w:tc>
          <w:tcPr>
            <w:tcW w:w="3565" w:type="dxa"/>
            <w:vMerge/>
          </w:tcPr>
          <w:p w14:paraId="7AD8BBB0" w14:textId="77777777" w:rsidR="00F4294E" w:rsidRPr="001A1812" w:rsidRDefault="00F4294E" w:rsidP="00F4294E">
            <w:pPr>
              <w:ind w:firstLine="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c>
          <w:tcPr>
            <w:tcW w:w="1523" w:type="dxa"/>
            <w:tcBorders>
              <w:top w:val="single" w:sz="12" w:space="0" w:color="FFFFFF" w:themeColor="background1"/>
              <w:bottom w:val="single" w:sz="12" w:space="0" w:color="FFFFFF" w:themeColor="background1"/>
              <w:right w:val="single" w:sz="18" w:space="0" w:color="78923D" w:themeColor="accent5" w:themeShade="80"/>
            </w:tcBorders>
            <w:shd w:val="clear" w:color="auto" w:fill="FF5050"/>
            <w:vAlign w:val="center"/>
          </w:tcPr>
          <w:p w14:paraId="67A5385C" w14:textId="181A026F" w:rsidR="00F4294E" w:rsidRPr="00F4294E" w:rsidRDefault="00D255EB" w:rsidP="00F4294E">
            <w:pPr>
              <w:ind w:firstLine="0"/>
              <w:jc w:val="center"/>
              <w:cnfStyle w:val="000000010000" w:firstRow="0" w:lastRow="0" w:firstColumn="0" w:lastColumn="0" w:oddVBand="0" w:evenVBand="0" w:oddHBand="0" w:evenHBand="1" w:firstRowFirstColumn="0" w:firstRowLastColumn="0" w:lastRowFirstColumn="0" w:lastRowLastColumn="0"/>
              <w:rPr>
                <w:rFonts w:cstheme="minorHAnsi"/>
                <w:b/>
                <w:bCs/>
                <w:sz w:val="18"/>
                <w:szCs w:val="18"/>
              </w:rPr>
            </w:pPr>
            <w:r>
              <w:rPr>
                <w:rFonts w:cstheme="minorHAnsi"/>
                <w:b/>
                <w:bCs/>
                <w:sz w:val="18"/>
                <w:szCs w:val="18"/>
              </w:rPr>
              <w:t>Wysokie</w:t>
            </w:r>
          </w:p>
        </w:tc>
      </w:tr>
      <w:tr w:rsidR="00F4294E" w:rsidRPr="001A1812" w14:paraId="08BB16B7" w14:textId="77777777" w:rsidTr="002E3F94">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1408" w:type="dxa"/>
            <w:vMerge/>
            <w:tcBorders>
              <w:left w:val="single" w:sz="18" w:space="0" w:color="78923D" w:themeColor="accent5" w:themeShade="80"/>
              <w:bottom w:val="single" w:sz="18" w:space="0" w:color="78923D" w:themeColor="accent5" w:themeShade="80"/>
            </w:tcBorders>
            <w:vAlign w:val="center"/>
          </w:tcPr>
          <w:p w14:paraId="0E4E6540" w14:textId="77777777" w:rsidR="00F4294E" w:rsidRDefault="00F4294E" w:rsidP="00F4294E">
            <w:pPr>
              <w:autoSpaceDE w:val="0"/>
              <w:autoSpaceDN w:val="0"/>
              <w:adjustRightInd w:val="0"/>
              <w:ind w:firstLine="0"/>
              <w:jc w:val="center"/>
              <w:rPr>
                <w:rFonts w:cstheme="minorHAnsi"/>
                <w:b w:val="0"/>
                <w:bCs w:val="0"/>
                <w:noProof/>
                <w:sz w:val="18"/>
                <w:szCs w:val="18"/>
                <w:lang w:eastAsia="en-GB"/>
              </w:rPr>
            </w:pPr>
          </w:p>
        </w:tc>
        <w:tc>
          <w:tcPr>
            <w:tcW w:w="2790" w:type="dxa"/>
            <w:tcBorders>
              <w:bottom w:val="single" w:sz="18" w:space="0" w:color="78923D" w:themeColor="accent5" w:themeShade="80"/>
            </w:tcBorders>
            <w:vAlign w:val="center"/>
          </w:tcPr>
          <w:p w14:paraId="708F138D" w14:textId="59CE5500" w:rsidR="00F4294E" w:rsidRDefault="00F4294E" w:rsidP="002E3F94">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Krótszy okres występowania pokrywy śnieżnej lub jej brak</w:t>
            </w:r>
          </w:p>
        </w:tc>
        <w:tc>
          <w:tcPr>
            <w:tcW w:w="3565" w:type="dxa"/>
            <w:vMerge/>
            <w:tcBorders>
              <w:bottom w:val="single" w:sz="18" w:space="0" w:color="78923D" w:themeColor="accent5" w:themeShade="80"/>
            </w:tcBorders>
          </w:tcPr>
          <w:p w14:paraId="3BEDF71E" w14:textId="77777777" w:rsidR="00F4294E" w:rsidRPr="001A1812" w:rsidRDefault="00F4294E" w:rsidP="00F4294E">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523" w:type="dxa"/>
            <w:tcBorders>
              <w:top w:val="single" w:sz="12" w:space="0" w:color="FFFFFF" w:themeColor="background1"/>
              <w:bottom w:val="single" w:sz="18" w:space="0" w:color="78923D" w:themeColor="accent5" w:themeShade="80"/>
              <w:right w:val="single" w:sz="18" w:space="0" w:color="78923D" w:themeColor="accent5" w:themeShade="80"/>
            </w:tcBorders>
            <w:shd w:val="clear" w:color="auto" w:fill="FF5050"/>
            <w:vAlign w:val="center"/>
          </w:tcPr>
          <w:p w14:paraId="332E0D25" w14:textId="4CE58E09" w:rsidR="00F4294E" w:rsidRPr="00F4294E" w:rsidRDefault="00D255EB" w:rsidP="00F4294E">
            <w:pPr>
              <w:ind w:firstLine="0"/>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Pr>
                <w:rFonts w:cstheme="minorHAnsi"/>
                <w:b/>
                <w:bCs/>
                <w:sz w:val="18"/>
                <w:szCs w:val="18"/>
              </w:rPr>
              <w:t>Wysokie</w:t>
            </w:r>
          </w:p>
        </w:tc>
      </w:tr>
      <w:tr w:rsidR="00F4294E" w:rsidRPr="001A1812" w14:paraId="40F42C9C" w14:textId="088B1238" w:rsidTr="002E3F94">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408" w:type="dxa"/>
            <w:vMerge w:val="restart"/>
            <w:tcBorders>
              <w:top w:val="single" w:sz="18" w:space="0" w:color="78923D" w:themeColor="accent5" w:themeShade="80"/>
              <w:left w:val="single" w:sz="18" w:space="0" w:color="78923D" w:themeColor="accent5" w:themeShade="80"/>
            </w:tcBorders>
            <w:shd w:val="clear" w:color="auto" w:fill="EFF2BE"/>
            <w:vAlign w:val="center"/>
          </w:tcPr>
          <w:p w14:paraId="6825BD7E" w14:textId="5662E9F9" w:rsidR="00F4294E" w:rsidRDefault="00F4294E" w:rsidP="00F4294E">
            <w:pPr>
              <w:autoSpaceDE w:val="0"/>
              <w:autoSpaceDN w:val="0"/>
              <w:adjustRightInd w:val="0"/>
              <w:ind w:firstLine="0"/>
              <w:jc w:val="center"/>
              <w:rPr>
                <w:rFonts w:cstheme="minorHAnsi"/>
                <w:b w:val="0"/>
                <w:bCs w:val="0"/>
                <w:sz w:val="18"/>
                <w:szCs w:val="18"/>
                <w:lang w:eastAsia="en-GB"/>
              </w:rPr>
            </w:pPr>
            <w:r>
              <w:rPr>
                <w:rFonts w:cstheme="minorHAnsi"/>
                <w:noProof/>
                <w:sz w:val="18"/>
                <w:szCs w:val="18"/>
                <w:lang w:eastAsia="en-GB"/>
              </w:rPr>
              <w:drawing>
                <wp:inline distT="0" distB="0" distL="0" distR="0" wp14:anchorId="2BB6E4BA" wp14:editId="094C13D1">
                  <wp:extent cx="720000" cy="720000"/>
                  <wp:effectExtent l="0" t="0" r="4445" b="4445"/>
                  <wp:docPr id="1617994984" name="Grafika 10" descr="Drzewo liściaste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994984" name="Grafika 1617994984" descr="Drzewo liściaste z wypełnieniem pełnym"/>
                          <pic:cNvPicPr/>
                        </pic:nvPicPr>
                        <pic:blipFill>
                          <a:blip r:embed="rId122">
                            <a:extLst>
                              <a:ext uri="{28A0092B-C50C-407E-A947-70E740481C1C}">
                                <a14:useLocalDpi xmlns:a14="http://schemas.microsoft.com/office/drawing/2010/main" val="0"/>
                              </a:ext>
                              <a:ext uri="{96DAC541-7B7A-43D3-8B79-37D633B846F1}">
                                <asvg:svgBlip xmlns:asvg="http://schemas.microsoft.com/office/drawing/2016/SVG/main" r:embed="rId123"/>
                              </a:ext>
                            </a:extLst>
                          </a:blip>
                          <a:stretch>
                            <a:fillRect/>
                          </a:stretch>
                        </pic:blipFill>
                        <pic:spPr>
                          <a:xfrm>
                            <a:off x="0" y="0"/>
                            <a:ext cx="720000" cy="720000"/>
                          </a:xfrm>
                          <a:prstGeom prst="rect">
                            <a:avLst/>
                          </a:prstGeom>
                        </pic:spPr>
                      </pic:pic>
                    </a:graphicData>
                  </a:graphic>
                </wp:inline>
              </w:drawing>
            </w:r>
          </w:p>
          <w:p w14:paraId="4956ECEA" w14:textId="59854144" w:rsidR="00F4294E" w:rsidRPr="001A1812" w:rsidRDefault="00F4294E" w:rsidP="00F4294E">
            <w:pPr>
              <w:autoSpaceDE w:val="0"/>
              <w:autoSpaceDN w:val="0"/>
              <w:adjustRightInd w:val="0"/>
              <w:ind w:firstLine="0"/>
              <w:jc w:val="center"/>
              <w:rPr>
                <w:rFonts w:asciiTheme="minorHAnsi" w:hAnsiTheme="minorHAnsi" w:cstheme="minorHAnsi"/>
                <w:sz w:val="18"/>
                <w:szCs w:val="18"/>
                <w:lang w:eastAsia="en-GB"/>
              </w:rPr>
            </w:pPr>
            <w:r w:rsidRPr="001A1812">
              <w:rPr>
                <w:rFonts w:asciiTheme="minorHAnsi" w:hAnsiTheme="minorHAnsi" w:cstheme="minorHAnsi"/>
                <w:sz w:val="18"/>
                <w:szCs w:val="18"/>
                <w:lang w:eastAsia="en-GB"/>
              </w:rPr>
              <w:t>Obszary zieleni</w:t>
            </w:r>
          </w:p>
        </w:tc>
        <w:tc>
          <w:tcPr>
            <w:tcW w:w="2790" w:type="dxa"/>
            <w:tcBorders>
              <w:top w:val="single" w:sz="18" w:space="0" w:color="78923D" w:themeColor="accent5" w:themeShade="80"/>
            </w:tcBorders>
            <w:vAlign w:val="center"/>
          </w:tcPr>
          <w:p w14:paraId="26CB9FF5" w14:textId="101BA554" w:rsidR="00F4294E" w:rsidRPr="001A1812" w:rsidRDefault="00F4294E" w:rsidP="002E3F94">
            <w:pPr>
              <w:ind w:firstLine="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Susza i pożary</w:t>
            </w:r>
          </w:p>
        </w:tc>
        <w:tc>
          <w:tcPr>
            <w:tcW w:w="3565" w:type="dxa"/>
            <w:vMerge w:val="restart"/>
            <w:tcBorders>
              <w:top w:val="single" w:sz="18" w:space="0" w:color="78923D" w:themeColor="accent5" w:themeShade="80"/>
            </w:tcBorders>
            <w:shd w:val="clear" w:color="auto" w:fill="EFF2BE"/>
            <w:vAlign w:val="center"/>
          </w:tcPr>
          <w:p w14:paraId="1A957A82" w14:textId="77777777" w:rsidR="00F4294E" w:rsidRDefault="00F4294E">
            <w:pPr>
              <w:pStyle w:val="Akapitzlist"/>
              <w:numPr>
                <w:ilvl w:val="0"/>
                <w:numId w:val="76"/>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Rozwój nowych terenów zieleni w mieście.</w:t>
            </w:r>
          </w:p>
          <w:p w14:paraId="6CC44767" w14:textId="3699F27C" w:rsidR="00F4294E" w:rsidRPr="00C0669C" w:rsidRDefault="00F4294E">
            <w:pPr>
              <w:pStyle w:val="Akapitzlist"/>
              <w:numPr>
                <w:ilvl w:val="0"/>
                <w:numId w:val="76"/>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Zmniejszenie presji na środowisko.</w:t>
            </w:r>
          </w:p>
        </w:tc>
        <w:tc>
          <w:tcPr>
            <w:tcW w:w="1523" w:type="dxa"/>
            <w:tcBorders>
              <w:top w:val="single" w:sz="18" w:space="0" w:color="78923D" w:themeColor="accent5" w:themeShade="80"/>
              <w:bottom w:val="single" w:sz="12" w:space="0" w:color="FFFFFF" w:themeColor="background1"/>
              <w:right w:val="single" w:sz="18" w:space="0" w:color="78923D" w:themeColor="accent5" w:themeShade="80"/>
            </w:tcBorders>
            <w:shd w:val="clear" w:color="auto" w:fill="FF5050"/>
            <w:vAlign w:val="center"/>
          </w:tcPr>
          <w:p w14:paraId="5A46ADA8" w14:textId="0DCD5E64" w:rsidR="00F4294E" w:rsidRPr="00F4294E" w:rsidRDefault="00D255EB" w:rsidP="00F4294E">
            <w:pPr>
              <w:ind w:firstLine="0"/>
              <w:jc w:val="center"/>
              <w:cnfStyle w:val="000000010000" w:firstRow="0" w:lastRow="0" w:firstColumn="0" w:lastColumn="0" w:oddVBand="0" w:evenVBand="0" w:oddHBand="0" w:evenHBand="1" w:firstRowFirstColumn="0" w:firstRowLastColumn="0" w:lastRowFirstColumn="0" w:lastRowLastColumn="0"/>
              <w:rPr>
                <w:rFonts w:cstheme="minorHAnsi"/>
                <w:b/>
                <w:bCs/>
                <w:sz w:val="18"/>
                <w:szCs w:val="18"/>
              </w:rPr>
            </w:pPr>
            <w:r>
              <w:rPr>
                <w:rFonts w:cstheme="minorHAnsi"/>
                <w:b/>
                <w:bCs/>
                <w:sz w:val="18"/>
                <w:szCs w:val="18"/>
              </w:rPr>
              <w:t>Wysokie</w:t>
            </w:r>
          </w:p>
        </w:tc>
      </w:tr>
      <w:tr w:rsidR="00F4294E" w:rsidRPr="001A1812" w14:paraId="2DD7CD65" w14:textId="77777777" w:rsidTr="002E3F94">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408" w:type="dxa"/>
            <w:vMerge/>
            <w:tcBorders>
              <w:left w:val="single" w:sz="18" w:space="0" w:color="78923D" w:themeColor="accent5" w:themeShade="80"/>
            </w:tcBorders>
            <w:shd w:val="clear" w:color="auto" w:fill="EFF2BE"/>
            <w:vAlign w:val="center"/>
          </w:tcPr>
          <w:p w14:paraId="4DDD00B1" w14:textId="77777777" w:rsidR="00F4294E" w:rsidRDefault="00F4294E" w:rsidP="00F4294E">
            <w:pPr>
              <w:autoSpaceDE w:val="0"/>
              <w:autoSpaceDN w:val="0"/>
              <w:adjustRightInd w:val="0"/>
              <w:ind w:firstLine="0"/>
              <w:jc w:val="center"/>
              <w:rPr>
                <w:rFonts w:cstheme="minorHAnsi"/>
                <w:b w:val="0"/>
                <w:bCs w:val="0"/>
                <w:noProof/>
                <w:sz w:val="18"/>
                <w:szCs w:val="18"/>
                <w:lang w:eastAsia="en-GB"/>
              </w:rPr>
            </w:pPr>
          </w:p>
        </w:tc>
        <w:tc>
          <w:tcPr>
            <w:tcW w:w="2790" w:type="dxa"/>
            <w:vAlign w:val="center"/>
          </w:tcPr>
          <w:p w14:paraId="32707831" w14:textId="1B17EB8D" w:rsidR="00F4294E" w:rsidRDefault="00F4294E" w:rsidP="002E3F94">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Inwazyjne gatunki obce</w:t>
            </w:r>
          </w:p>
        </w:tc>
        <w:tc>
          <w:tcPr>
            <w:tcW w:w="3565" w:type="dxa"/>
            <w:vMerge/>
            <w:shd w:val="clear" w:color="auto" w:fill="EFF2BE"/>
          </w:tcPr>
          <w:p w14:paraId="1FBFCD3D" w14:textId="77777777" w:rsidR="00F4294E" w:rsidRPr="001A1812" w:rsidRDefault="00F4294E" w:rsidP="00F4294E">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523" w:type="dxa"/>
            <w:tcBorders>
              <w:top w:val="single" w:sz="12" w:space="0" w:color="FFFFFF" w:themeColor="background1"/>
              <w:bottom w:val="single" w:sz="12" w:space="0" w:color="FFFFFF" w:themeColor="background1"/>
              <w:right w:val="single" w:sz="18" w:space="0" w:color="78923D" w:themeColor="accent5" w:themeShade="80"/>
            </w:tcBorders>
            <w:shd w:val="clear" w:color="auto" w:fill="FFC000"/>
            <w:vAlign w:val="center"/>
          </w:tcPr>
          <w:p w14:paraId="1C31640B" w14:textId="22A55509" w:rsidR="00F4294E" w:rsidRPr="00F4294E" w:rsidRDefault="00D255EB" w:rsidP="00F4294E">
            <w:pPr>
              <w:ind w:firstLine="0"/>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Pr>
                <w:rFonts w:cstheme="minorHAnsi"/>
                <w:b/>
                <w:bCs/>
                <w:sz w:val="18"/>
                <w:szCs w:val="18"/>
              </w:rPr>
              <w:t>Średnie</w:t>
            </w:r>
          </w:p>
        </w:tc>
      </w:tr>
      <w:tr w:rsidR="00F4294E" w:rsidRPr="001A1812" w14:paraId="4CD5C02B" w14:textId="77777777" w:rsidTr="002E3F94">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408" w:type="dxa"/>
            <w:vMerge/>
            <w:tcBorders>
              <w:left w:val="single" w:sz="18" w:space="0" w:color="78923D" w:themeColor="accent5" w:themeShade="80"/>
            </w:tcBorders>
            <w:shd w:val="clear" w:color="auto" w:fill="EFF2BE"/>
            <w:vAlign w:val="center"/>
          </w:tcPr>
          <w:p w14:paraId="4AEF5589" w14:textId="77777777" w:rsidR="00F4294E" w:rsidRDefault="00F4294E" w:rsidP="00F4294E">
            <w:pPr>
              <w:autoSpaceDE w:val="0"/>
              <w:autoSpaceDN w:val="0"/>
              <w:adjustRightInd w:val="0"/>
              <w:ind w:firstLine="0"/>
              <w:jc w:val="center"/>
              <w:rPr>
                <w:rFonts w:cstheme="minorHAnsi"/>
                <w:b w:val="0"/>
                <w:bCs w:val="0"/>
                <w:noProof/>
                <w:sz w:val="18"/>
                <w:szCs w:val="18"/>
                <w:lang w:eastAsia="en-GB"/>
              </w:rPr>
            </w:pPr>
          </w:p>
        </w:tc>
        <w:tc>
          <w:tcPr>
            <w:tcW w:w="2790" w:type="dxa"/>
            <w:vAlign w:val="center"/>
          </w:tcPr>
          <w:p w14:paraId="5AB14B4D" w14:textId="285F4379" w:rsidR="00F4294E" w:rsidRDefault="00F4294E" w:rsidP="002E3F94">
            <w:pPr>
              <w:ind w:firstLine="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Zmiana charakterystyki opadów</w:t>
            </w:r>
          </w:p>
        </w:tc>
        <w:tc>
          <w:tcPr>
            <w:tcW w:w="3565" w:type="dxa"/>
            <w:vMerge/>
            <w:shd w:val="clear" w:color="auto" w:fill="EFF2BE"/>
          </w:tcPr>
          <w:p w14:paraId="5EA29D57" w14:textId="77777777" w:rsidR="00F4294E" w:rsidRPr="001A1812" w:rsidRDefault="00F4294E" w:rsidP="00F4294E">
            <w:pPr>
              <w:ind w:firstLine="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c>
          <w:tcPr>
            <w:tcW w:w="1523" w:type="dxa"/>
            <w:tcBorders>
              <w:top w:val="single" w:sz="12" w:space="0" w:color="FFFFFF" w:themeColor="background1"/>
              <w:bottom w:val="single" w:sz="12" w:space="0" w:color="FFFFFF" w:themeColor="background1"/>
              <w:right w:val="single" w:sz="18" w:space="0" w:color="78923D" w:themeColor="accent5" w:themeShade="80"/>
            </w:tcBorders>
            <w:shd w:val="clear" w:color="auto" w:fill="FF5050"/>
            <w:vAlign w:val="center"/>
          </w:tcPr>
          <w:p w14:paraId="1F7B00AD" w14:textId="27558E3F" w:rsidR="00F4294E" w:rsidRPr="00F4294E" w:rsidRDefault="00D255EB" w:rsidP="00F4294E">
            <w:pPr>
              <w:ind w:firstLine="0"/>
              <w:jc w:val="center"/>
              <w:cnfStyle w:val="000000010000" w:firstRow="0" w:lastRow="0" w:firstColumn="0" w:lastColumn="0" w:oddVBand="0" w:evenVBand="0" w:oddHBand="0" w:evenHBand="1" w:firstRowFirstColumn="0" w:firstRowLastColumn="0" w:lastRowFirstColumn="0" w:lastRowLastColumn="0"/>
              <w:rPr>
                <w:rFonts w:cstheme="minorHAnsi"/>
                <w:b/>
                <w:bCs/>
                <w:sz w:val="18"/>
                <w:szCs w:val="18"/>
              </w:rPr>
            </w:pPr>
            <w:r>
              <w:rPr>
                <w:rFonts w:cstheme="minorHAnsi"/>
                <w:b/>
                <w:bCs/>
                <w:sz w:val="18"/>
                <w:szCs w:val="18"/>
              </w:rPr>
              <w:t>Wysokie</w:t>
            </w:r>
          </w:p>
        </w:tc>
      </w:tr>
      <w:tr w:rsidR="00F4294E" w:rsidRPr="001A1812" w14:paraId="1E0D6916" w14:textId="77777777" w:rsidTr="002E3F94">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408" w:type="dxa"/>
            <w:vMerge/>
            <w:tcBorders>
              <w:left w:val="single" w:sz="18" w:space="0" w:color="78923D" w:themeColor="accent5" w:themeShade="80"/>
              <w:bottom w:val="single" w:sz="18" w:space="0" w:color="78923D" w:themeColor="accent5" w:themeShade="80"/>
            </w:tcBorders>
            <w:shd w:val="clear" w:color="auto" w:fill="EFF2BE"/>
            <w:vAlign w:val="center"/>
          </w:tcPr>
          <w:p w14:paraId="3F3A0ADC" w14:textId="77777777" w:rsidR="00F4294E" w:rsidRDefault="00F4294E" w:rsidP="00F4294E">
            <w:pPr>
              <w:autoSpaceDE w:val="0"/>
              <w:autoSpaceDN w:val="0"/>
              <w:adjustRightInd w:val="0"/>
              <w:ind w:firstLine="0"/>
              <w:jc w:val="center"/>
              <w:rPr>
                <w:rFonts w:cstheme="minorHAnsi"/>
                <w:b w:val="0"/>
                <w:bCs w:val="0"/>
                <w:noProof/>
                <w:sz w:val="18"/>
                <w:szCs w:val="18"/>
                <w:lang w:eastAsia="en-GB"/>
              </w:rPr>
            </w:pPr>
          </w:p>
        </w:tc>
        <w:tc>
          <w:tcPr>
            <w:tcW w:w="2790" w:type="dxa"/>
            <w:tcBorders>
              <w:bottom w:val="single" w:sz="18" w:space="0" w:color="78923D" w:themeColor="accent5" w:themeShade="80"/>
            </w:tcBorders>
            <w:vAlign w:val="center"/>
          </w:tcPr>
          <w:p w14:paraId="30BF8093" w14:textId="58DCC430" w:rsidR="00F4294E" w:rsidRDefault="00F4294E" w:rsidP="002E3F94">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Ekstremalne zjawiska pogodowe</w:t>
            </w:r>
          </w:p>
        </w:tc>
        <w:tc>
          <w:tcPr>
            <w:tcW w:w="3565" w:type="dxa"/>
            <w:vMerge/>
            <w:tcBorders>
              <w:bottom w:val="single" w:sz="18" w:space="0" w:color="78923D" w:themeColor="accent5" w:themeShade="80"/>
            </w:tcBorders>
            <w:shd w:val="clear" w:color="auto" w:fill="EFF2BE"/>
          </w:tcPr>
          <w:p w14:paraId="3DB45B66" w14:textId="77777777" w:rsidR="00F4294E" w:rsidRPr="001A1812" w:rsidRDefault="00F4294E" w:rsidP="00F4294E">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523" w:type="dxa"/>
            <w:tcBorders>
              <w:top w:val="single" w:sz="12" w:space="0" w:color="FFFFFF" w:themeColor="background1"/>
              <w:bottom w:val="single" w:sz="18" w:space="0" w:color="78923D" w:themeColor="accent5" w:themeShade="80"/>
              <w:right w:val="single" w:sz="18" w:space="0" w:color="78923D" w:themeColor="accent5" w:themeShade="80"/>
            </w:tcBorders>
            <w:shd w:val="clear" w:color="auto" w:fill="C00000"/>
            <w:vAlign w:val="center"/>
          </w:tcPr>
          <w:p w14:paraId="4B232348" w14:textId="6227B0E2" w:rsidR="00F4294E" w:rsidRPr="00F4294E" w:rsidRDefault="00D255EB" w:rsidP="00F4294E">
            <w:pPr>
              <w:ind w:firstLine="0"/>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D255EB">
              <w:rPr>
                <w:rFonts w:cstheme="minorHAnsi"/>
                <w:b/>
                <w:bCs/>
                <w:color w:val="FFFFFF" w:themeColor="background1"/>
                <w:sz w:val="18"/>
                <w:szCs w:val="18"/>
              </w:rPr>
              <w:t>Bardzo wysokie</w:t>
            </w:r>
          </w:p>
        </w:tc>
      </w:tr>
      <w:tr w:rsidR="00F4294E" w:rsidRPr="001A1812" w14:paraId="5B812475" w14:textId="6480F287" w:rsidTr="002E3F94">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408" w:type="dxa"/>
            <w:vMerge w:val="restart"/>
            <w:tcBorders>
              <w:top w:val="single" w:sz="18" w:space="0" w:color="78923D" w:themeColor="accent5" w:themeShade="80"/>
              <w:left w:val="single" w:sz="18" w:space="0" w:color="78923D" w:themeColor="accent5" w:themeShade="80"/>
            </w:tcBorders>
            <w:vAlign w:val="center"/>
          </w:tcPr>
          <w:p w14:paraId="259A289A" w14:textId="775F6F90" w:rsidR="00F4294E" w:rsidRDefault="00F4294E" w:rsidP="00F4294E">
            <w:pPr>
              <w:autoSpaceDE w:val="0"/>
              <w:autoSpaceDN w:val="0"/>
              <w:adjustRightInd w:val="0"/>
              <w:ind w:firstLine="0"/>
              <w:jc w:val="center"/>
              <w:rPr>
                <w:rFonts w:cstheme="minorHAnsi"/>
                <w:b w:val="0"/>
                <w:bCs w:val="0"/>
                <w:sz w:val="18"/>
                <w:szCs w:val="18"/>
                <w:lang w:eastAsia="en-GB"/>
              </w:rPr>
            </w:pPr>
            <w:r>
              <w:rPr>
                <w:rFonts w:cstheme="minorHAnsi"/>
                <w:noProof/>
                <w:sz w:val="18"/>
                <w:szCs w:val="18"/>
                <w:lang w:eastAsia="en-GB"/>
              </w:rPr>
              <w:drawing>
                <wp:inline distT="0" distB="0" distL="0" distR="0" wp14:anchorId="2347DFF3" wp14:editId="66CAE25B">
                  <wp:extent cx="720000" cy="720000"/>
                  <wp:effectExtent l="0" t="0" r="4445" b="0"/>
                  <wp:docPr id="1101571712" name="Grafika 11" descr="Rolnictwo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571712" name="Grafika 1101571712" descr="Rolnictwo z wypełnieniem pełnym"/>
                          <pic:cNvPicPr/>
                        </pic:nvPicPr>
                        <pic:blipFill>
                          <a:blip r:embed="rId124">
                            <a:extLst>
                              <a:ext uri="{28A0092B-C50C-407E-A947-70E740481C1C}">
                                <a14:useLocalDpi xmlns:a14="http://schemas.microsoft.com/office/drawing/2010/main" val="0"/>
                              </a:ext>
                              <a:ext uri="{96DAC541-7B7A-43D3-8B79-37D633B846F1}">
                                <asvg:svgBlip xmlns:asvg="http://schemas.microsoft.com/office/drawing/2016/SVG/main" r:embed="rId125"/>
                              </a:ext>
                            </a:extLst>
                          </a:blip>
                          <a:stretch>
                            <a:fillRect/>
                          </a:stretch>
                        </pic:blipFill>
                        <pic:spPr>
                          <a:xfrm>
                            <a:off x="0" y="0"/>
                            <a:ext cx="720000" cy="720000"/>
                          </a:xfrm>
                          <a:prstGeom prst="rect">
                            <a:avLst/>
                          </a:prstGeom>
                        </pic:spPr>
                      </pic:pic>
                    </a:graphicData>
                  </a:graphic>
                </wp:inline>
              </w:drawing>
            </w:r>
          </w:p>
          <w:p w14:paraId="701F3B1F" w14:textId="46A0E5BC" w:rsidR="00F4294E" w:rsidRPr="001A1812" w:rsidRDefault="00F4294E" w:rsidP="00F4294E">
            <w:pPr>
              <w:autoSpaceDE w:val="0"/>
              <w:autoSpaceDN w:val="0"/>
              <w:adjustRightInd w:val="0"/>
              <w:ind w:firstLine="0"/>
              <w:jc w:val="center"/>
              <w:rPr>
                <w:rFonts w:asciiTheme="minorHAnsi" w:hAnsiTheme="minorHAnsi" w:cstheme="minorHAnsi"/>
                <w:sz w:val="18"/>
                <w:szCs w:val="18"/>
                <w:lang w:eastAsia="en-GB"/>
              </w:rPr>
            </w:pPr>
            <w:r w:rsidRPr="001A1812">
              <w:rPr>
                <w:rFonts w:asciiTheme="minorHAnsi" w:hAnsiTheme="minorHAnsi" w:cstheme="minorHAnsi"/>
                <w:sz w:val="18"/>
                <w:szCs w:val="18"/>
                <w:lang w:eastAsia="en-GB"/>
              </w:rPr>
              <w:t>Rolnictwo</w:t>
            </w:r>
          </w:p>
        </w:tc>
        <w:tc>
          <w:tcPr>
            <w:tcW w:w="2790" w:type="dxa"/>
            <w:tcBorders>
              <w:top w:val="single" w:sz="18" w:space="0" w:color="78923D" w:themeColor="accent5" w:themeShade="80"/>
            </w:tcBorders>
            <w:vAlign w:val="center"/>
          </w:tcPr>
          <w:p w14:paraId="792C0E3E" w14:textId="2BF460DE" w:rsidR="00F4294E" w:rsidRPr="009B1BE9" w:rsidRDefault="00F4294E" w:rsidP="002E3F94">
            <w:pPr>
              <w:ind w:firstLine="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9B1BE9">
              <w:rPr>
                <w:rFonts w:cstheme="minorHAnsi"/>
                <w:sz w:val="18"/>
                <w:szCs w:val="18"/>
              </w:rPr>
              <w:t>Susze i okresy bezopadowe</w:t>
            </w:r>
          </w:p>
        </w:tc>
        <w:tc>
          <w:tcPr>
            <w:tcW w:w="3565" w:type="dxa"/>
            <w:vMerge w:val="restart"/>
            <w:tcBorders>
              <w:top w:val="single" w:sz="18" w:space="0" w:color="78923D" w:themeColor="accent5" w:themeShade="80"/>
            </w:tcBorders>
            <w:vAlign w:val="center"/>
          </w:tcPr>
          <w:p w14:paraId="1758E682" w14:textId="114A8E83" w:rsidR="00F4294E" w:rsidRPr="009B1BE9" w:rsidRDefault="00F4294E">
            <w:pPr>
              <w:pStyle w:val="Akapitzlist"/>
              <w:numPr>
                <w:ilvl w:val="0"/>
                <w:numId w:val="77"/>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9B1BE9">
              <w:rPr>
                <w:rFonts w:cstheme="minorHAnsi"/>
                <w:sz w:val="18"/>
                <w:szCs w:val="18"/>
              </w:rPr>
              <w:t>Rozwój rolnictwa ekologicznego</w:t>
            </w:r>
            <w:r>
              <w:rPr>
                <w:rFonts w:cstheme="minorHAnsi"/>
                <w:sz w:val="18"/>
                <w:szCs w:val="18"/>
              </w:rPr>
              <w:t>.</w:t>
            </w:r>
          </w:p>
          <w:p w14:paraId="2A2B55A3" w14:textId="345739A0" w:rsidR="00F4294E" w:rsidRPr="009B1BE9" w:rsidRDefault="00F4294E">
            <w:pPr>
              <w:pStyle w:val="Akapitzlist"/>
              <w:numPr>
                <w:ilvl w:val="0"/>
                <w:numId w:val="77"/>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9B1BE9">
              <w:rPr>
                <w:rFonts w:cstheme="minorHAnsi"/>
                <w:sz w:val="18"/>
                <w:szCs w:val="18"/>
              </w:rPr>
              <w:t>Uprawy nowych gatunków</w:t>
            </w:r>
            <w:r>
              <w:rPr>
                <w:rFonts w:cstheme="minorHAnsi"/>
                <w:sz w:val="18"/>
                <w:szCs w:val="18"/>
              </w:rPr>
              <w:t>.</w:t>
            </w:r>
          </w:p>
        </w:tc>
        <w:tc>
          <w:tcPr>
            <w:tcW w:w="1523" w:type="dxa"/>
            <w:tcBorders>
              <w:top w:val="single" w:sz="18" w:space="0" w:color="78923D" w:themeColor="accent5" w:themeShade="80"/>
              <w:bottom w:val="single" w:sz="12" w:space="0" w:color="FFFFFF" w:themeColor="background1"/>
              <w:right w:val="single" w:sz="18" w:space="0" w:color="78923D" w:themeColor="accent5" w:themeShade="80"/>
            </w:tcBorders>
            <w:shd w:val="clear" w:color="auto" w:fill="FFC000"/>
            <w:vAlign w:val="center"/>
          </w:tcPr>
          <w:p w14:paraId="41E4FF7B" w14:textId="2497FB73" w:rsidR="00F4294E" w:rsidRPr="00D255EB" w:rsidRDefault="00D255EB" w:rsidP="00D255EB">
            <w:pPr>
              <w:ind w:firstLine="0"/>
              <w:jc w:val="center"/>
              <w:cnfStyle w:val="000000010000" w:firstRow="0" w:lastRow="0" w:firstColumn="0" w:lastColumn="0" w:oddVBand="0" w:evenVBand="0" w:oddHBand="0" w:evenHBand="1" w:firstRowFirstColumn="0" w:firstRowLastColumn="0" w:lastRowFirstColumn="0" w:lastRowLastColumn="0"/>
              <w:rPr>
                <w:rFonts w:cstheme="minorHAnsi"/>
                <w:b/>
                <w:bCs/>
                <w:sz w:val="18"/>
                <w:szCs w:val="18"/>
              </w:rPr>
            </w:pPr>
            <w:r>
              <w:rPr>
                <w:rFonts w:cstheme="minorHAnsi"/>
                <w:b/>
                <w:bCs/>
                <w:sz w:val="18"/>
                <w:szCs w:val="18"/>
              </w:rPr>
              <w:t>Średnie</w:t>
            </w:r>
          </w:p>
        </w:tc>
      </w:tr>
      <w:tr w:rsidR="00F4294E" w:rsidRPr="001A1812" w14:paraId="65CF44E3" w14:textId="77777777" w:rsidTr="002E3F94">
        <w:trPr>
          <w:cnfStyle w:val="000000100000" w:firstRow="0" w:lastRow="0" w:firstColumn="0" w:lastColumn="0" w:oddVBand="0" w:evenVBand="0" w:oddHBand="1" w:evenHBand="0" w:firstRowFirstColumn="0" w:firstRowLastColumn="0" w:lastRowFirstColumn="0" w:lastRowLastColumn="0"/>
          <w:trHeight w:val="400"/>
          <w:jc w:val="center"/>
        </w:trPr>
        <w:tc>
          <w:tcPr>
            <w:cnfStyle w:val="001000000000" w:firstRow="0" w:lastRow="0" w:firstColumn="1" w:lastColumn="0" w:oddVBand="0" w:evenVBand="0" w:oddHBand="0" w:evenHBand="0" w:firstRowFirstColumn="0" w:firstRowLastColumn="0" w:lastRowFirstColumn="0" w:lastRowLastColumn="0"/>
            <w:tcW w:w="1408" w:type="dxa"/>
            <w:vMerge/>
            <w:tcBorders>
              <w:left w:val="single" w:sz="18" w:space="0" w:color="78923D" w:themeColor="accent5" w:themeShade="80"/>
            </w:tcBorders>
            <w:vAlign w:val="center"/>
          </w:tcPr>
          <w:p w14:paraId="61DE08A8" w14:textId="77777777" w:rsidR="00F4294E" w:rsidRDefault="00F4294E" w:rsidP="00F4294E">
            <w:pPr>
              <w:autoSpaceDE w:val="0"/>
              <w:autoSpaceDN w:val="0"/>
              <w:adjustRightInd w:val="0"/>
              <w:ind w:firstLine="0"/>
              <w:jc w:val="center"/>
              <w:rPr>
                <w:rFonts w:cstheme="minorHAnsi"/>
                <w:b w:val="0"/>
                <w:bCs w:val="0"/>
                <w:noProof/>
                <w:sz w:val="18"/>
                <w:szCs w:val="18"/>
                <w:lang w:eastAsia="en-GB"/>
              </w:rPr>
            </w:pPr>
          </w:p>
        </w:tc>
        <w:tc>
          <w:tcPr>
            <w:tcW w:w="2790" w:type="dxa"/>
            <w:vAlign w:val="center"/>
          </w:tcPr>
          <w:p w14:paraId="1DFEFD42" w14:textId="5934F6FE" w:rsidR="00F4294E" w:rsidRDefault="00F4294E" w:rsidP="002E3F94">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Wzrost średniej temperatury powietrza</w:t>
            </w:r>
          </w:p>
        </w:tc>
        <w:tc>
          <w:tcPr>
            <w:tcW w:w="3565" w:type="dxa"/>
            <w:vMerge/>
          </w:tcPr>
          <w:p w14:paraId="5A4699DA" w14:textId="77777777" w:rsidR="00F4294E" w:rsidRPr="001A1812" w:rsidRDefault="00F4294E" w:rsidP="00F4294E">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523" w:type="dxa"/>
            <w:tcBorders>
              <w:top w:val="single" w:sz="12" w:space="0" w:color="FFFFFF" w:themeColor="background1"/>
              <w:bottom w:val="single" w:sz="12" w:space="0" w:color="FFFFFF" w:themeColor="background1"/>
              <w:right w:val="single" w:sz="18" w:space="0" w:color="78923D" w:themeColor="accent5" w:themeShade="80"/>
            </w:tcBorders>
            <w:shd w:val="clear" w:color="auto" w:fill="FF5050"/>
            <w:vAlign w:val="center"/>
          </w:tcPr>
          <w:p w14:paraId="618927F8" w14:textId="456830A3" w:rsidR="00F4294E" w:rsidRPr="00D255EB" w:rsidRDefault="00D255EB" w:rsidP="00D255EB">
            <w:pPr>
              <w:ind w:firstLine="0"/>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Pr>
                <w:rFonts w:cstheme="minorHAnsi"/>
                <w:b/>
                <w:bCs/>
                <w:sz w:val="18"/>
                <w:szCs w:val="18"/>
              </w:rPr>
              <w:t>Wysokie</w:t>
            </w:r>
          </w:p>
        </w:tc>
      </w:tr>
      <w:tr w:rsidR="00F4294E" w:rsidRPr="001A1812" w14:paraId="371E7FDB" w14:textId="77777777" w:rsidTr="002E3F94">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408" w:type="dxa"/>
            <w:vMerge/>
            <w:tcBorders>
              <w:left w:val="single" w:sz="18" w:space="0" w:color="78923D" w:themeColor="accent5" w:themeShade="80"/>
            </w:tcBorders>
            <w:vAlign w:val="center"/>
          </w:tcPr>
          <w:p w14:paraId="5B92929A" w14:textId="77777777" w:rsidR="00F4294E" w:rsidRDefault="00F4294E" w:rsidP="00F4294E">
            <w:pPr>
              <w:autoSpaceDE w:val="0"/>
              <w:autoSpaceDN w:val="0"/>
              <w:adjustRightInd w:val="0"/>
              <w:ind w:firstLine="0"/>
              <w:jc w:val="center"/>
              <w:rPr>
                <w:rFonts w:cstheme="minorHAnsi"/>
                <w:b w:val="0"/>
                <w:bCs w:val="0"/>
                <w:noProof/>
                <w:sz w:val="18"/>
                <w:szCs w:val="18"/>
                <w:lang w:eastAsia="en-GB"/>
              </w:rPr>
            </w:pPr>
          </w:p>
        </w:tc>
        <w:tc>
          <w:tcPr>
            <w:tcW w:w="2790" w:type="dxa"/>
            <w:vAlign w:val="center"/>
          </w:tcPr>
          <w:p w14:paraId="210F0B7E" w14:textId="466C77EF" w:rsidR="00F4294E" w:rsidRDefault="00F4294E" w:rsidP="002E3F94">
            <w:pPr>
              <w:ind w:firstLine="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Inwazyjne gatunki obce i szkodniki</w:t>
            </w:r>
          </w:p>
        </w:tc>
        <w:tc>
          <w:tcPr>
            <w:tcW w:w="3565" w:type="dxa"/>
            <w:vMerge/>
          </w:tcPr>
          <w:p w14:paraId="5938A9AD" w14:textId="77777777" w:rsidR="00F4294E" w:rsidRPr="001A1812" w:rsidRDefault="00F4294E" w:rsidP="00F4294E">
            <w:pPr>
              <w:ind w:firstLine="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c>
          <w:tcPr>
            <w:tcW w:w="1523" w:type="dxa"/>
            <w:tcBorders>
              <w:top w:val="single" w:sz="12" w:space="0" w:color="FFFFFF" w:themeColor="background1"/>
              <w:bottom w:val="single" w:sz="12" w:space="0" w:color="FFFFFF" w:themeColor="background1"/>
              <w:right w:val="single" w:sz="18" w:space="0" w:color="78923D" w:themeColor="accent5" w:themeShade="80"/>
            </w:tcBorders>
            <w:shd w:val="clear" w:color="auto" w:fill="FFC000"/>
            <w:vAlign w:val="center"/>
          </w:tcPr>
          <w:p w14:paraId="6DD247EF" w14:textId="5317DA73" w:rsidR="00F4294E" w:rsidRPr="00D255EB" w:rsidRDefault="00D255EB" w:rsidP="00D255EB">
            <w:pPr>
              <w:ind w:firstLine="0"/>
              <w:jc w:val="center"/>
              <w:cnfStyle w:val="000000010000" w:firstRow="0" w:lastRow="0" w:firstColumn="0" w:lastColumn="0" w:oddVBand="0" w:evenVBand="0" w:oddHBand="0" w:evenHBand="1" w:firstRowFirstColumn="0" w:firstRowLastColumn="0" w:lastRowFirstColumn="0" w:lastRowLastColumn="0"/>
              <w:rPr>
                <w:rFonts w:cstheme="minorHAnsi"/>
                <w:b/>
                <w:bCs/>
                <w:sz w:val="18"/>
                <w:szCs w:val="18"/>
              </w:rPr>
            </w:pPr>
            <w:r>
              <w:rPr>
                <w:rFonts w:cstheme="minorHAnsi"/>
                <w:b/>
                <w:bCs/>
                <w:sz w:val="18"/>
                <w:szCs w:val="18"/>
              </w:rPr>
              <w:t>Średnie</w:t>
            </w:r>
          </w:p>
        </w:tc>
      </w:tr>
      <w:tr w:rsidR="00F4294E" w:rsidRPr="001A1812" w14:paraId="63781E08" w14:textId="77777777" w:rsidTr="002E3F94">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408" w:type="dxa"/>
            <w:vMerge/>
            <w:tcBorders>
              <w:left w:val="single" w:sz="18" w:space="0" w:color="78923D" w:themeColor="accent5" w:themeShade="80"/>
              <w:bottom w:val="single" w:sz="18" w:space="0" w:color="78923D" w:themeColor="accent5" w:themeShade="80"/>
            </w:tcBorders>
            <w:vAlign w:val="center"/>
          </w:tcPr>
          <w:p w14:paraId="281BBAEB" w14:textId="77777777" w:rsidR="00F4294E" w:rsidRDefault="00F4294E" w:rsidP="00F4294E">
            <w:pPr>
              <w:autoSpaceDE w:val="0"/>
              <w:autoSpaceDN w:val="0"/>
              <w:adjustRightInd w:val="0"/>
              <w:ind w:firstLine="0"/>
              <w:jc w:val="center"/>
              <w:rPr>
                <w:rFonts w:cstheme="minorHAnsi"/>
                <w:b w:val="0"/>
                <w:bCs w:val="0"/>
                <w:noProof/>
                <w:sz w:val="18"/>
                <w:szCs w:val="18"/>
                <w:lang w:eastAsia="en-GB"/>
              </w:rPr>
            </w:pPr>
          </w:p>
        </w:tc>
        <w:tc>
          <w:tcPr>
            <w:tcW w:w="2790" w:type="dxa"/>
            <w:tcBorders>
              <w:bottom w:val="single" w:sz="18" w:space="0" w:color="78923D" w:themeColor="accent5" w:themeShade="80"/>
            </w:tcBorders>
            <w:vAlign w:val="center"/>
          </w:tcPr>
          <w:p w14:paraId="4ADE925A" w14:textId="5A72C67A" w:rsidR="00F4294E" w:rsidRDefault="00F4294E" w:rsidP="002E3F94">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Ekstremalne zjawiska pogodowe</w:t>
            </w:r>
          </w:p>
        </w:tc>
        <w:tc>
          <w:tcPr>
            <w:tcW w:w="3565" w:type="dxa"/>
            <w:vMerge/>
            <w:tcBorders>
              <w:bottom w:val="single" w:sz="18" w:space="0" w:color="78923D" w:themeColor="accent5" w:themeShade="80"/>
            </w:tcBorders>
          </w:tcPr>
          <w:p w14:paraId="57A15D63" w14:textId="77777777" w:rsidR="00F4294E" w:rsidRPr="001A1812" w:rsidRDefault="00F4294E" w:rsidP="00F4294E">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p>
        </w:tc>
        <w:tc>
          <w:tcPr>
            <w:tcW w:w="1523" w:type="dxa"/>
            <w:tcBorders>
              <w:top w:val="single" w:sz="12" w:space="0" w:color="FFFFFF" w:themeColor="background1"/>
              <w:bottom w:val="single" w:sz="18" w:space="0" w:color="78923D" w:themeColor="accent5" w:themeShade="80"/>
              <w:right w:val="single" w:sz="18" w:space="0" w:color="78923D" w:themeColor="accent5" w:themeShade="80"/>
            </w:tcBorders>
            <w:shd w:val="clear" w:color="auto" w:fill="C00000"/>
            <w:vAlign w:val="center"/>
          </w:tcPr>
          <w:p w14:paraId="64887EDF" w14:textId="28FDDEAF" w:rsidR="00F4294E" w:rsidRPr="00D255EB" w:rsidRDefault="00D255EB" w:rsidP="00D255EB">
            <w:pPr>
              <w:ind w:firstLine="0"/>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sidRPr="00D255EB">
              <w:rPr>
                <w:rFonts w:cstheme="minorHAnsi"/>
                <w:b/>
                <w:bCs/>
                <w:color w:val="FFFFFF" w:themeColor="background1"/>
                <w:sz w:val="18"/>
                <w:szCs w:val="18"/>
              </w:rPr>
              <w:t>Bardzo wysokie</w:t>
            </w:r>
          </w:p>
        </w:tc>
      </w:tr>
    </w:tbl>
    <w:p w14:paraId="48A53153" w14:textId="77777777" w:rsidR="009B1BE9" w:rsidRDefault="009B1BE9">
      <w:pPr>
        <w:spacing w:after="200"/>
        <w:ind w:firstLine="0"/>
        <w:jc w:val="left"/>
      </w:pPr>
      <w:r>
        <w:br w:type="page"/>
      </w:r>
    </w:p>
    <w:tbl>
      <w:tblPr>
        <w:tblStyle w:val="Jasnasiatkaakcent3212"/>
        <w:tblW w:w="9286" w:type="dxa"/>
        <w:tblLayout w:type="fixed"/>
        <w:tblLook w:val="04A0" w:firstRow="1" w:lastRow="0" w:firstColumn="1" w:lastColumn="0" w:noHBand="0" w:noVBand="1"/>
      </w:tblPr>
      <w:tblGrid>
        <w:gridCol w:w="1408"/>
        <w:gridCol w:w="2790"/>
        <w:gridCol w:w="3707"/>
        <w:gridCol w:w="1381"/>
      </w:tblGrid>
      <w:tr w:rsidR="00BF4424" w:rsidRPr="001A1812" w14:paraId="02CC8DCC" w14:textId="77777777" w:rsidTr="00BF4424">
        <w:trPr>
          <w:cnfStyle w:val="100000000000" w:firstRow="1" w:lastRow="0" w:firstColumn="0" w:lastColumn="0" w:oddVBand="0" w:evenVBand="0" w:oddHBand="0" w:evenHBand="0" w:firstRowFirstColumn="0" w:firstRowLastColumn="0" w:lastRowFirstColumn="0" w:lastRowLastColumn="0"/>
          <w:cantSplit/>
          <w:trHeight w:val="340"/>
        </w:trPr>
        <w:tc>
          <w:tcPr>
            <w:cnfStyle w:val="001000000000" w:firstRow="0" w:lastRow="0" w:firstColumn="1" w:lastColumn="0" w:oddVBand="0" w:evenVBand="0" w:oddHBand="0" w:evenHBand="0" w:firstRowFirstColumn="0" w:firstRowLastColumn="0" w:lastRowFirstColumn="0" w:lastRowLastColumn="0"/>
            <w:tcW w:w="1408" w:type="dxa"/>
            <w:tcBorders>
              <w:top w:val="single" w:sz="18" w:space="0" w:color="78923D" w:themeColor="accent5" w:themeShade="80"/>
              <w:left w:val="single" w:sz="18" w:space="0" w:color="78923D" w:themeColor="accent5" w:themeShade="80"/>
              <w:bottom w:val="single" w:sz="18" w:space="0" w:color="78923D" w:themeColor="accent5" w:themeShade="80"/>
            </w:tcBorders>
            <w:shd w:val="clear" w:color="auto" w:fill="BCC167" w:themeFill="accent2"/>
            <w:vAlign w:val="center"/>
          </w:tcPr>
          <w:p w14:paraId="35B72911" w14:textId="298E292F" w:rsidR="00BF4424" w:rsidRPr="00BF4424" w:rsidRDefault="00BF4424" w:rsidP="00BF4424">
            <w:pPr>
              <w:autoSpaceDE w:val="0"/>
              <w:autoSpaceDN w:val="0"/>
              <w:adjustRightInd w:val="0"/>
              <w:ind w:firstLine="0"/>
              <w:jc w:val="center"/>
              <w:rPr>
                <w:rFonts w:asciiTheme="minorHAnsi" w:hAnsiTheme="minorHAnsi" w:cstheme="minorHAnsi"/>
                <w:b w:val="0"/>
                <w:bCs w:val="0"/>
                <w:noProof/>
                <w:sz w:val="18"/>
                <w:szCs w:val="18"/>
                <w:lang w:eastAsia="en-GB"/>
              </w:rPr>
            </w:pPr>
            <w:r w:rsidRPr="00BF4424">
              <w:rPr>
                <w:rFonts w:asciiTheme="minorHAnsi" w:hAnsiTheme="minorHAnsi" w:cstheme="minorHAnsi"/>
                <w:color w:val="auto"/>
                <w:sz w:val="18"/>
                <w:szCs w:val="18"/>
              </w:rPr>
              <w:lastRenderedPageBreak/>
              <w:t>Sektor</w:t>
            </w:r>
          </w:p>
        </w:tc>
        <w:tc>
          <w:tcPr>
            <w:tcW w:w="2790" w:type="dxa"/>
            <w:tcBorders>
              <w:top w:val="single" w:sz="18" w:space="0" w:color="78923D" w:themeColor="accent5" w:themeShade="80"/>
              <w:bottom w:val="single" w:sz="18" w:space="0" w:color="78923D" w:themeColor="accent5" w:themeShade="80"/>
            </w:tcBorders>
            <w:shd w:val="clear" w:color="auto" w:fill="BCC167" w:themeFill="accent2"/>
            <w:vAlign w:val="center"/>
          </w:tcPr>
          <w:p w14:paraId="4EAF434C" w14:textId="4DCEB9E1" w:rsidR="00BF4424" w:rsidRPr="00BF4424" w:rsidRDefault="00BF4424" w:rsidP="00BF4424">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BF4424">
              <w:rPr>
                <w:rFonts w:asciiTheme="minorHAnsi" w:hAnsiTheme="minorHAnsi" w:cstheme="minorHAnsi"/>
                <w:color w:val="auto"/>
                <w:sz w:val="18"/>
                <w:szCs w:val="18"/>
              </w:rPr>
              <w:t>Zagrożenia</w:t>
            </w:r>
          </w:p>
        </w:tc>
        <w:tc>
          <w:tcPr>
            <w:tcW w:w="3707" w:type="dxa"/>
            <w:tcBorders>
              <w:top w:val="single" w:sz="18" w:space="0" w:color="78923D" w:themeColor="accent5" w:themeShade="80"/>
              <w:bottom w:val="single" w:sz="18" w:space="0" w:color="78923D" w:themeColor="accent5" w:themeShade="80"/>
            </w:tcBorders>
            <w:shd w:val="clear" w:color="auto" w:fill="BCC167" w:themeFill="accent2"/>
            <w:vAlign w:val="center"/>
          </w:tcPr>
          <w:p w14:paraId="34B59772" w14:textId="0EBDC35C" w:rsidR="00BF4424" w:rsidRPr="00BF4424" w:rsidRDefault="00BF4424" w:rsidP="00BF4424">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sz w:val="18"/>
                <w:szCs w:val="18"/>
              </w:rPr>
            </w:pPr>
            <w:r w:rsidRPr="00BF4424">
              <w:rPr>
                <w:rFonts w:asciiTheme="minorHAnsi" w:hAnsiTheme="minorHAnsi" w:cstheme="minorHAnsi"/>
                <w:color w:val="auto"/>
                <w:sz w:val="18"/>
                <w:szCs w:val="18"/>
              </w:rPr>
              <w:t>Szanse</w:t>
            </w:r>
          </w:p>
        </w:tc>
        <w:tc>
          <w:tcPr>
            <w:tcW w:w="1381" w:type="dxa"/>
            <w:tcBorders>
              <w:top w:val="single" w:sz="18" w:space="0" w:color="78923D" w:themeColor="accent5" w:themeShade="80"/>
              <w:bottom w:val="single" w:sz="18" w:space="0" w:color="78923D" w:themeColor="accent5" w:themeShade="80"/>
              <w:right w:val="single" w:sz="18" w:space="0" w:color="78923D" w:themeColor="accent5" w:themeShade="80"/>
            </w:tcBorders>
            <w:shd w:val="clear" w:color="auto" w:fill="BCC167" w:themeFill="accent2"/>
            <w:vAlign w:val="center"/>
          </w:tcPr>
          <w:p w14:paraId="357FCC47" w14:textId="20FC5300" w:rsidR="00BF4424" w:rsidRPr="00BF4424" w:rsidRDefault="00BF4424" w:rsidP="00BF4424">
            <w:pPr>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BF4424">
              <w:rPr>
                <w:rFonts w:asciiTheme="minorHAnsi" w:hAnsiTheme="minorHAnsi" w:cstheme="minorHAnsi"/>
                <w:color w:val="auto"/>
                <w:sz w:val="18"/>
                <w:szCs w:val="18"/>
              </w:rPr>
              <w:t>Ryzyko klimatyczne</w:t>
            </w:r>
          </w:p>
        </w:tc>
      </w:tr>
      <w:tr w:rsidR="009B1BE9" w:rsidRPr="001A1812" w14:paraId="4E85C06C" w14:textId="0929F4BE" w:rsidTr="00BF4424">
        <w:trPr>
          <w:cnfStyle w:val="000000100000" w:firstRow="0" w:lastRow="0" w:firstColumn="0" w:lastColumn="0" w:oddVBand="0" w:evenVBand="0" w:oddHBand="1" w:evenHBand="0" w:firstRowFirstColumn="0" w:firstRowLastColumn="0" w:lastRowFirstColumn="0" w:lastRowLastColumn="0"/>
          <w:cantSplit/>
          <w:trHeight w:val="850"/>
        </w:trPr>
        <w:tc>
          <w:tcPr>
            <w:cnfStyle w:val="001000000000" w:firstRow="0" w:lastRow="0" w:firstColumn="1" w:lastColumn="0" w:oddVBand="0" w:evenVBand="0" w:oddHBand="0" w:evenHBand="0" w:firstRowFirstColumn="0" w:firstRowLastColumn="0" w:lastRowFirstColumn="0" w:lastRowLastColumn="0"/>
            <w:tcW w:w="1408" w:type="dxa"/>
            <w:vMerge w:val="restart"/>
            <w:tcBorders>
              <w:top w:val="single" w:sz="18" w:space="0" w:color="78923D" w:themeColor="accent5" w:themeShade="80"/>
              <w:left w:val="single" w:sz="18" w:space="0" w:color="78923D" w:themeColor="accent5" w:themeShade="80"/>
            </w:tcBorders>
            <w:shd w:val="clear" w:color="auto" w:fill="EFF2BE"/>
            <w:vAlign w:val="center"/>
          </w:tcPr>
          <w:p w14:paraId="7F027FB9" w14:textId="54B209ED" w:rsidR="009B1BE9" w:rsidRDefault="009B1BE9" w:rsidP="001A1812">
            <w:pPr>
              <w:autoSpaceDE w:val="0"/>
              <w:autoSpaceDN w:val="0"/>
              <w:adjustRightInd w:val="0"/>
              <w:ind w:firstLine="0"/>
              <w:jc w:val="center"/>
              <w:rPr>
                <w:rFonts w:cstheme="minorHAnsi"/>
                <w:b w:val="0"/>
                <w:bCs w:val="0"/>
                <w:sz w:val="18"/>
                <w:szCs w:val="18"/>
                <w:lang w:eastAsia="en-GB"/>
              </w:rPr>
            </w:pPr>
            <w:r>
              <w:rPr>
                <w:rFonts w:cstheme="minorHAnsi"/>
                <w:noProof/>
                <w:sz w:val="18"/>
                <w:szCs w:val="18"/>
                <w:lang w:eastAsia="en-GB"/>
              </w:rPr>
              <w:drawing>
                <wp:inline distT="0" distB="0" distL="0" distR="0" wp14:anchorId="4D33B5BE" wp14:editId="1065E10A">
                  <wp:extent cx="720000" cy="720000"/>
                  <wp:effectExtent l="0" t="0" r="0" b="4445"/>
                  <wp:docPr id="988235208" name="Grafika 12" descr="Wycieczk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235208" name="Grafika 988235208" descr="Wycieczka z wypełnieniem pełnym"/>
                          <pic:cNvPicPr/>
                        </pic:nvPicPr>
                        <pic:blipFill>
                          <a:blip r:embed="rId126">
                            <a:extLst>
                              <a:ext uri="{28A0092B-C50C-407E-A947-70E740481C1C}">
                                <a14:useLocalDpi xmlns:a14="http://schemas.microsoft.com/office/drawing/2010/main" val="0"/>
                              </a:ext>
                              <a:ext uri="{96DAC541-7B7A-43D3-8B79-37D633B846F1}">
                                <asvg:svgBlip xmlns:asvg="http://schemas.microsoft.com/office/drawing/2016/SVG/main" r:embed="rId127"/>
                              </a:ext>
                            </a:extLst>
                          </a:blip>
                          <a:stretch>
                            <a:fillRect/>
                          </a:stretch>
                        </pic:blipFill>
                        <pic:spPr>
                          <a:xfrm>
                            <a:off x="0" y="0"/>
                            <a:ext cx="720000" cy="720000"/>
                          </a:xfrm>
                          <a:prstGeom prst="rect">
                            <a:avLst/>
                          </a:prstGeom>
                        </pic:spPr>
                      </pic:pic>
                    </a:graphicData>
                  </a:graphic>
                </wp:inline>
              </w:drawing>
            </w:r>
          </w:p>
          <w:p w14:paraId="116236F0" w14:textId="105A9B3F" w:rsidR="009B1BE9" w:rsidRPr="001A1812" w:rsidRDefault="009B1BE9" w:rsidP="001A1812">
            <w:pPr>
              <w:autoSpaceDE w:val="0"/>
              <w:autoSpaceDN w:val="0"/>
              <w:adjustRightInd w:val="0"/>
              <w:ind w:firstLine="0"/>
              <w:jc w:val="center"/>
              <w:rPr>
                <w:rFonts w:asciiTheme="minorHAnsi" w:hAnsiTheme="minorHAnsi" w:cstheme="minorHAnsi"/>
                <w:sz w:val="18"/>
                <w:szCs w:val="18"/>
                <w:lang w:eastAsia="en-GB"/>
              </w:rPr>
            </w:pPr>
            <w:r w:rsidRPr="001A1812">
              <w:rPr>
                <w:rFonts w:asciiTheme="minorHAnsi" w:hAnsiTheme="minorHAnsi" w:cstheme="minorHAnsi"/>
                <w:sz w:val="18"/>
                <w:szCs w:val="18"/>
                <w:lang w:eastAsia="en-GB"/>
              </w:rPr>
              <w:t>Turystyka i dziedzictwo kulturowe</w:t>
            </w:r>
          </w:p>
        </w:tc>
        <w:tc>
          <w:tcPr>
            <w:tcW w:w="2790" w:type="dxa"/>
            <w:tcBorders>
              <w:top w:val="single" w:sz="18" w:space="0" w:color="78923D" w:themeColor="accent5" w:themeShade="80"/>
              <w:bottom w:val="single" w:sz="4" w:space="0" w:color="9DA321" w:themeColor="accent3"/>
            </w:tcBorders>
            <w:shd w:val="clear" w:color="auto" w:fill="auto"/>
          </w:tcPr>
          <w:p w14:paraId="7FE25FF6" w14:textId="64989606" w:rsidR="009B1BE9" w:rsidRPr="00BF4424" w:rsidRDefault="009B1BE9" w:rsidP="009B1BE9">
            <w:pPr>
              <w:ind w:firstLine="0"/>
              <w:jc w:val="left"/>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rPr>
            </w:pPr>
            <w:r w:rsidRPr="00BF4424">
              <w:rPr>
                <w:rFonts w:ascii="Calibri" w:hAnsi="Calibri" w:cs="Calibri"/>
                <w:sz w:val="18"/>
                <w:szCs w:val="18"/>
              </w:rPr>
              <w:t>Ekstremalne zjawiska pogodowe</w:t>
            </w:r>
          </w:p>
        </w:tc>
        <w:tc>
          <w:tcPr>
            <w:tcW w:w="3707" w:type="dxa"/>
            <w:vMerge w:val="restart"/>
            <w:tcBorders>
              <w:top w:val="single" w:sz="18" w:space="0" w:color="78923D" w:themeColor="accent5" w:themeShade="80"/>
            </w:tcBorders>
            <w:shd w:val="clear" w:color="auto" w:fill="EFF2BE"/>
            <w:vAlign w:val="center"/>
          </w:tcPr>
          <w:p w14:paraId="3F923184" w14:textId="66826B32" w:rsidR="009B1BE9" w:rsidRPr="00BF4424" w:rsidRDefault="0064756D">
            <w:pPr>
              <w:pStyle w:val="Akapitzlist"/>
              <w:numPr>
                <w:ilvl w:val="0"/>
                <w:numId w:val="78"/>
              </w:numPr>
              <w:ind w:left="170" w:hanging="170"/>
              <w:jc w:val="left"/>
              <w:cnfStyle w:val="000000100000" w:firstRow="0" w:lastRow="0" w:firstColumn="0" w:lastColumn="0" w:oddVBand="0" w:evenVBand="0" w:oddHBand="1" w:evenHBand="0" w:firstRowFirstColumn="0" w:firstRowLastColumn="0" w:lastRowFirstColumn="0" w:lastRowLastColumn="0"/>
              <w:rPr>
                <w:rFonts w:ascii="Calibri" w:eastAsiaTheme="majorEastAsia" w:hAnsi="Calibri" w:cs="Calibri"/>
                <w:sz w:val="18"/>
                <w:szCs w:val="18"/>
              </w:rPr>
            </w:pPr>
            <w:r w:rsidRPr="00BF4424">
              <w:rPr>
                <w:rFonts w:ascii="Calibri" w:hAnsi="Calibri" w:cs="Calibri"/>
                <w:sz w:val="18"/>
                <w:szCs w:val="18"/>
              </w:rPr>
              <w:t>Rozwój agroturystyki.</w:t>
            </w:r>
          </w:p>
          <w:p w14:paraId="2A886B36" w14:textId="28F90AE1" w:rsidR="0064756D" w:rsidRPr="00BF4424" w:rsidRDefault="0064756D">
            <w:pPr>
              <w:pStyle w:val="Akapitzlist"/>
              <w:numPr>
                <w:ilvl w:val="0"/>
                <w:numId w:val="78"/>
              </w:numPr>
              <w:ind w:left="170" w:hanging="170"/>
              <w:jc w:val="left"/>
              <w:cnfStyle w:val="000000100000" w:firstRow="0" w:lastRow="0" w:firstColumn="0" w:lastColumn="0" w:oddVBand="0" w:evenVBand="0" w:oddHBand="1" w:evenHBand="0" w:firstRowFirstColumn="0" w:firstRowLastColumn="0" w:lastRowFirstColumn="0" w:lastRowLastColumn="0"/>
              <w:rPr>
                <w:rFonts w:ascii="Calibri" w:eastAsiaTheme="majorEastAsia" w:hAnsi="Calibri" w:cs="Calibri"/>
                <w:sz w:val="18"/>
                <w:szCs w:val="18"/>
              </w:rPr>
            </w:pPr>
            <w:r w:rsidRPr="00BF4424">
              <w:rPr>
                <w:rFonts w:ascii="Calibri" w:hAnsi="Calibri" w:cs="Calibri"/>
                <w:sz w:val="18"/>
                <w:szCs w:val="18"/>
              </w:rPr>
              <w:t>Wykorzystanie dłuższego okresu turystycznego.</w:t>
            </w:r>
          </w:p>
        </w:tc>
        <w:tc>
          <w:tcPr>
            <w:tcW w:w="1381" w:type="dxa"/>
            <w:tcBorders>
              <w:top w:val="single" w:sz="18" w:space="0" w:color="78923D" w:themeColor="accent5" w:themeShade="80"/>
              <w:bottom w:val="single" w:sz="12" w:space="0" w:color="FFFFFF" w:themeColor="background1"/>
              <w:right w:val="single" w:sz="18" w:space="0" w:color="78923D" w:themeColor="accent5" w:themeShade="80"/>
            </w:tcBorders>
            <w:shd w:val="clear" w:color="auto" w:fill="FF5050"/>
            <w:vAlign w:val="center"/>
          </w:tcPr>
          <w:p w14:paraId="299ED572" w14:textId="7D875F73" w:rsidR="009B1BE9" w:rsidRPr="00D255EB" w:rsidRDefault="00D255EB" w:rsidP="00D255EB">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18"/>
                <w:szCs w:val="18"/>
              </w:rPr>
            </w:pPr>
            <w:r w:rsidRPr="00BF4424">
              <w:rPr>
                <w:rFonts w:cstheme="minorHAnsi"/>
                <w:b/>
                <w:bCs/>
                <w:sz w:val="18"/>
                <w:szCs w:val="18"/>
              </w:rPr>
              <w:t>Wysokie</w:t>
            </w:r>
          </w:p>
        </w:tc>
      </w:tr>
      <w:tr w:rsidR="009B1BE9" w:rsidRPr="001A1812" w14:paraId="7E69F734" w14:textId="77777777" w:rsidTr="00BF4424">
        <w:trPr>
          <w:cnfStyle w:val="000000010000" w:firstRow="0" w:lastRow="0" w:firstColumn="0" w:lastColumn="0" w:oddVBand="0" w:evenVBand="0" w:oddHBand="0" w:evenHBand="1" w:firstRowFirstColumn="0" w:firstRowLastColumn="0" w:lastRowFirstColumn="0" w:lastRowLastColumn="0"/>
          <w:cantSplit/>
          <w:trHeight w:val="850"/>
        </w:trPr>
        <w:tc>
          <w:tcPr>
            <w:cnfStyle w:val="001000000000" w:firstRow="0" w:lastRow="0" w:firstColumn="1" w:lastColumn="0" w:oddVBand="0" w:evenVBand="0" w:oddHBand="0" w:evenHBand="0" w:firstRowFirstColumn="0" w:firstRowLastColumn="0" w:lastRowFirstColumn="0" w:lastRowLastColumn="0"/>
            <w:tcW w:w="1408" w:type="dxa"/>
            <w:vMerge/>
            <w:tcBorders>
              <w:left w:val="single" w:sz="18" w:space="0" w:color="78923D" w:themeColor="accent5" w:themeShade="80"/>
              <w:bottom w:val="single" w:sz="18" w:space="0" w:color="78923D" w:themeColor="accent5" w:themeShade="80"/>
            </w:tcBorders>
            <w:shd w:val="clear" w:color="auto" w:fill="EFF2BE"/>
            <w:vAlign w:val="center"/>
          </w:tcPr>
          <w:p w14:paraId="1AC3CCBE" w14:textId="77777777" w:rsidR="009B1BE9" w:rsidRDefault="009B1BE9" w:rsidP="001A1812">
            <w:pPr>
              <w:autoSpaceDE w:val="0"/>
              <w:autoSpaceDN w:val="0"/>
              <w:adjustRightInd w:val="0"/>
              <w:ind w:firstLine="0"/>
              <w:jc w:val="center"/>
              <w:rPr>
                <w:rFonts w:cstheme="minorHAnsi"/>
                <w:b w:val="0"/>
                <w:bCs w:val="0"/>
                <w:noProof/>
                <w:sz w:val="18"/>
                <w:szCs w:val="18"/>
                <w:lang w:eastAsia="en-GB"/>
              </w:rPr>
            </w:pPr>
          </w:p>
        </w:tc>
        <w:tc>
          <w:tcPr>
            <w:tcW w:w="2790" w:type="dxa"/>
            <w:tcBorders>
              <w:top w:val="single" w:sz="4" w:space="0" w:color="9DA321" w:themeColor="accent3"/>
              <w:bottom w:val="single" w:sz="18" w:space="0" w:color="78923D" w:themeColor="accent5" w:themeShade="80"/>
            </w:tcBorders>
            <w:shd w:val="clear" w:color="auto" w:fill="EFF2BE"/>
          </w:tcPr>
          <w:p w14:paraId="64926678" w14:textId="4CC05B64" w:rsidR="009B1BE9" w:rsidRPr="00694AA8" w:rsidRDefault="009B1BE9" w:rsidP="00FC78BA">
            <w:pPr>
              <w:ind w:firstLine="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sidRPr="00694AA8">
              <w:rPr>
                <w:rFonts w:cstheme="minorHAnsi"/>
                <w:sz w:val="18"/>
                <w:szCs w:val="18"/>
              </w:rPr>
              <w:t>Wzrost średniej temperatury powietrza</w:t>
            </w:r>
          </w:p>
        </w:tc>
        <w:tc>
          <w:tcPr>
            <w:tcW w:w="3707" w:type="dxa"/>
            <w:vMerge/>
            <w:tcBorders>
              <w:bottom w:val="single" w:sz="18" w:space="0" w:color="78923D" w:themeColor="accent5" w:themeShade="80"/>
            </w:tcBorders>
            <w:shd w:val="clear" w:color="auto" w:fill="EFF2BE"/>
          </w:tcPr>
          <w:p w14:paraId="5F71F471" w14:textId="77777777" w:rsidR="009B1BE9" w:rsidRPr="001A1812" w:rsidRDefault="009B1BE9" w:rsidP="00FC78BA">
            <w:pPr>
              <w:ind w:firstLine="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c>
          <w:tcPr>
            <w:tcW w:w="1381" w:type="dxa"/>
            <w:tcBorders>
              <w:top w:val="single" w:sz="12" w:space="0" w:color="FFFFFF" w:themeColor="background1"/>
              <w:bottom w:val="single" w:sz="18" w:space="0" w:color="78923D" w:themeColor="accent5" w:themeShade="80"/>
              <w:right w:val="single" w:sz="18" w:space="0" w:color="78923D" w:themeColor="accent5" w:themeShade="80"/>
            </w:tcBorders>
            <w:shd w:val="clear" w:color="auto" w:fill="FF5050"/>
            <w:vAlign w:val="center"/>
          </w:tcPr>
          <w:p w14:paraId="31BB6DA4" w14:textId="57CC44F6" w:rsidR="009B1BE9" w:rsidRPr="00D255EB" w:rsidRDefault="00D255EB" w:rsidP="00D255EB">
            <w:pPr>
              <w:ind w:firstLine="0"/>
              <w:jc w:val="center"/>
              <w:cnfStyle w:val="000000010000" w:firstRow="0" w:lastRow="0" w:firstColumn="0" w:lastColumn="0" w:oddVBand="0" w:evenVBand="0" w:oddHBand="0" w:evenHBand="1" w:firstRowFirstColumn="0" w:firstRowLastColumn="0" w:lastRowFirstColumn="0" w:lastRowLastColumn="0"/>
              <w:rPr>
                <w:rFonts w:cstheme="minorHAnsi"/>
                <w:b/>
                <w:bCs/>
                <w:sz w:val="18"/>
                <w:szCs w:val="18"/>
              </w:rPr>
            </w:pPr>
            <w:r>
              <w:rPr>
                <w:rFonts w:cstheme="minorHAnsi"/>
                <w:b/>
                <w:bCs/>
                <w:sz w:val="18"/>
                <w:szCs w:val="18"/>
              </w:rPr>
              <w:t>Wysokie</w:t>
            </w:r>
          </w:p>
        </w:tc>
      </w:tr>
      <w:tr w:rsidR="004E7682" w:rsidRPr="001A1812" w14:paraId="66F6ED9E" w14:textId="4D6F47A3" w:rsidTr="00BF4424">
        <w:trPr>
          <w:cnfStyle w:val="000000100000" w:firstRow="0" w:lastRow="0" w:firstColumn="0" w:lastColumn="0" w:oddVBand="0" w:evenVBand="0" w:oddHBand="1" w:evenHBand="0" w:firstRowFirstColumn="0" w:firstRowLastColumn="0" w:lastRowFirstColumn="0" w:lastRowLastColumn="0"/>
          <w:trHeight w:val="613"/>
        </w:trPr>
        <w:tc>
          <w:tcPr>
            <w:cnfStyle w:val="001000000000" w:firstRow="0" w:lastRow="0" w:firstColumn="1" w:lastColumn="0" w:oddVBand="0" w:evenVBand="0" w:oddHBand="0" w:evenHBand="0" w:firstRowFirstColumn="0" w:firstRowLastColumn="0" w:lastRowFirstColumn="0" w:lastRowLastColumn="0"/>
            <w:tcW w:w="1408" w:type="dxa"/>
            <w:vMerge w:val="restart"/>
            <w:tcBorders>
              <w:top w:val="single" w:sz="18" w:space="0" w:color="78923D" w:themeColor="accent5" w:themeShade="80"/>
              <w:left w:val="single" w:sz="18" w:space="0" w:color="78923D" w:themeColor="accent5" w:themeShade="80"/>
            </w:tcBorders>
            <w:shd w:val="clear" w:color="auto" w:fill="auto"/>
            <w:vAlign w:val="center"/>
          </w:tcPr>
          <w:p w14:paraId="0178CD41" w14:textId="0E5DC67E" w:rsidR="004E7682" w:rsidRDefault="004E7682" w:rsidP="001A1812">
            <w:pPr>
              <w:autoSpaceDE w:val="0"/>
              <w:autoSpaceDN w:val="0"/>
              <w:adjustRightInd w:val="0"/>
              <w:ind w:firstLine="0"/>
              <w:jc w:val="center"/>
              <w:rPr>
                <w:rFonts w:cstheme="minorHAnsi"/>
                <w:b w:val="0"/>
                <w:bCs w:val="0"/>
                <w:sz w:val="18"/>
                <w:szCs w:val="18"/>
                <w:lang w:eastAsia="en-GB"/>
              </w:rPr>
            </w:pPr>
            <w:r>
              <w:rPr>
                <w:rFonts w:cstheme="minorHAnsi"/>
                <w:noProof/>
                <w:sz w:val="18"/>
                <w:szCs w:val="18"/>
                <w:lang w:eastAsia="en-GB"/>
              </w:rPr>
              <w:drawing>
                <wp:inline distT="0" distB="0" distL="0" distR="0" wp14:anchorId="3E948CE1" wp14:editId="6BB734D5">
                  <wp:extent cx="720000" cy="720000"/>
                  <wp:effectExtent l="0" t="0" r="0" b="0"/>
                  <wp:docPr id="1008322959" name="Grafika 13" descr="Energia odnawialna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322959" name="Grafika 1008322959" descr="Energia odnawialna z wypełnieniem pełnym"/>
                          <pic:cNvPicPr/>
                        </pic:nvPicPr>
                        <pic:blipFill>
                          <a:blip r:embed="rId128">
                            <a:extLst>
                              <a:ext uri="{28A0092B-C50C-407E-A947-70E740481C1C}">
                                <a14:useLocalDpi xmlns:a14="http://schemas.microsoft.com/office/drawing/2010/main" val="0"/>
                              </a:ext>
                              <a:ext uri="{96DAC541-7B7A-43D3-8B79-37D633B846F1}">
                                <asvg:svgBlip xmlns:asvg="http://schemas.microsoft.com/office/drawing/2016/SVG/main" r:embed="rId129"/>
                              </a:ext>
                            </a:extLst>
                          </a:blip>
                          <a:stretch>
                            <a:fillRect/>
                          </a:stretch>
                        </pic:blipFill>
                        <pic:spPr>
                          <a:xfrm>
                            <a:off x="0" y="0"/>
                            <a:ext cx="720000" cy="720000"/>
                          </a:xfrm>
                          <a:prstGeom prst="rect">
                            <a:avLst/>
                          </a:prstGeom>
                        </pic:spPr>
                      </pic:pic>
                    </a:graphicData>
                  </a:graphic>
                </wp:inline>
              </w:drawing>
            </w:r>
          </w:p>
          <w:p w14:paraId="0A83E672" w14:textId="2F76F3EE" w:rsidR="004E7682" w:rsidRPr="001A1812" w:rsidRDefault="004E7682" w:rsidP="001A1812">
            <w:pPr>
              <w:autoSpaceDE w:val="0"/>
              <w:autoSpaceDN w:val="0"/>
              <w:adjustRightInd w:val="0"/>
              <w:ind w:firstLine="0"/>
              <w:jc w:val="center"/>
              <w:rPr>
                <w:rFonts w:asciiTheme="minorHAnsi" w:hAnsiTheme="minorHAnsi" w:cstheme="minorHAnsi"/>
                <w:sz w:val="18"/>
                <w:szCs w:val="18"/>
                <w:lang w:eastAsia="en-GB"/>
              </w:rPr>
            </w:pPr>
            <w:r w:rsidRPr="001A1812">
              <w:rPr>
                <w:rFonts w:asciiTheme="minorHAnsi" w:hAnsiTheme="minorHAnsi" w:cstheme="minorHAnsi"/>
                <w:sz w:val="18"/>
                <w:szCs w:val="18"/>
                <w:lang w:eastAsia="en-GB"/>
              </w:rPr>
              <w:t>Energetyka</w:t>
            </w:r>
          </w:p>
        </w:tc>
        <w:tc>
          <w:tcPr>
            <w:tcW w:w="2790" w:type="dxa"/>
            <w:tcBorders>
              <w:top w:val="single" w:sz="18" w:space="0" w:color="78923D" w:themeColor="accent5" w:themeShade="80"/>
            </w:tcBorders>
            <w:shd w:val="clear" w:color="auto" w:fill="auto"/>
          </w:tcPr>
          <w:p w14:paraId="012C6787" w14:textId="527E7ED6" w:rsidR="004E7682" w:rsidRPr="001A1812" w:rsidRDefault="004E7682" w:rsidP="00FC78BA">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Wzrost średniej temperatury i okresów upalnych latem</w:t>
            </w:r>
          </w:p>
        </w:tc>
        <w:tc>
          <w:tcPr>
            <w:tcW w:w="3707" w:type="dxa"/>
            <w:vMerge w:val="restart"/>
            <w:tcBorders>
              <w:top w:val="single" w:sz="18" w:space="0" w:color="78923D" w:themeColor="accent5" w:themeShade="80"/>
            </w:tcBorders>
            <w:shd w:val="clear" w:color="auto" w:fill="auto"/>
            <w:vAlign w:val="center"/>
          </w:tcPr>
          <w:p w14:paraId="74920D41" w14:textId="77777777" w:rsidR="004E7682" w:rsidRDefault="004E7682">
            <w:pPr>
              <w:pStyle w:val="Akapitzlist"/>
              <w:numPr>
                <w:ilvl w:val="0"/>
                <w:numId w:val="79"/>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Wykorzystanie potencjału energetyki odnawialnej</w:t>
            </w:r>
          </w:p>
          <w:p w14:paraId="1F8C5DCB" w14:textId="2A3DAFD6" w:rsidR="004E7682" w:rsidRPr="004E7682" w:rsidRDefault="004E7682">
            <w:pPr>
              <w:pStyle w:val="Akapitzlist"/>
              <w:numPr>
                <w:ilvl w:val="0"/>
                <w:numId w:val="79"/>
              </w:numPr>
              <w:ind w:left="170" w:hanging="170"/>
              <w:jc w:val="left"/>
              <w:cnfStyle w:val="000000100000" w:firstRow="0" w:lastRow="0" w:firstColumn="0" w:lastColumn="0" w:oddVBand="0" w:evenVBand="0" w:oddHBand="1" w:evenHBand="0" w:firstRowFirstColumn="0" w:firstRowLastColumn="0" w:lastRowFirstColumn="0" w:lastRowLastColumn="0"/>
              <w:rPr>
                <w:rFonts w:cstheme="minorHAnsi"/>
                <w:sz w:val="18"/>
                <w:szCs w:val="18"/>
              </w:rPr>
            </w:pPr>
            <w:r>
              <w:rPr>
                <w:rFonts w:cstheme="minorHAnsi"/>
                <w:sz w:val="18"/>
                <w:szCs w:val="18"/>
              </w:rPr>
              <w:t>Zmniejszenie zużycia energii</w:t>
            </w:r>
          </w:p>
        </w:tc>
        <w:tc>
          <w:tcPr>
            <w:tcW w:w="1381" w:type="dxa"/>
            <w:tcBorders>
              <w:top w:val="single" w:sz="18" w:space="0" w:color="78923D" w:themeColor="accent5" w:themeShade="80"/>
              <w:bottom w:val="single" w:sz="12" w:space="0" w:color="FFFFFF" w:themeColor="background1"/>
              <w:right w:val="single" w:sz="18" w:space="0" w:color="78923D" w:themeColor="accent5" w:themeShade="80"/>
            </w:tcBorders>
            <w:shd w:val="clear" w:color="auto" w:fill="FFC000"/>
            <w:vAlign w:val="center"/>
          </w:tcPr>
          <w:p w14:paraId="411C0E28" w14:textId="7935B77E" w:rsidR="004E7682" w:rsidRPr="00D255EB" w:rsidRDefault="00D255EB" w:rsidP="00D255EB">
            <w:pPr>
              <w:ind w:firstLine="0"/>
              <w:jc w:val="center"/>
              <w:cnfStyle w:val="000000100000" w:firstRow="0" w:lastRow="0" w:firstColumn="0" w:lastColumn="0" w:oddVBand="0" w:evenVBand="0" w:oddHBand="1" w:evenHBand="0" w:firstRowFirstColumn="0" w:firstRowLastColumn="0" w:lastRowFirstColumn="0" w:lastRowLastColumn="0"/>
              <w:rPr>
                <w:rFonts w:cstheme="minorHAnsi"/>
                <w:b/>
                <w:bCs/>
                <w:sz w:val="18"/>
                <w:szCs w:val="18"/>
              </w:rPr>
            </w:pPr>
            <w:r>
              <w:rPr>
                <w:rFonts w:cstheme="minorHAnsi"/>
                <w:b/>
                <w:bCs/>
                <w:sz w:val="18"/>
                <w:szCs w:val="18"/>
              </w:rPr>
              <w:t>Średnie</w:t>
            </w:r>
          </w:p>
        </w:tc>
      </w:tr>
      <w:tr w:rsidR="004E7682" w:rsidRPr="001A1812" w14:paraId="0CBA9B6E" w14:textId="77777777" w:rsidTr="00BF4424">
        <w:trPr>
          <w:cnfStyle w:val="000000010000" w:firstRow="0" w:lastRow="0" w:firstColumn="0" w:lastColumn="0" w:oddVBand="0" w:evenVBand="0" w:oddHBand="0" w:evenHBand="1" w:firstRowFirstColumn="0" w:firstRowLastColumn="0" w:lastRowFirstColumn="0" w:lastRowLastColumn="0"/>
          <w:trHeight w:val="677"/>
        </w:trPr>
        <w:tc>
          <w:tcPr>
            <w:cnfStyle w:val="001000000000" w:firstRow="0" w:lastRow="0" w:firstColumn="1" w:lastColumn="0" w:oddVBand="0" w:evenVBand="0" w:oddHBand="0" w:evenHBand="0" w:firstRowFirstColumn="0" w:firstRowLastColumn="0" w:lastRowFirstColumn="0" w:lastRowLastColumn="0"/>
            <w:tcW w:w="1408" w:type="dxa"/>
            <w:vMerge/>
            <w:tcBorders>
              <w:left w:val="single" w:sz="18" w:space="0" w:color="78923D" w:themeColor="accent5" w:themeShade="80"/>
              <w:bottom w:val="single" w:sz="18" w:space="0" w:color="78923D" w:themeColor="accent5" w:themeShade="80"/>
            </w:tcBorders>
            <w:shd w:val="clear" w:color="auto" w:fill="auto"/>
            <w:vAlign w:val="center"/>
          </w:tcPr>
          <w:p w14:paraId="35260A1A" w14:textId="77777777" w:rsidR="004E7682" w:rsidRDefault="004E7682" w:rsidP="001A1812">
            <w:pPr>
              <w:autoSpaceDE w:val="0"/>
              <w:autoSpaceDN w:val="0"/>
              <w:adjustRightInd w:val="0"/>
              <w:ind w:firstLine="0"/>
              <w:jc w:val="center"/>
              <w:rPr>
                <w:rFonts w:cstheme="minorHAnsi"/>
                <w:b w:val="0"/>
                <w:bCs w:val="0"/>
                <w:noProof/>
                <w:sz w:val="18"/>
                <w:szCs w:val="18"/>
                <w:lang w:eastAsia="en-GB"/>
              </w:rPr>
            </w:pPr>
          </w:p>
        </w:tc>
        <w:tc>
          <w:tcPr>
            <w:tcW w:w="2790" w:type="dxa"/>
            <w:tcBorders>
              <w:bottom w:val="single" w:sz="18" w:space="0" w:color="78923D" w:themeColor="accent5" w:themeShade="80"/>
            </w:tcBorders>
            <w:shd w:val="clear" w:color="auto" w:fill="EFF2BE"/>
          </w:tcPr>
          <w:p w14:paraId="0F5E5BE5" w14:textId="4AF8D409" w:rsidR="004E7682" w:rsidRDefault="004E7682" w:rsidP="00FC78BA">
            <w:pPr>
              <w:ind w:firstLine="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r>
              <w:rPr>
                <w:rFonts w:cstheme="minorHAnsi"/>
                <w:sz w:val="18"/>
                <w:szCs w:val="18"/>
              </w:rPr>
              <w:t>Ekstremalne zjawiska pogodowe</w:t>
            </w:r>
          </w:p>
        </w:tc>
        <w:tc>
          <w:tcPr>
            <w:tcW w:w="3707" w:type="dxa"/>
            <w:vMerge/>
            <w:tcBorders>
              <w:bottom w:val="single" w:sz="18" w:space="0" w:color="78923D" w:themeColor="accent5" w:themeShade="80"/>
            </w:tcBorders>
            <w:shd w:val="clear" w:color="auto" w:fill="auto"/>
            <w:vAlign w:val="center"/>
          </w:tcPr>
          <w:p w14:paraId="31F80881" w14:textId="77777777" w:rsidR="004E7682" w:rsidRDefault="004E7682">
            <w:pPr>
              <w:pStyle w:val="Akapitzlist"/>
              <w:numPr>
                <w:ilvl w:val="0"/>
                <w:numId w:val="79"/>
              </w:numPr>
              <w:ind w:left="170" w:hanging="170"/>
              <w:jc w:val="left"/>
              <w:cnfStyle w:val="000000010000" w:firstRow="0" w:lastRow="0" w:firstColumn="0" w:lastColumn="0" w:oddVBand="0" w:evenVBand="0" w:oddHBand="0" w:evenHBand="1" w:firstRowFirstColumn="0" w:firstRowLastColumn="0" w:lastRowFirstColumn="0" w:lastRowLastColumn="0"/>
              <w:rPr>
                <w:rFonts w:cstheme="minorHAnsi"/>
                <w:sz w:val="18"/>
                <w:szCs w:val="18"/>
              </w:rPr>
            </w:pPr>
          </w:p>
        </w:tc>
        <w:tc>
          <w:tcPr>
            <w:tcW w:w="1381" w:type="dxa"/>
            <w:tcBorders>
              <w:top w:val="single" w:sz="12" w:space="0" w:color="FFFFFF" w:themeColor="background1"/>
              <w:bottom w:val="single" w:sz="18" w:space="0" w:color="78923D" w:themeColor="accent5" w:themeShade="80"/>
              <w:right w:val="single" w:sz="18" w:space="0" w:color="78923D" w:themeColor="accent5" w:themeShade="80"/>
            </w:tcBorders>
            <w:shd w:val="clear" w:color="auto" w:fill="FF5050"/>
            <w:vAlign w:val="center"/>
          </w:tcPr>
          <w:p w14:paraId="136B0C11" w14:textId="1B05192E" w:rsidR="004E7682" w:rsidRPr="00D255EB" w:rsidRDefault="00D255EB" w:rsidP="00D255EB">
            <w:pPr>
              <w:ind w:firstLine="0"/>
              <w:jc w:val="center"/>
              <w:cnfStyle w:val="000000010000" w:firstRow="0" w:lastRow="0" w:firstColumn="0" w:lastColumn="0" w:oddVBand="0" w:evenVBand="0" w:oddHBand="0" w:evenHBand="1" w:firstRowFirstColumn="0" w:firstRowLastColumn="0" w:lastRowFirstColumn="0" w:lastRowLastColumn="0"/>
              <w:rPr>
                <w:rFonts w:cstheme="minorHAnsi"/>
                <w:b/>
                <w:bCs/>
                <w:sz w:val="18"/>
                <w:szCs w:val="18"/>
              </w:rPr>
            </w:pPr>
            <w:r>
              <w:rPr>
                <w:rFonts w:cstheme="minorHAnsi"/>
                <w:b/>
                <w:bCs/>
                <w:sz w:val="18"/>
                <w:szCs w:val="18"/>
              </w:rPr>
              <w:t>Wysokie</w:t>
            </w:r>
          </w:p>
        </w:tc>
      </w:tr>
    </w:tbl>
    <w:p w14:paraId="7DBA4AA8" w14:textId="77777777" w:rsidR="00B445D2" w:rsidRPr="00655FC7" w:rsidRDefault="00B445D2" w:rsidP="006D7AFC">
      <w:pPr>
        <w:pStyle w:val="Cytat"/>
      </w:pPr>
      <w:r w:rsidRPr="00655FC7">
        <w:t>Źródło: opracowanie własne</w:t>
      </w:r>
    </w:p>
    <w:p w14:paraId="32E5B1DA" w14:textId="1507EEAF" w:rsidR="00C82952" w:rsidRPr="00655FC7" w:rsidRDefault="00C82952" w:rsidP="003F0B3D"/>
    <w:p w14:paraId="57452368" w14:textId="77777777" w:rsidR="00FC78BA" w:rsidRPr="00655FC7" w:rsidRDefault="00FC78BA" w:rsidP="00B62479">
      <w:pPr>
        <w:pStyle w:val="Nagwek2"/>
      </w:pPr>
      <w:bookmarkStart w:id="237" w:name="_Toc177732079"/>
      <w:bookmarkStart w:id="238" w:name="_Toc75170254"/>
      <w:bookmarkStart w:id="239" w:name="_Toc143596945"/>
      <w:bookmarkEnd w:id="0"/>
      <w:bookmarkEnd w:id="1"/>
      <w:r w:rsidRPr="00655FC7">
        <w:t>Identyfikacja luk wiedzy</w:t>
      </w:r>
      <w:bookmarkEnd w:id="237"/>
    </w:p>
    <w:p w14:paraId="0B0ECEB4" w14:textId="77777777" w:rsidR="0099103F" w:rsidRPr="00F71C55" w:rsidRDefault="0099103F" w:rsidP="0099103F">
      <w:pPr>
        <w:autoSpaceDE w:val="0"/>
        <w:autoSpaceDN w:val="0"/>
        <w:adjustRightInd w:val="0"/>
        <w:rPr>
          <w:rFonts w:cstheme="minorHAnsi"/>
          <w:color w:val="auto"/>
        </w:rPr>
      </w:pPr>
      <w:r w:rsidRPr="00F71C55">
        <w:rPr>
          <w:rFonts w:cstheme="minorHAnsi"/>
          <w:color w:val="auto"/>
        </w:rPr>
        <w:t>Należy podkreślić, że analiza ryzyka związanego ze zmianami klimatu oraz analiza opcji adaptacji może być obciążona błędami. Błędy te wynikają z obecnych luk w wiedzy oraz niepewności przewidywania skutków działań. Scenariusze zmian klimatu, jak ka</w:t>
      </w:r>
      <w:r w:rsidRPr="00F71C55">
        <w:rPr>
          <w:rFonts w:cstheme="minorHAnsi" w:hint="eastAsia"/>
          <w:color w:val="auto"/>
        </w:rPr>
        <w:t>ż</w:t>
      </w:r>
      <w:r w:rsidRPr="00F71C55">
        <w:rPr>
          <w:rFonts w:cstheme="minorHAnsi"/>
          <w:color w:val="auto"/>
        </w:rPr>
        <w:t>da teoria, podlega weryfikacji. Naukowcy stale staraj</w:t>
      </w:r>
      <w:r w:rsidRPr="00F71C55">
        <w:rPr>
          <w:rFonts w:cstheme="minorHAnsi" w:hint="eastAsia"/>
          <w:color w:val="auto"/>
        </w:rPr>
        <w:t>ą</w:t>
      </w:r>
      <w:r w:rsidRPr="00F71C55">
        <w:rPr>
          <w:rFonts w:cstheme="minorHAnsi"/>
          <w:color w:val="auto"/>
        </w:rPr>
        <w:t xml:space="preserve"> si</w:t>
      </w:r>
      <w:r w:rsidRPr="00F71C55">
        <w:rPr>
          <w:rFonts w:cstheme="minorHAnsi" w:hint="eastAsia"/>
          <w:color w:val="auto"/>
        </w:rPr>
        <w:t>ę</w:t>
      </w:r>
      <w:r w:rsidRPr="00F71C55">
        <w:rPr>
          <w:rFonts w:cstheme="minorHAnsi"/>
          <w:color w:val="auto"/>
        </w:rPr>
        <w:t xml:space="preserve"> j</w:t>
      </w:r>
      <w:r w:rsidRPr="00F71C55">
        <w:rPr>
          <w:rFonts w:cstheme="minorHAnsi" w:hint="eastAsia"/>
          <w:color w:val="auto"/>
        </w:rPr>
        <w:t>ą</w:t>
      </w:r>
      <w:r w:rsidRPr="00F71C55">
        <w:rPr>
          <w:rFonts w:cstheme="minorHAnsi"/>
          <w:color w:val="auto"/>
        </w:rPr>
        <w:t xml:space="preserve"> udoskonala</w:t>
      </w:r>
      <w:r w:rsidRPr="00F71C55">
        <w:rPr>
          <w:rFonts w:cstheme="minorHAnsi" w:hint="eastAsia"/>
          <w:color w:val="auto"/>
        </w:rPr>
        <w:t>ć</w:t>
      </w:r>
      <w:r w:rsidRPr="00F71C55">
        <w:rPr>
          <w:rFonts w:cstheme="minorHAnsi"/>
          <w:color w:val="auto"/>
        </w:rPr>
        <w:t xml:space="preserve"> i znale</w:t>
      </w:r>
      <w:r w:rsidRPr="00F71C55">
        <w:rPr>
          <w:rFonts w:cstheme="minorHAnsi" w:hint="eastAsia"/>
          <w:color w:val="auto"/>
        </w:rPr>
        <w:t>źć</w:t>
      </w:r>
      <w:r w:rsidRPr="00F71C55">
        <w:rPr>
          <w:rFonts w:cstheme="minorHAnsi"/>
          <w:color w:val="auto"/>
        </w:rPr>
        <w:t xml:space="preserve"> w niej luki. </w:t>
      </w:r>
    </w:p>
    <w:p w14:paraId="521C929A" w14:textId="77777777" w:rsidR="0099103F" w:rsidRPr="00F71C55" w:rsidRDefault="0099103F" w:rsidP="0099103F">
      <w:pPr>
        <w:autoSpaceDE w:val="0"/>
        <w:autoSpaceDN w:val="0"/>
        <w:adjustRightInd w:val="0"/>
        <w:rPr>
          <w:rFonts w:cstheme="minorHAnsi"/>
          <w:color w:val="auto"/>
        </w:rPr>
      </w:pPr>
      <w:r w:rsidRPr="00F71C55">
        <w:rPr>
          <w:rFonts w:cstheme="minorHAnsi"/>
          <w:color w:val="auto"/>
        </w:rPr>
        <w:t>Scenariusze zmian klimatycznych opierają się o obecnie dostępne dane, które wciąż są uzupełniane i aktualizowane.</w:t>
      </w:r>
      <w:r w:rsidRPr="00F71C55">
        <w:rPr>
          <w:rFonts w:ascii="Roboto-Light" w:eastAsia="Roboto-Light" w:cs="Roboto-Light"/>
          <w:color w:val="auto"/>
          <w:sz w:val="20"/>
          <w:szCs w:val="20"/>
        </w:rPr>
        <w:t xml:space="preserve"> </w:t>
      </w:r>
      <w:r w:rsidRPr="00F71C55">
        <w:rPr>
          <w:rFonts w:cstheme="minorHAnsi"/>
          <w:color w:val="auto"/>
        </w:rPr>
        <w:t>Istot</w:t>
      </w:r>
      <w:r w:rsidRPr="00F71C55">
        <w:rPr>
          <w:rFonts w:cstheme="minorHAnsi" w:hint="eastAsia"/>
          <w:color w:val="auto"/>
        </w:rPr>
        <w:t>ą</w:t>
      </w:r>
      <w:r w:rsidRPr="00F71C55">
        <w:rPr>
          <w:rFonts w:cstheme="minorHAnsi"/>
          <w:color w:val="auto"/>
        </w:rPr>
        <w:t xml:space="preserve"> podej</w:t>
      </w:r>
      <w:r w:rsidRPr="00F71C55">
        <w:rPr>
          <w:rFonts w:cstheme="minorHAnsi" w:hint="eastAsia"/>
          <w:color w:val="auto"/>
        </w:rPr>
        <w:t>ś</w:t>
      </w:r>
      <w:r w:rsidRPr="00F71C55">
        <w:rPr>
          <w:rFonts w:cstheme="minorHAnsi"/>
          <w:color w:val="auto"/>
        </w:rPr>
        <w:t>cia naukowego jest precyzja, dlatego najcz</w:t>
      </w:r>
      <w:r w:rsidRPr="00F71C55">
        <w:rPr>
          <w:rFonts w:cstheme="minorHAnsi" w:hint="eastAsia"/>
          <w:color w:val="auto"/>
        </w:rPr>
        <w:t>ęś</w:t>
      </w:r>
      <w:r w:rsidRPr="00F71C55">
        <w:rPr>
          <w:rFonts w:cstheme="minorHAnsi"/>
          <w:color w:val="auto"/>
        </w:rPr>
        <w:t>ciej rezultaty bada</w:t>
      </w:r>
      <w:r w:rsidRPr="00F71C55">
        <w:rPr>
          <w:rFonts w:cstheme="minorHAnsi" w:hint="eastAsia"/>
          <w:color w:val="auto"/>
        </w:rPr>
        <w:t>ń</w:t>
      </w:r>
      <w:r w:rsidRPr="00F71C55">
        <w:rPr>
          <w:rFonts w:cstheme="minorHAnsi"/>
          <w:color w:val="auto"/>
        </w:rPr>
        <w:t xml:space="preserve"> naukowych, zw</w:t>
      </w:r>
      <w:r w:rsidRPr="00F71C55">
        <w:rPr>
          <w:rFonts w:cstheme="minorHAnsi" w:hint="eastAsia"/>
          <w:color w:val="auto"/>
        </w:rPr>
        <w:t>ł</w:t>
      </w:r>
      <w:r w:rsidRPr="00F71C55">
        <w:rPr>
          <w:rFonts w:cstheme="minorHAnsi"/>
          <w:color w:val="auto"/>
        </w:rPr>
        <w:t>aszcza opartych na modelowaniu, podaje si</w:t>
      </w:r>
      <w:r w:rsidRPr="00F71C55">
        <w:rPr>
          <w:rFonts w:cstheme="minorHAnsi" w:hint="eastAsia"/>
          <w:color w:val="auto"/>
        </w:rPr>
        <w:t>ę</w:t>
      </w:r>
      <w:r w:rsidRPr="00F71C55">
        <w:rPr>
          <w:rFonts w:cstheme="minorHAnsi"/>
          <w:color w:val="auto"/>
        </w:rPr>
        <w:t xml:space="preserve"> z odpowiednim zakresem niepewno</w:t>
      </w:r>
      <w:r w:rsidRPr="00F71C55">
        <w:rPr>
          <w:rFonts w:cstheme="minorHAnsi" w:hint="eastAsia"/>
          <w:color w:val="auto"/>
        </w:rPr>
        <w:t>ś</w:t>
      </w:r>
      <w:r w:rsidRPr="00F71C55">
        <w:rPr>
          <w:rFonts w:cstheme="minorHAnsi"/>
          <w:color w:val="auto"/>
        </w:rPr>
        <w:t>ci, a</w:t>
      </w:r>
      <w:r>
        <w:rPr>
          <w:rFonts w:cstheme="minorHAnsi"/>
          <w:color w:val="auto"/>
        </w:rPr>
        <w:t> </w:t>
      </w:r>
      <w:r w:rsidRPr="00F71C55">
        <w:rPr>
          <w:rFonts w:cstheme="minorHAnsi"/>
          <w:color w:val="auto"/>
        </w:rPr>
        <w:t>wyniki pomiar</w:t>
      </w:r>
      <w:r w:rsidRPr="00F71C55">
        <w:rPr>
          <w:rFonts w:cstheme="minorHAnsi" w:hint="eastAsia"/>
          <w:color w:val="auto"/>
        </w:rPr>
        <w:t>ó</w:t>
      </w:r>
      <w:r w:rsidRPr="00F71C55">
        <w:rPr>
          <w:rFonts w:cstheme="minorHAnsi"/>
          <w:color w:val="auto"/>
        </w:rPr>
        <w:t>w – z uwzgl</w:t>
      </w:r>
      <w:r w:rsidRPr="00F71C55">
        <w:rPr>
          <w:rFonts w:cstheme="minorHAnsi" w:hint="eastAsia"/>
          <w:color w:val="auto"/>
        </w:rPr>
        <w:t>ę</w:t>
      </w:r>
      <w:r w:rsidRPr="00F71C55">
        <w:rPr>
          <w:rFonts w:cstheme="minorHAnsi"/>
          <w:color w:val="auto"/>
        </w:rPr>
        <w:t>dnieniem potencjalnego b</w:t>
      </w:r>
      <w:r w:rsidRPr="00F71C55">
        <w:rPr>
          <w:rFonts w:cstheme="minorHAnsi" w:hint="eastAsia"/>
          <w:color w:val="auto"/>
        </w:rPr>
        <w:t>łę</w:t>
      </w:r>
      <w:r w:rsidRPr="00F71C55">
        <w:rPr>
          <w:rFonts w:cstheme="minorHAnsi"/>
          <w:color w:val="auto"/>
        </w:rPr>
        <w:t>du pomiaru. Niemożliwe jest wymaganie stuprocentowej pewno</w:t>
      </w:r>
      <w:r w:rsidRPr="00F71C55">
        <w:rPr>
          <w:rFonts w:cstheme="minorHAnsi" w:hint="eastAsia"/>
          <w:color w:val="auto"/>
        </w:rPr>
        <w:t>ś</w:t>
      </w:r>
      <w:r w:rsidRPr="00F71C55">
        <w:rPr>
          <w:rFonts w:cstheme="minorHAnsi"/>
          <w:color w:val="auto"/>
        </w:rPr>
        <w:t>ci od danych liczbowych uzyskiwanych w toku bada</w:t>
      </w:r>
      <w:r w:rsidRPr="00F71C55">
        <w:rPr>
          <w:rFonts w:cstheme="minorHAnsi" w:hint="eastAsia"/>
          <w:color w:val="auto"/>
        </w:rPr>
        <w:t>ń</w:t>
      </w:r>
      <w:r w:rsidRPr="00F71C55">
        <w:rPr>
          <w:rFonts w:cstheme="minorHAnsi"/>
          <w:color w:val="auto"/>
        </w:rPr>
        <w:t xml:space="preserve"> naukowych. Jest to sprzeczne z samą naturą badań naukowych</w:t>
      </w:r>
      <w:r w:rsidRPr="00F71C55">
        <w:rPr>
          <w:rStyle w:val="Odwoanieprzypisudolnego"/>
          <w:rFonts w:cstheme="minorHAnsi"/>
          <w:color w:val="auto"/>
        </w:rPr>
        <w:footnoteReference w:id="33"/>
      </w:r>
      <w:r w:rsidRPr="00F71C55">
        <w:rPr>
          <w:rFonts w:cstheme="minorHAnsi"/>
          <w:color w:val="auto"/>
        </w:rPr>
        <w:t>.</w:t>
      </w:r>
    </w:p>
    <w:p w14:paraId="2D30F52A" w14:textId="77777777" w:rsidR="0099103F" w:rsidRPr="00F71C55" w:rsidRDefault="0099103F" w:rsidP="0099103F">
      <w:pPr>
        <w:autoSpaceDE w:val="0"/>
        <w:autoSpaceDN w:val="0"/>
        <w:adjustRightInd w:val="0"/>
        <w:rPr>
          <w:rFonts w:cstheme="minorHAnsi"/>
          <w:color w:val="auto"/>
        </w:rPr>
      </w:pPr>
      <w:bookmarkStart w:id="240" w:name="_Hlk166658312"/>
      <w:r w:rsidRPr="00466EDE">
        <w:t>Niepewność związana z niedoskonałym poznanie</w:t>
      </w:r>
      <w:r>
        <w:t>m</w:t>
      </w:r>
      <w:r w:rsidRPr="00466EDE">
        <w:t xml:space="preserve"> praw fizy</w:t>
      </w:r>
      <w:r>
        <w:t xml:space="preserve">ki atmosfery </w:t>
      </w:r>
      <w:r w:rsidRPr="00466EDE">
        <w:t>i</w:t>
      </w:r>
      <w:r>
        <w:t xml:space="preserve"> środowiska</w:t>
      </w:r>
      <w:r w:rsidRPr="00466EDE">
        <w:t xml:space="preserve"> również obarcza błędem przyjęte scenariusze. Cały szereg założeń wstępnych, m.in. dotyczących rozwoju ekonomicznego i demograficznego świata,</w:t>
      </w:r>
      <w:r>
        <w:t xml:space="preserve"> oraz </w:t>
      </w:r>
      <w:r w:rsidRPr="00466EDE">
        <w:t xml:space="preserve">scenariuszy emisji gazów cieplarnianych, także sprawia, iż </w:t>
      </w:r>
      <w:r>
        <w:t>nie są to</w:t>
      </w:r>
      <w:r w:rsidRPr="00466EDE">
        <w:t xml:space="preserve"> pewne prognozy.</w:t>
      </w:r>
      <w:r>
        <w:t xml:space="preserve"> </w:t>
      </w:r>
      <w:bookmarkEnd w:id="240"/>
      <w:r w:rsidRPr="00F71C55">
        <w:t>Z tych względów scenariusze zmian klimatu stanowią najlepsze dostępne przybliżenie przyszłych warunków. Jako że nie istnieje model doskonały i nie ma jednego scenariusza, konieczne jest analizowanie wyników kilku najbardziej prawdopodobnych modeli</w:t>
      </w:r>
      <w:r w:rsidRPr="00F71C55">
        <w:rPr>
          <w:rStyle w:val="Odwoanieprzypisudolnego"/>
        </w:rPr>
        <w:footnoteReference w:id="34"/>
      </w:r>
      <w:r w:rsidRPr="00F71C55">
        <w:t xml:space="preserve">. </w:t>
      </w:r>
    </w:p>
    <w:p w14:paraId="4A3A1038" w14:textId="77777777" w:rsidR="0099103F" w:rsidRPr="00F71C55" w:rsidRDefault="0099103F" w:rsidP="0099103F">
      <w:pPr>
        <w:autoSpaceDE w:val="0"/>
        <w:autoSpaceDN w:val="0"/>
        <w:adjustRightInd w:val="0"/>
        <w:rPr>
          <w:rFonts w:cstheme="minorHAnsi"/>
          <w:color w:val="auto"/>
        </w:rPr>
      </w:pPr>
      <w:r w:rsidRPr="00F71C55">
        <w:rPr>
          <w:rFonts w:cstheme="minorHAnsi"/>
          <w:color w:val="auto"/>
        </w:rPr>
        <w:t>Luki w obecnej wiedzy wynikają również z nieprzewidywalności rozwoju sektorów wpływających na pojawienie się nowych szans i zagrożeń dla adaptacji. Systematyczne monitowanie i ewaluacja adaptacji do zmian klimatu pozwoli na stałe przyglądanie się temu zagadnieniu i aktualizowanie bazy wiedzy zgodnie z obecnym konsensusem.</w:t>
      </w:r>
    </w:p>
    <w:p w14:paraId="6021E617" w14:textId="6593894C" w:rsidR="0099103F" w:rsidRDefault="0099103F" w:rsidP="0099103F">
      <w:pPr>
        <w:autoSpaceDE w:val="0"/>
        <w:autoSpaceDN w:val="0"/>
        <w:adjustRightInd w:val="0"/>
        <w:ind w:firstLine="0"/>
        <w:rPr>
          <w:rFonts w:cstheme="minorHAnsi"/>
          <w:color w:val="auto"/>
        </w:rPr>
      </w:pPr>
      <w:r w:rsidRPr="00F71C55">
        <w:rPr>
          <w:rFonts w:cstheme="minorHAnsi"/>
          <w:color w:val="auto"/>
        </w:rPr>
        <w:t>Kolejną niewiadomą jest analiza kosztów i korzyści wdrożenia wybranych opcji adaptacji. Wiedza pozwala nam najczęściej przewidywać skutki krótkotrwałe, natomiast z czasem przewidywania obarczone są dużym błędem. Dlatego też istnieje potrzeba podjęcia systematycznych działań monitoringowych i sprawozdawczych budujących bazę informacji i pozwalających na eliminacje luk wiedzy.</w:t>
      </w:r>
      <w:r>
        <w:rPr>
          <w:rFonts w:cstheme="minorHAnsi"/>
          <w:color w:val="auto"/>
        </w:rPr>
        <w:br w:type="page"/>
      </w:r>
    </w:p>
    <w:p w14:paraId="51704A58" w14:textId="77777777" w:rsidR="00FC78BA" w:rsidRPr="00655FC7" w:rsidRDefault="00FC78BA" w:rsidP="0099103F">
      <w:pPr>
        <w:autoSpaceDE w:val="0"/>
        <w:autoSpaceDN w:val="0"/>
        <w:adjustRightInd w:val="0"/>
        <w:spacing w:line="240" w:lineRule="auto"/>
        <w:ind w:firstLine="0"/>
        <w:rPr>
          <w:rFonts w:cstheme="minorHAnsi"/>
          <w:color w:val="auto"/>
        </w:rPr>
      </w:pPr>
    </w:p>
    <w:p w14:paraId="42EBD102" w14:textId="57F87C71" w:rsidR="00C3065E" w:rsidRPr="00655FC7" w:rsidRDefault="00C3065E" w:rsidP="00940E0E">
      <w:pPr>
        <w:pStyle w:val="Nagwek1"/>
      </w:pPr>
      <w:bookmarkStart w:id="241" w:name="_Toc177732080"/>
      <w:r w:rsidRPr="00655FC7">
        <w:t>Wybrane działania adaptacyjne</w:t>
      </w:r>
      <w:bookmarkEnd w:id="238"/>
      <w:bookmarkEnd w:id="239"/>
      <w:bookmarkEnd w:id="241"/>
    </w:p>
    <w:p w14:paraId="3A6689F2" w14:textId="5521CB11" w:rsidR="008E3291" w:rsidRPr="00E833A9" w:rsidRDefault="00C3065E" w:rsidP="005C7FDB">
      <w:pPr>
        <w:tabs>
          <w:tab w:val="left" w:pos="3119"/>
        </w:tabs>
        <w:rPr>
          <w:rFonts w:cstheme="minorHAnsi"/>
          <w:color w:val="auto"/>
        </w:rPr>
      </w:pPr>
      <w:r w:rsidRPr="00E833A9">
        <w:rPr>
          <w:rFonts w:cstheme="minorHAnsi"/>
          <w:color w:val="auto"/>
        </w:rPr>
        <w:t xml:space="preserve">Opcje adaptacji to propozycje działań, których zrealizowanie będzie reakcją na określony czynnik klimatyczny oraz przyczyni się do osiągnięcia celów planów adaptacji. Opcje adaptacyjne mogą być działaniami o charakterze </w:t>
      </w:r>
      <w:r w:rsidR="00405CCB" w:rsidRPr="00E833A9">
        <w:rPr>
          <w:rFonts w:cstheme="minorHAnsi"/>
          <w:color w:val="auto"/>
        </w:rPr>
        <w:t>informacyjno-edukacyjnym, organizacyjnym lub technicznym.</w:t>
      </w:r>
      <w:r w:rsidR="00625095" w:rsidRPr="00E833A9">
        <w:rPr>
          <w:rFonts w:cstheme="minorHAnsi"/>
          <w:color w:val="auto"/>
        </w:rPr>
        <w:t xml:space="preserve"> </w:t>
      </w:r>
      <w:r w:rsidR="005C7FDB" w:rsidRPr="005C7FDB">
        <w:rPr>
          <w:rFonts w:cstheme="minorHAnsi"/>
          <w:color w:val="auto"/>
        </w:rPr>
        <w:t>Identyfikacja opcji adaptacyjnych powinna wynikać z wyznaczonych celów i uwzględniać stopień ryzyka</w:t>
      </w:r>
      <w:r w:rsidR="005C7FDB">
        <w:rPr>
          <w:rFonts w:cstheme="minorHAnsi"/>
          <w:color w:val="auto"/>
        </w:rPr>
        <w:t xml:space="preserve"> </w:t>
      </w:r>
      <w:r w:rsidR="005C7FDB" w:rsidRPr="005C7FDB">
        <w:rPr>
          <w:rFonts w:cstheme="minorHAnsi"/>
          <w:color w:val="auto"/>
        </w:rPr>
        <w:t>klimatycznego.</w:t>
      </w:r>
      <w:r w:rsidR="005C7FDB">
        <w:rPr>
          <w:rFonts w:cstheme="minorHAnsi"/>
          <w:color w:val="auto"/>
        </w:rPr>
        <w:t xml:space="preserve"> Realizacja celów MPA </w:t>
      </w:r>
      <w:r w:rsidR="008E3291" w:rsidRPr="00E833A9">
        <w:rPr>
          <w:rFonts w:cstheme="minorHAnsi"/>
          <w:color w:val="auto"/>
        </w:rPr>
        <w:t>wymaga działa</w:t>
      </w:r>
      <w:r w:rsidR="005C7FDB">
        <w:rPr>
          <w:rFonts w:cstheme="minorHAnsi"/>
          <w:color w:val="auto"/>
        </w:rPr>
        <w:t>ń</w:t>
      </w:r>
      <w:r w:rsidR="008E3291" w:rsidRPr="00E833A9">
        <w:rPr>
          <w:rFonts w:cstheme="minorHAnsi"/>
          <w:color w:val="auto"/>
        </w:rPr>
        <w:t xml:space="preserve"> w różnych obszarach funkcjonowania miasta </w:t>
      </w:r>
      <w:r w:rsidR="00A64FC1" w:rsidRPr="00E833A9">
        <w:rPr>
          <w:rFonts w:cstheme="minorHAnsi"/>
          <w:color w:val="auto"/>
        </w:rPr>
        <w:t>–</w:t>
      </w:r>
      <w:r w:rsidR="008E3291" w:rsidRPr="00E833A9">
        <w:rPr>
          <w:rFonts w:cstheme="minorHAnsi"/>
          <w:color w:val="auto"/>
        </w:rPr>
        <w:t xml:space="preserve"> jego organizacji, edukacji i ostrzegania mieszkańców o zagrożeniach oraz rozwiązań technicznych w</w:t>
      </w:r>
      <w:r w:rsidR="005C7FDB">
        <w:rPr>
          <w:rFonts w:cstheme="minorHAnsi"/>
          <w:color w:val="auto"/>
        </w:rPr>
        <w:t> </w:t>
      </w:r>
      <w:r w:rsidR="008E3291" w:rsidRPr="00E833A9">
        <w:rPr>
          <w:rFonts w:cstheme="minorHAnsi"/>
          <w:color w:val="auto"/>
        </w:rPr>
        <w:t>przestrzeni miasta.</w:t>
      </w:r>
    </w:p>
    <w:p w14:paraId="463FABBD" w14:textId="4E6FF6BA" w:rsidR="00C3065E" w:rsidRDefault="00C3065E" w:rsidP="00B25D9C">
      <w:pPr>
        <w:tabs>
          <w:tab w:val="left" w:pos="3119"/>
        </w:tabs>
        <w:ind w:firstLine="0"/>
        <w:rPr>
          <w:rFonts w:cstheme="minorHAnsi"/>
          <w:noProof/>
          <w:color w:val="auto"/>
          <w:lang w:eastAsia="en-GB"/>
        </w:rPr>
      </w:pPr>
    </w:p>
    <w:p w14:paraId="4C0F3263" w14:textId="12D94215" w:rsidR="00FD082C" w:rsidRDefault="00300BB1" w:rsidP="00B25D9C">
      <w:pPr>
        <w:tabs>
          <w:tab w:val="left" w:pos="3119"/>
        </w:tabs>
        <w:ind w:firstLine="0"/>
        <w:rPr>
          <w:rFonts w:cstheme="minorHAnsi"/>
          <w:noProof/>
          <w:color w:val="auto"/>
          <w:lang w:eastAsia="en-GB"/>
        </w:rPr>
      </w:pPr>
      <w:r>
        <w:rPr>
          <w:rFonts w:cstheme="minorHAnsi"/>
          <w:noProof/>
          <w:color w:val="auto"/>
          <w:lang w:eastAsia="en-GB"/>
        </w:rPr>
        <w:drawing>
          <wp:inline distT="0" distB="0" distL="0" distR="0" wp14:anchorId="33C8E683" wp14:editId="1E26E165">
            <wp:extent cx="5486400" cy="5830785"/>
            <wp:effectExtent l="0" t="0" r="19050" b="0"/>
            <wp:docPr id="1220885097" name="Diagram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0" r:lo="rId141" r:qs="rId142" r:cs="rId143"/>
              </a:graphicData>
            </a:graphic>
          </wp:inline>
        </w:drawing>
      </w:r>
    </w:p>
    <w:p w14:paraId="2DA5E9DA" w14:textId="77777777" w:rsidR="00FD082C" w:rsidRPr="00E833A9" w:rsidRDefault="00FD082C" w:rsidP="00B25D9C">
      <w:pPr>
        <w:tabs>
          <w:tab w:val="left" w:pos="3119"/>
        </w:tabs>
        <w:ind w:firstLine="0"/>
        <w:rPr>
          <w:rFonts w:cstheme="minorHAnsi"/>
          <w:color w:val="auto"/>
        </w:rPr>
      </w:pPr>
    </w:p>
    <w:p w14:paraId="21EF0EE6" w14:textId="0B89801D" w:rsidR="00625095" w:rsidRPr="00E833A9" w:rsidRDefault="002B23B0" w:rsidP="00625095">
      <w:pPr>
        <w:tabs>
          <w:tab w:val="left" w:pos="3119"/>
        </w:tabs>
        <w:rPr>
          <w:rFonts w:eastAsia="Calibri" w:cstheme="minorHAnsi"/>
          <w:color w:val="auto"/>
        </w:rPr>
      </w:pPr>
      <w:r w:rsidRPr="00E833A9">
        <w:rPr>
          <w:rFonts w:eastAsia="Calibri" w:cstheme="minorHAnsi"/>
          <w:b/>
          <w:color w:val="auto"/>
        </w:rPr>
        <w:lastRenderedPageBreak/>
        <w:t>Działania mitygacyjne</w:t>
      </w:r>
      <w:r w:rsidRPr="00E833A9">
        <w:rPr>
          <w:rFonts w:eastAsia="Calibri" w:cstheme="minorHAnsi"/>
          <w:color w:val="auto"/>
        </w:rPr>
        <w:t xml:space="preserve"> zmian klimatu dotyczą działań mających na celu łagodzenie, zapobieganie lub ograniczanie zachodzących zmian poprzez ograniczanie emisji gazów cieplarnianych</w:t>
      </w:r>
      <w:r w:rsidR="008F1162" w:rsidRPr="00E833A9">
        <w:rPr>
          <w:rFonts w:eastAsia="Calibri" w:cstheme="minorHAnsi"/>
          <w:color w:val="auto"/>
        </w:rPr>
        <w:br/>
      </w:r>
      <w:r w:rsidRPr="00E833A9">
        <w:rPr>
          <w:rFonts w:eastAsia="Calibri" w:cstheme="minorHAnsi"/>
          <w:color w:val="auto"/>
        </w:rPr>
        <w:t>(np. z energetyki) oraz wspomaganie i tworzenie procesów zmniejszających ich stężenie np. poprzez sekwestrację dwutlenku węgla czy ochronę ekosystemów.</w:t>
      </w:r>
      <w:r w:rsidR="00827B0B" w:rsidRPr="00E833A9">
        <w:rPr>
          <w:rFonts w:eastAsia="Calibri" w:cstheme="minorHAnsi"/>
          <w:color w:val="auto"/>
        </w:rPr>
        <w:t xml:space="preserve"> </w:t>
      </w:r>
      <w:r w:rsidRPr="00E833A9">
        <w:rPr>
          <w:rFonts w:eastAsia="Calibri" w:cstheme="minorHAnsi"/>
          <w:color w:val="auto"/>
        </w:rPr>
        <w:t>Na poniższym rysunku przedstawiono przykłady działań mitygacyjnych.</w:t>
      </w:r>
    </w:p>
    <w:p w14:paraId="28D278EE" w14:textId="6B1B4D9E" w:rsidR="006F6E42" w:rsidRPr="00E833A9" w:rsidRDefault="006F6E42" w:rsidP="00940E0E">
      <w:pPr>
        <w:ind w:firstLine="0"/>
        <w:jc w:val="center"/>
        <w:rPr>
          <w:rFonts w:eastAsia="Calibri" w:cstheme="minorHAnsi"/>
          <w:color w:val="auto"/>
        </w:rPr>
      </w:pPr>
      <w:r w:rsidRPr="00E833A9">
        <w:rPr>
          <w:rFonts w:eastAsia="Calibri" w:cstheme="minorHAnsi"/>
          <w:noProof/>
          <w:color w:val="auto"/>
          <w:lang w:eastAsia="en-GB"/>
        </w:rPr>
        <w:drawing>
          <wp:inline distT="0" distB="0" distL="0" distR="0" wp14:anchorId="17D25E50" wp14:editId="590FEE37">
            <wp:extent cx="5760000" cy="2657475"/>
            <wp:effectExtent l="0" t="0" r="0" b="9525"/>
            <wp:docPr id="454" name="Diagram 4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5" r:lo="rId146" r:qs="rId147" r:cs="rId148"/>
              </a:graphicData>
            </a:graphic>
          </wp:inline>
        </w:drawing>
      </w:r>
    </w:p>
    <w:p w14:paraId="14E72C80" w14:textId="6D2D064E" w:rsidR="006F6E42" w:rsidRPr="00E833A9" w:rsidRDefault="006F6E42" w:rsidP="00940E0E">
      <w:pPr>
        <w:pStyle w:val="Stylrysunek"/>
        <w:rPr>
          <w:rFonts w:eastAsia="Times New Roman"/>
        </w:rPr>
      </w:pPr>
      <w:bookmarkStart w:id="242" w:name="_Toc178846392"/>
      <w:r w:rsidRPr="00E833A9">
        <w:rPr>
          <w:rFonts w:eastAsia="Times New Roman"/>
        </w:rPr>
        <w:t xml:space="preserve">Rysunek </w:t>
      </w:r>
      <w:r w:rsidR="007B7642" w:rsidRPr="00E833A9">
        <w:rPr>
          <w:rFonts w:eastAsia="Times New Roman"/>
        </w:rPr>
        <w:fldChar w:fldCharType="begin"/>
      </w:r>
      <w:r w:rsidR="007B7642" w:rsidRPr="00E833A9">
        <w:rPr>
          <w:rFonts w:eastAsia="Times New Roman"/>
        </w:rPr>
        <w:instrText xml:space="preserve"> SEQ Rysunek \* ARABIC </w:instrText>
      </w:r>
      <w:r w:rsidR="007B7642" w:rsidRPr="00E833A9">
        <w:rPr>
          <w:rFonts w:eastAsia="Times New Roman"/>
        </w:rPr>
        <w:fldChar w:fldCharType="separate"/>
      </w:r>
      <w:r w:rsidR="00A654D8">
        <w:rPr>
          <w:rFonts w:eastAsia="Times New Roman"/>
          <w:noProof/>
        </w:rPr>
        <w:t>50</w:t>
      </w:r>
      <w:r w:rsidR="007B7642" w:rsidRPr="00E833A9">
        <w:rPr>
          <w:rFonts w:eastAsia="Times New Roman"/>
        </w:rPr>
        <w:fldChar w:fldCharType="end"/>
      </w:r>
      <w:r w:rsidRPr="00E833A9">
        <w:rPr>
          <w:rFonts w:eastAsia="Times New Roman"/>
        </w:rPr>
        <w:t>. Działania mitygacyjne.</w:t>
      </w:r>
      <w:bookmarkEnd w:id="242"/>
    </w:p>
    <w:p w14:paraId="03A2EE9D" w14:textId="77777777" w:rsidR="006F6E42" w:rsidRPr="00E833A9" w:rsidRDefault="006F6E42" w:rsidP="009959C2">
      <w:pPr>
        <w:pStyle w:val="Cytat"/>
      </w:pPr>
      <w:r w:rsidRPr="00E833A9">
        <w:t>źródło: opracowanie własne</w:t>
      </w:r>
    </w:p>
    <w:p w14:paraId="46C0F8EF" w14:textId="77777777" w:rsidR="00405CCB" w:rsidRPr="00E833A9" w:rsidRDefault="00405CCB" w:rsidP="002B23B0">
      <w:pPr>
        <w:ind w:firstLine="0"/>
        <w:rPr>
          <w:rFonts w:eastAsia="Calibri" w:cstheme="minorHAnsi"/>
          <w:color w:val="000000"/>
        </w:rPr>
      </w:pPr>
    </w:p>
    <w:p w14:paraId="71318D37" w14:textId="45360AD4" w:rsidR="00116535" w:rsidRDefault="002B23B0" w:rsidP="009959C2">
      <w:r w:rsidRPr="00E833A9">
        <w:t>Opcje mitygacji i adaptacji to propozycje działań, których zrealizowanie będzie reakcją na przewidywane zmiany klimatyczne w celu ich łagodzenia lub/i adaptacji do nich na omawianym terenie oraz przyczyni się do osiągnięcia celów planów mitygacji i adaptacji.</w:t>
      </w:r>
      <w:r w:rsidR="00625095" w:rsidRPr="00E833A9">
        <w:t xml:space="preserve"> </w:t>
      </w:r>
      <w:r w:rsidRPr="00E833A9">
        <w:rPr>
          <w:b/>
        </w:rPr>
        <w:t>Działania mogą w wielu przypadkach być jednocześnie mitygacyjne i adaptacyjne</w:t>
      </w:r>
      <w:r w:rsidRPr="00E833A9">
        <w:t>, gdyż będą równocześnie budować odporność danego obszaru (adaptować go do zmian klimatu) i przeciwdziałać</w:t>
      </w:r>
      <w:r w:rsidR="00405CCB" w:rsidRPr="00E833A9">
        <w:t xml:space="preserve"> zmianom klimatu lub je ograniczać.</w:t>
      </w:r>
      <w:r w:rsidR="00827B0B" w:rsidRPr="00E833A9">
        <w:t xml:space="preserve"> </w:t>
      </w:r>
      <w:r w:rsidRPr="00E833A9">
        <w:t>Na poniższym wykresie przedstawiono przykłady działań mitygacyjnych, adaptacyjnych oraz takie, które są jednocześnie mitygacyjne i</w:t>
      </w:r>
      <w:r w:rsidR="00BB6D23">
        <w:t xml:space="preserve"> </w:t>
      </w:r>
      <w:r w:rsidRPr="00E833A9">
        <w:t>adaptacyjne.</w:t>
      </w:r>
    </w:p>
    <w:p w14:paraId="450ADE5A" w14:textId="77777777" w:rsidR="00822C05" w:rsidRPr="00E833A9" w:rsidRDefault="00822C05" w:rsidP="009959C2"/>
    <w:p w14:paraId="759DDE73" w14:textId="35CC131C" w:rsidR="002B23B0" w:rsidRPr="00E833A9" w:rsidRDefault="000728A3" w:rsidP="002B23B0">
      <w:pPr>
        <w:ind w:firstLine="0"/>
        <w:rPr>
          <w:rFonts w:eastAsia="Calibri" w:cstheme="minorHAnsi"/>
          <w:color w:val="000000"/>
        </w:rPr>
      </w:pPr>
      <w:r w:rsidRPr="00E833A9">
        <w:rPr>
          <w:rFonts w:eastAsia="Calibri" w:cstheme="minorHAnsi"/>
          <w:noProof/>
          <w:color w:val="000000"/>
          <w:lang w:eastAsia="en-GB"/>
        </w:rPr>
        <mc:AlternateContent>
          <mc:Choice Requires="wps">
            <w:drawing>
              <wp:anchor distT="0" distB="0" distL="114300" distR="114300" simplePos="0" relativeHeight="251659264" behindDoc="0" locked="0" layoutInCell="1" allowOverlap="1" wp14:anchorId="2A572AB7" wp14:editId="11122D3E">
                <wp:simplePos x="0" y="0"/>
                <wp:positionH relativeFrom="column">
                  <wp:posOffset>3852545</wp:posOffset>
                </wp:positionH>
                <wp:positionV relativeFrom="paragraph">
                  <wp:posOffset>1347470</wp:posOffset>
                </wp:positionV>
                <wp:extent cx="1009650" cy="619125"/>
                <wp:effectExtent l="0" t="0" r="0" b="0"/>
                <wp:wrapNone/>
                <wp:docPr id="449" name="Pole tekstowe 449"/>
                <wp:cNvGraphicFramePr/>
                <a:graphic xmlns:a="http://schemas.openxmlformats.org/drawingml/2006/main">
                  <a:graphicData uri="http://schemas.microsoft.com/office/word/2010/wordprocessingShape">
                    <wps:wsp>
                      <wps:cNvSpPr txBox="1"/>
                      <wps:spPr>
                        <a:xfrm>
                          <a:off x="0" y="0"/>
                          <a:ext cx="1009650" cy="619125"/>
                        </a:xfrm>
                        <a:prstGeom prst="rect">
                          <a:avLst/>
                        </a:prstGeom>
                        <a:noFill/>
                        <a:ln w="6350">
                          <a:noFill/>
                        </a:ln>
                        <a:effectLst/>
                      </wps:spPr>
                      <wps:txbx>
                        <w:txbxContent>
                          <w:p w14:paraId="0E58E2AC" w14:textId="77777777" w:rsidR="008F71E8" w:rsidRPr="00655FC7" w:rsidRDefault="008F71E8" w:rsidP="000728A3">
                            <w:pPr>
                              <w:ind w:firstLine="0"/>
                              <w:jc w:val="center"/>
                              <w:rPr>
                                <w:sz w:val="20"/>
                                <w:szCs w:val="20"/>
                              </w:rPr>
                            </w:pPr>
                            <w:r w:rsidRPr="00655FC7">
                              <w:rPr>
                                <w:sz w:val="20"/>
                                <w:szCs w:val="20"/>
                              </w:rPr>
                              <w:t>Inwestycje w infrastrukturę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72AB7" id="Pole tekstowe 449" o:spid="_x0000_s1029" type="#_x0000_t202" style="position:absolute;left:0;text-align:left;margin-left:303.35pt;margin-top:106.1pt;width:79.5pt;height:4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" filled="f" stroked="f" strokeweight=".5pt">
                <v:textbox>
                  <w:txbxContent>
                    <w:p w14:paraId="0E58E2AC" w14:textId="77777777" w:rsidR="008F71E8" w:rsidRPr="00655FC7" w:rsidRDefault="008F71E8" w:rsidP="000728A3">
                      <w:pPr>
                        <w:ind w:firstLine="0"/>
                        <w:jc w:val="center"/>
                        <w:rPr>
                          <w:sz w:val="20"/>
                          <w:szCs w:val="20"/>
                        </w:rPr>
                      </w:pPr>
                      <w:r w:rsidRPr="00655FC7">
                        <w:rPr>
                          <w:sz w:val="20"/>
                          <w:szCs w:val="20"/>
                        </w:rPr>
                        <w:t>Inwestycje w infrastrukturę</w:t>
                      </w:r>
                    </w:p>
                  </w:txbxContent>
                </v:textbox>
              </v:shape>
            </w:pict>
          </mc:Fallback>
        </mc:AlternateContent>
      </w:r>
      <w:r w:rsidR="006F6E42" w:rsidRPr="00E833A9">
        <w:rPr>
          <w:rFonts w:eastAsia="Calibri" w:cstheme="minorHAnsi"/>
          <w:noProof/>
          <w:color w:val="000000"/>
          <w:lang w:eastAsia="en-GB"/>
        </w:rPr>
        <mc:AlternateContent>
          <mc:Choice Requires="wps">
            <w:drawing>
              <wp:anchor distT="0" distB="0" distL="114300" distR="114300" simplePos="0" relativeHeight="251665408" behindDoc="0" locked="0" layoutInCell="1" allowOverlap="1" wp14:anchorId="7905DDA4" wp14:editId="048DECDC">
                <wp:simplePos x="0" y="0"/>
                <wp:positionH relativeFrom="column">
                  <wp:posOffset>394335</wp:posOffset>
                </wp:positionH>
                <wp:positionV relativeFrom="paragraph">
                  <wp:posOffset>309245</wp:posOffset>
                </wp:positionV>
                <wp:extent cx="1332000" cy="476250"/>
                <wp:effectExtent l="0" t="0" r="20955" b="19050"/>
                <wp:wrapNone/>
                <wp:docPr id="59" name="Elipsa 59"/>
                <wp:cNvGraphicFramePr/>
                <a:graphic xmlns:a="http://schemas.openxmlformats.org/drawingml/2006/main">
                  <a:graphicData uri="http://schemas.microsoft.com/office/word/2010/wordprocessingShape">
                    <wps:wsp>
                      <wps:cNvSpPr/>
                      <wps:spPr>
                        <a:xfrm>
                          <a:off x="0" y="0"/>
                          <a:ext cx="1332000" cy="476250"/>
                        </a:xfrm>
                        <a:prstGeom prst="ellipse">
                          <a:avLst/>
                        </a:prstGeom>
                        <a:solidFill>
                          <a:srgbClr val="8AB833"/>
                        </a:solidFill>
                        <a:ln w="25400" cap="flat" cmpd="sng" algn="ctr">
                          <a:solidFill>
                            <a:srgbClr val="8AB833">
                              <a:shade val="50000"/>
                            </a:srgbClr>
                          </a:solidFill>
                          <a:prstDash val="solid"/>
                        </a:ln>
                        <a:effectLst/>
                      </wps:spPr>
                      <wps:txbx>
                        <w:txbxContent>
                          <w:p w14:paraId="3C7AAF4B" w14:textId="77777777" w:rsidR="008F71E8" w:rsidRPr="00655FC7" w:rsidRDefault="008F71E8" w:rsidP="0071224A">
                            <w:pPr>
                              <w:ind w:firstLine="0"/>
                              <w:jc w:val="center"/>
                              <w:rPr>
                                <w:b/>
                                <w:color w:val="FFFFFF" w:themeColor="background1"/>
                              </w:rPr>
                            </w:pPr>
                            <w:r w:rsidRPr="00655FC7">
                              <w:rPr>
                                <w:b/>
                                <w:color w:val="FFFFFF" w:themeColor="background1"/>
                              </w:rPr>
                              <w:t>Mitygacja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905DDA4" id="Elipsa 59" o:spid="_x0000_s1030" style="position:absolute;left:0;text-align:left;margin-left:31.05pt;margin-top:24.35pt;width:104.9pt;height:3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" fillcolor="#8ab833" strokecolor="#648623" strokeweight="2pt">
                <v:textbox>
                  <w:txbxContent>
                    <w:p w14:paraId="3C7AAF4B" w14:textId="77777777" w:rsidR="008F71E8" w:rsidRPr="00655FC7" w:rsidRDefault="008F71E8" w:rsidP="0071224A">
                      <w:pPr>
                        <w:ind w:firstLine="0"/>
                        <w:jc w:val="center"/>
                        <w:rPr>
                          <w:b/>
                          <w:color w:val="FFFFFF" w:themeColor="background1"/>
                        </w:rPr>
                      </w:pPr>
                      <w:r w:rsidRPr="00655FC7">
                        <w:rPr>
                          <w:b/>
                          <w:color w:val="FFFFFF" w:themeColor="background1"/>
                        </w:rPr>
                        <w:t>Mitygacja</w:t>
                      </w:r>
                    </w:p>
                  </w:txbxContent>
                </v:textbox>
              </v:oval>
            </w:pict>
          </mc:Fallback>
        </mc:AlternateContent>
      </w:r>
      <w:r w:rsidR="006F6E42" w:rsidRPr="00E833A9">
        <w:rPr>
          <w:rFonts w:eastAsia="Calibri" w:cstheme="minorHAnsi"/>
          <w:noProof/>
          <w:color w:val="000000"/>
          <w:lang w:eastAsia="en-GB"/>
        </w:rPr>
        <mc:AlternateContent>
          <mc:Choice Requires="wps">
            <w:drawing>
              <wp:anchor distT="0" distB="0" distL="114300" distR="114300" simplePos="0" relativeHeight="251663360" behindDoc="0" locked="0" layoutInCell="1" allowOverlap="1" wp14:anchorId="7C57C9CA" wp14:editId="5A469B24">
                <wp:simplePos x="0" y="0"/>
                <wp:positionH relativeFrom="column">
                  <wp:posOffset>3338195</wp:posOffset>
                </wp:positionH>
                <wp:positionV relativeFrom="paragraph">
                  <wp:posOffset>1923415</wp:posOffset>
                </wp:positionV>
                <wp:extent cx="1333500" cy="523875"/>
                <wp:effectExtent l="0" t="0" r="0" b="0"/>
                <wp:wrapNone/>
                <wp:docPr id="453" name="Pole tekstowe 453"/>
                <wp:cNvGraphicFramePr/>
                <a:graphic xmlns:a="http://schemas.openxmlformats.org/drawingml/2006/main">
                  <a:graphicData uri="http://schemas.microsoft.com/office/word/2010/wordprocessingShape">
                    <wps:wsp>
                      <wps:cNvSpPr txBox="1"/>
                      <wps:spPr>
                        <a:xfrm>
                          <a:off x="0" y="0"/>
                          <a:ext cx="1333500" cy="523875"/>
                        </a:xfrm>
                        <a:prstGeom prst="rect">
                          <a:avLst/>
                        </a:prstGeom>
                        <a:noFill/>
                        <a:ln w="6350">
                          <a:noFill/>
                        </a:ln>
                        <a:effectLst/>
                      </wps:spPr>
                      <wps:txbx>
                        <w:txbxContent>
                          <w:p w14:paraId="71387FA1" w14:textId="77777777" w:rsidR="008F71E8" w:rsidRPr="00655FC7" w:rsidRDefault="008F71E8" w:rsidP="000728A3">
                            <w:pPr>
                              <w:ind w:firstLine="0"/>
                              <w:jc w:val="center"/>
                              <w:rPr>
                                <w:sz w:val="20"/>
                                <w:szCs w:val="20"/>
                              </w:rPr>
                            </w:pPr>
                            <w:r w:rsidRPr="00655FC7">
                              <w:rPr>
                                <w:sz w:val="20"/>
                                <w:szCs w:val="20"/>
                              </w:rPr>
                              <w:t>Ochrona przeciwpowodziowa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C57C9CA" id="Pole tekstowe 453" o:spid="_x0000_s1031" type="#_x0000_t202" style="position:absolute;left:0;text-align:left;margin-left:262.85pt;margin-top:151.45pt;width:105pt;height:41.25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" filled="f" stroked="f" strokeweight=".5pt">
                <v:textbox>
                  <w:txbxContent>
                    <w:p w14:paraId="71387FA1" w14:textId="77777777" w:rsidR="008F71E8" w:rsidRPr="00655FC7" w:rsidRDefault="008F71E8" w:rsidP="000728A3">
                      <w:pPr>
                        <w:ind w:firstLine="0"/>
                        <w:jc w:val="center"/>
                        <w:rPr>
                          <w:sz w:val="20"/>
                          <w:szCs w:val="20"/>
                        </w:rPr>
                      </w:pPr>
                      <w:r w:rsidRPr="00655FC7">
                        <w:rPr>
                          <w:sz w:val="20"/>
                          <w:szCs w:val="20"/>
                        </w:rPr>
                        <w:t>Ochrona przeciwpowodziowa</w:t>
                      </w:r>
                    </w:p>
                  </w:txbxContent>
                </v:textbox>
              </v:shape>
            </w:pict>
          </mc:Fallback>
        </mc:AlternateContent>
      </w:r>
      <w:r w:rsidR="006F6E42" w:rsidRPr="00E833A9">
        <w:rPr>
          <w:rFonts w:eastAsia="Calibri" w:cstheme="minorHAnsi"/>
          <w:noProof/>
          <w:color w:val="000000"/>
          <w:lang w:eastAsia="en-GB"/>
        </w:rPr>
        <mc:AlternateContent>
          <mc:Choice Requires="wps">
            <w:drawing>
              <wp:anchor distT="0" distB="0" distL="114300" distR="114300" simplePos="0" relativeHeight="251635712" behindDoc="0" locked="0" layoutInCell="1" allowOverlap="1" wp14:anchorId="7779C575" wp14:editId="5D044D87">
                <wp:simplePos x="0" y="0"/>
                <wp:positionH relativeFrom="column">
                  <wp:posOffset>3756660</wp:posOffset>
                </wp:positionH>
                <wp:positionV relativeFrom="paragraph">
                  <wp:posOffset>833120</wp:posOffset>
                </wp:positionV>
                <wp:extent cx="1152525" cy="523875"/>
                <wp:effectExtent l="0" t="0" r="0" b="0"/>
                <wp:wrapNone/>
                <wp:docPr id="448" name="Pole tekstowe 448"/>
                <wp:cNvGraphicFramePr/>
                <a:graphic xmlns:a="http://schemas.openxmlformats.org/drawingml/2006/main">
                  <a:graphicData uri="http://schemas.microsoft.com/office/word/2010/wordprocessingShape">
                    <wps:wsp>
                      <wps:cNvSpPr txBox="1"/>
                      <wps:spPr>
                        <a:xfrm>
                          <a:off x="0" y="0"/>
                          <a:ext cx="1152525" cy="523875"/>
                        </a:xfrm>
                        <a:prstGeom prst="rect">
                          <a:avLst/>
                        </a:prstGeom>
                        <a:noFill/>
                        <a:ln w="6350">
                          <a:noFill/>
                        </a:ln>
                        <a:effectLst/>
                      </wps:spPr>
                      <wps:txbx>
                        <w:txbxContent>
                          <w:p w14:paraId="49E5C239" w14:textId="77777777" w:rsidR="008F71E8" w:rsidRPr="00655FC7" w:rsidRDefault="008F71E8" w:rsidP="000728A3">
                            <w:pPr>
                              <w:ind w:firstLine="0"/>
                              <w:jc w:val="center"/>
                              <w:rPr>
                                <w:sz w:val="20"/>
                                <w:szCs w:val="20"/>
                              </w:rPr>
                            </w:pPr>
                            <w:r w:rsidRPr="00655FC7">
                              <w:rPr>
                                <w:sz w:val="20"/>
                                <w:szCs w:val="20"/>
                              </w:rPr>
                              <w:t>Zarządzanie kryzysowe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79C575" id="Pole tekstowe 448" o:spid="_x0000_s1032" type="#_x0000_t202" style="position:absolute;left:0;text-align:left;margin-left:295.8pt;margin-top:65.6pt;width:90.75pt;height:41.25pt;z-index:251635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" filled="f" stroked="f" strokeweight=".5pt">
                <v:textbox>
                  <w:txbxContent>
                    <w:p w14:paraId="49E5C239" w14:textId="77777777" w:rsidR="008F71E8" w:rsidRPr="00655FC7" w:rsidRDefault="008F71E8" w:rsidP="000728A3">
                      <w:pPr>
                        <w:ind w:firstLine="0"/>
                        <w:jc w:val="center"/>
                        <w:rPr>
                          <w:sz w:val="20"/>
                          <w:szCs w:val="20"/>
                        </w:rPr>
                      </w:pPr>
                      <w:r w:rsidRPr="00655FC7">
                        <w:rPr>
                          <w:sz w:val="20"/>
                          <w:szCs w:val="20"/>
                        </w:rPr>
                        <w:t>Zarządzanie kryzysowe</w:t>
                      </w:r>
                    </w:p>
                  </w:txbxContent>
                </v:textbox>
              </v:shape>
            </w:pict>
          </mc:Fallback>
        </mc:AlternateContent>
      </w:r>
      <w:r w:rsidR="006F6E42" w:rsidRPr="00E833A9">
        <w:rPr>
          <w:rFonts w:eastAsia="Calibri" w:cstheme="minorHAnsi"/>
          <w:noProof/>
          <w:color w:val="000000"/>
          <w:lang w:eastAsia="en-GB"/>
        </w:rPr>
        <mc:AlternateContent>
          <mc:Choice Requires="wps">
            <w:drawing>
              <wp:anchor distT="0" distB="0" distL="114300" distR="114300" simplePos="0" relativeHeight="251649024" behindDoc="0" locked="0" layoutInCell="1" allowOverlap="1" wp14:anchorId="0FCA3703" wp14:editId="40AFFA0C">
                <wp:simplePos x="0" y="0"/>
                <wp:positionH relativeFrom="column">
                  <wp:posOffset>2328545</wp:posOffset>
                </wp:positionH>
                <wp:positionV relativeFrom="paragraph">
                  <wp:posOffset>1780540</wp:posOffset>
                </wp:positionV>
                <wp:extent cx="1009650" cy="523875"/>
                <wp:effectExtent l="0" t="0" r="0" b="0"/>
                <wp:wrapNone/>
                <wp:docPr id="451" name="Pole tekstowe 451"/>
                <wp:cNvGraphicFramePr/>
                <a:graphic xmlns:a="http://schemas.openxmlformats.org/drawingml/2006/main">
                  <a:graphicData uri="http://schemas.microsoft.com/office/word/2010/wordprocessingShape">
                    <wps:wsp>
                      <wps:cNvSpPr txBox="1"/>
                      <wps:spPr>
                        <a:xfrm>
                          <a:off x="0" y="0"/>
                          <a:ext cx="1009650" cy="523875"/>
                        </a:xfrm>
                        <a:prstGeom prst="rect">
                          <a:avLst/>
                        </a:prstGeom>
                        <a:noFill/>
                        <a:ln w="6350">
                          <a:noFill/>
                        </a:ln>
                        <a:effectLst/>
                      </wps:spPr>
                      <wps:txbx>
                        <w:txbxContent>
                          <w:p w14:paraId="2D7D64C9" w14:textId="77777777" w:rsidR="008F71E8" w:rsidRPr="00655FC7" w:rsidRDefault="008F71E8" w:rsidP="000728A3">
                            <w:pPr>
                              <w:ind w:firstLine="0"/>
                              <w:jc w:val="center"/>
                              <w:rPr>
                                <w:sz w:val="20"/>
                                <w:szCs w:val="20"/>
                              </w:rPr>
                            </w:pPr>
                            <w:r w:rsidRPr="00655FC7">
                              <w:rPr>
                                <w:sz w:val="20"/>
                                <w:szCs w:val="20"/>
                              </w:rPr>
                              <w:t>Edukacja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CA3703" id="Pole tekstowe 451" o:spid="_x0000_s1033" type="#_x0000_t202" style="position:absolute;left:0;text-align:left;margin-left:183.35pt;margin-top:140.2pt;width:79.5pt;height:41.25pt;z-index:25164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" filled="f" stroked="f" strokeweight=".5pt">
                <v:textbox>
                  <w:txbxContent>
                    <w:p w14:paraId="2D7D64C9" w14:textId="77777777" w:rsidR="008F71E8" w:rsidRPr="00655FC7" w:rsidRDefault="008F71E8" w:rsidP="000728A3">
                      <w:pPr>
                        <w:ind w:firstLine="0"/>
                        <w:jc w:val="center"/>
                        <w:rPr>
                          <w:sz w:val="20"/>
                          <w:szCs w:val="20"/>
                        </w:rPr>
                      </w:pPr>
                      <w:r w:rsidRPr="00655FC7">
                        <w:rPr>
                          <w:sz w:val="20"/>
                          <w:szCs w:val="20"/>
                        </w:rPr>
                        <w:t>Edukacja</w:t>
                      </w:r>
                    </w:p>
                  </w:txbxContent>
                </v:textbox>
              </v:shape>
            </w:pict>
          </mc:Fallback>
        </mc:AlternateContent>
      </w:r>
      <w:r w:rsidR="006F6E42" w:rsidRPr="00E833A9">
        <w:rPr>
          <w:rFonts w:eastAsia="Calibri" w:cstheme="minorHAnsi"/>
          <w:noProof/>
          <w:color w:val="000000"/>
          <w:lang w:eastAsia="en-GB"/>
        </w:rPr>
        <mc:AlternateContent>
          <mc:Choice Requires="wps">
            <w:drawing>
              <wp:anchor distT="0" distB="0" distL="114300" distR="114300" simplePos="0" relativeHeight="251646976" behindDoc="0" locked="0" layoutInCell="1" allowOverlap="1" wp14:anchorId="1B2A1225" wp14:editId="76F218D7">
                <wp:simplePos x="0" y="0"/>
                <wp:positionH relativeFrom="column">
                  <wp:posOffset>2328545</wp:posOffset>
                </wp:positionH>
                <wp:positionV relativeFrom="paragraph">
                  <wp:posOffset>1256665</wp:posOffset>
                </wp:positionV>
                <wp:extent cx="1009650" cy="523875"/>
                <wp:effectExtent l="0" t="0" r="0" b="0"/>
                <wp:wrapNone/>
                <wp:docPr id="53" name="Pole tekstowe 53"/>
                <wp:cNvGraphicFramePr/>
                <a:graphic xmlns:a="http://schemas.openxmlformats.org/drawingml/2006/main">
                  <a:graphicData uri="http://schemas.microsoft.com/office/word/2010/wordprocessingShape">
                    <wps:wsp>
                      <wps:cNvSpPr txBox="1"/>
                      <wps:spPr>
                        <a:xfrm>
                          <a:off x="0" y="0"/>
                          <a:ext cx="1009650" cy="523875"/>
                        </a:xfrm>
                        <a:prstGeom prst="rect">
                          <a:avLst/>
                        </a:prstGeom>
                        <a:noFill/>
                        <a:ln w="6350">
                          <a:noFill/>
                        </a:ln>
                        <a:effectLst/>
                      </wps:spPr>
                      <wps:txbx>
                        <w:txbxContent>
                          <w:p w14:paraId="3E902F7D" w14:textId="77777777" w:rsidR="008F71E8" w:rsidRPr="00655FC7" w:rsidRDefault="008F71E8" w:rsidP="006F6E42">
                            <w:pPr>
                              <w:ind w:firstLine="0"/>
                              <w:jc w:val="center"/>
                              <w:rPr>
                                <w:sz w:val="20"/>
                                <w:szCs w:val="20"/>
                              </w:rPr>
                            </w:pPr>
                            <w:r w:rsidRPr="00655FC7">
                              <w:rPr>
                                <w:sz w:val="20"/>
                                <w:szCs w:val="20"/>
                              </w:rPr>
                              <w:t>Ochrona ekosystemów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B2A1225" id="Pole tekstowe 53" o:spid="_x0000_s1034" type="#_x0000_t202" style="position:absolute;left:0;text-align:left;margin-left:183.35pt;margin-top:98.95pt;width:79.5pt;height:41.25pt;z-index:25164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" filled="f" stroked="f" strokeweight=".5pt">
                <v:textbox>
                  <w:txbxContent>
                    <w:p w14:paraId="3E902F7D" w14:textId="77777777" w:rsidR="008F71E8" w:rsidRPr="00655FC7" w:rsidRDefault="008F71E8" w:rsidP="006F6E42">
                      <w:pPr>
                        <w:ind w:firstLine="0"/>
                        <w:jc w:val="center"/>
                        <w:rPr>
                          <w:sz w:val="20"/>
                          <w:szCs w:val="20"/>
                        </w:rPr>
                      </w:pPr>
                      <w:r w:rsidRPr="00655FC7">
                        <w:rPr>
                          <w:sz w:val="20"/>
                          <w:szCs w:val="20"/>
                        </w:rPr>
                        <w:t>Ochrona ekosystemów</w:t>
                      </w:r>
                    </w:p>
                  </w:txbxContent>
                </v:textbox>
              </v:shape>
            </w:pict>
          </mc:Fallback>
        </mc:AlternateContent>
      </w:r>
      <w:r w:rsidR="006F6E42" w:rsidRPr="00E833A9">
        <w:rPr>
          <w:rFonts w:eastAsia="Calibri" w:cstheme="minorHAnsi"/>
          <w:noProof/>
          <w:color w:val="000000"/>
          <w:lang w:eastAsia="en-GB"/>
        </w:rPr>
        <mc:AlternateContent>
          <mc:Choice Requires="wps">
            <w:drawing>
              <wp:anchor distT="0" distB="0" distL="114300" distR="114300" simplePos="0" relativeHeight="251644928" behindDoc="0" locked="0" layoutInCell="1" allowOverlap="1" wp14:anchorId="5D3DD540" wp14:editId="60D21810">
                <wp:simplePos x="0" y="0"/>
                <wp:positionH relativeFrom="column">
                  <wp:posOffset>2290445</wp:posOffset>
                </wp:positionH>
                <wp:positionV relativeFrom="paragraph">
                  <wp:posOffset>623570</wp:posOffset>
                </wp:positionV>
                <wp:extent cx="1276350" cy="581025"/>
                <wp:effectExtent l="0" t="0" r="0" b="0"/>
                <wp:wrapNone/>
                <wp:docPr id="450" name="Pole tekstowe 450"/>
                <wp:cNvGraphicFramePr/>
                <a:graphic xmlns:a="http://schemas.openxmlformats.org/drawingml/2006/main">
                  <a:graphicData uri="http://schemas.microsoft.com/office/word/2010/wordprocessingShape">
                    <wps:wsp>
                      <wps:cNvSpPr txBox="1"/>
                      <wps:spPr>
                        <a:xfrm>
                          <a:off x="0" y="0"/>
                          <a:ext cx="1276350" cy="581025"/>
                        </a:xfrm>
                        <a:prstGeom prst="rect">
                          <a:avLst/>
                        </a:prstGeom>
                        <a:noFill/>
                        <a:ln w="6350">
                          <a:noFill/>
                        </a:ln>
                        <a:effectLst>
                          <a:glow rad="63500">
                            <a:srgbClr val="8AB833">
                              <a:satMod val="175000"/>
                              <a:alpha val="40000"/>
                            </a:srgbClr>
                          </a:glow>
                        </a:effectLst>
                      </wps:spPr>
                      <wps:txbx>
                        <w:txbxContent>
                          <w:p w14:paraId="02FC8B6C" w14:textId="77777777" w:rsidR="008F71E8" w:rsidRPr="00655FC7" w:rsidRDefault="008F71E8" w:rsidP="000728A3">
                            <w:pPr>
                              <w:ind w:firstLine="0"/>
                              <w:jc w:val="center"/>
                              <w:rPr>
                                <w:sz w:val="20"/>
                                <w:szCs w:val="20"/>
                              </w:rPr>
                            </w:pPr>
                            <w:r w:rsidRPr="00655FC7">
                              <w:rPr>
                                <w:sz w:val="20"/>
                                <w:szCs w:val="20"/>
                              </w:rPr>
                              <w:t>Oszczędzanie wody i innych surowców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DD540" id="Pole tekstowe 450" o:spid="_x0000_s1035" type="#_x0000_t202" style="position:absolute;left:0;text-align:left;margin-left:180.35pt;margin-top:49.1pt;width:100.5pt;height:45.7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" filled="f" stroked="f" strokeweight=".5pt">
                <v:textbox>
                  <w:txbxContent>
                    <w:p w14:paraId="02FC8B6C" w14:textId="77777777" w:rsidR="008F71E8" w:rsidRPr="00655FC7" w:rsidRDefault="008F71E8" w:rsidP="000728A3">
                      <w:pPr>
                        <w:ind w:firstLine="0"/>
                        <w:jc w:val="center"/>
                        <w:rPr>
                          <w:sz w:val="20"/>
                          <w:szCs w:val="20"/>
                        </w:rPr>
                      </w:pPr>
                      <w:r w:rsidRPr="00655FC7">
                        <w:rPr>
                          <w:sz w:val="20"/>
                          <w:szCs w:val="20"/>
                        </w:rPr>
                        <w:t>Oszczędzanie wody i innych surowców</w:t>
                      </w:r>
                    </w:p>
                  </w:txbxContent>
                </v:textbox>
              </v:shape>
            </w:pict>
          </mc:Fallback>
        </mc:AlternateContent>
      </w:r>
      <w:r w:rsidR="006F6E42" w:rsidRPr="00E833A9">
        <w:rPr>
          <w:rFonts w:eastAsia="Calibri" w:cstheme="minorHAnsi"/>
          <w:noProof/>
          <w:color w:val="000000"/>
          <w:lang w:eastAsia="en-GB"/>
        </w:rPr>
        <mc:AlternateContent>
          <mc:Choice Requires="wps">
            <w:drawing>
              <wp:anchor distT="0" distB="0" distL="114300" distR="114300" simplePos="0" relativeHeight="251640832" behindDoc="0" locked="0" layoutInCell="1" allowOverlap="1" wp14:anchorId="47AEBEAE" wp14:editId="59937BE1">
                <wp:simplePos x="0" y="0"/>
                <wp:positionH relativeFrom="column">
                  <wp:posOffset>928370</wp:posOffset>
                </wp:positionH>
                <wp:positionV relativeFrom="paragraph">
                  <wp:posOffset>1523365</wp:posOffset>
                </wp:positionV>
                <wp:extent cx="1009650" cy="523875"/>
                <wp:effectExtent l="0" t="0" r="0" b="0"/>
                <wp:wrapNone/>
                <wp:docPr id="44" name="Pole tekstowe 44"/>
                <wp:cNvGraphicFramePr/>
                <a:graphic xmlns:a="http://schemas.openxmlformats.org/drawingml/2006/main">
                  <a:graphicData uri="http://schemas.microsoft.com/office/word/2010/wordprocessingShape">
                    <wps:wsp>
                      <wps:cNvSpPr txBox="1"/>
                      <wps:spPr>
                        <a:xfrm>
                          <a:off x="0" y="0"/>
                          <a:ext cx="1009650" cy="523875"/>
                        </a:xfrm>
                        <a:prstGeom prst="rect">
                          <a:avLst/>
                        </a:prstGeom>
                        <a:noFill/>
                        <a:ln w="6350">
                          <a:noFill/>
                        </a:ln>
                        <a:effectLst/>
                      </wps:spPr>
                      <wps:txbx>
                        <w:txbxContent>
                          <w:p w14:paraId="49A3A4C4" w14:textId="77777777" w:rsidR="008F71E8" w:rsidRPr="00655FC7" w:rsidRDefault="008F71E8" w:rsidP="006F6E42">
                            <w:pPr>
                              <w:ind w:firstLine="0"/>
                              <w:rPr>
                                <w:sz w:val="20"/>
                                <w:szCs w:val="20"/>
                              </w:rPr>
                            </w:pPr>
                            <w:r w:rsidRPr="00655FC7">
                              <w:rPr>
                                <w:sz w:val="20"/>
                                <w:szCs w:val="20"/>
                              </w:rPr>
                              <w:t>Czysta energia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7AEBEAE" id="Pole tekstowe 44" o:spid="_x0000_s1036" type="#_x0000_t202" style="position:absolute;left:0;text-align:left;margin-left:73.1pt;margin-top:119.95pt;width:79.5pt;height:41.25pt;z-index:251640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" filled="f" stroked="f" strokeweight=".5pt">
                <v:textbox>
                  <w:txbxContent>
                    <w:p w14:paraId="49A3A4C4" w14:textId="77777777" w:rsidR="008F71E8" w:rsidRPr="00655FC7" w:rsidRDefault="008F71E8" w:rsidP="006F6E42">
                      <w:pPr>
                        <w:ind w:firstLine="0"/>
                        <w:rPr>
                          <w:sz w:val="20"/>
                          <w:szCs w:val="20"/>
                        </w:rPr>
                      </w:pPr>
                      <w:r w:rsidRPr="00655FC7">
                        <w:rPr>
                          <w:sz w:val="20"/>
                          <w:szCs w:val="20"/>
                        </w:rPr>
                        <w:t>Czysta energia</w:t>
                      </w:r>
                    </w:p>
                  </w:txbxContent>
                </v:textbox>
              </v:shape>
            </w:pict>
          </mc:Fallback>
        </mc:AlternateContent>
      </w:r>
      <w:r w:rsidR="006F6E42" w:rsidRPr="00E833A9">
        <w:rPr>
          <w:rFonts w:eastAsia="Calibri" w:cstheme="minorHAnsi"/>
          <w:noProof/>
          <w:color w:val="000000"/>
          <w:lang w:eastAsia="en-GB"/>
        </w:rPr>
        <mc:AlternateContent>
          <mc:Choice Requires="wps">
            <w:drawing>
              <wp:anchor distT="0" distB="0" distL="114300" distR="114300" simplePos="0" relativeHeight="251642880" behindDoc="0" locked="0" layoutInCell="1" allowOverlap="1" wp14:anchorId="281BA7B9" wp14:editId="0A0444DA">
                <wp:simplePos x="0" y="0"/>
                <wp:positionH relativeFrom="column">
                  <wp:posOffset>1023620</wp:posOffset>
                </wp:positionH>
                <wp:positionV relativeFrom="paragraph">
                  <wp:posOffset>1890395</wp:posOffset>
                </wp:positionV>
                <wp:extent cx="1304925" cy="523875"/>
                <wp:effectExtent l="0" t="0" r="0" b="0"/>
                <wp:wrapNone/>
                <wp:docPr id="51" name="Pole tekstowe 51"/>
                <wp:cNvGraphicFramePr/>
                <a:graphic xmlns:a="http://schemas.openxmlformats.org/drawingml/2006/main">
                  <a:graphicData uri="http://schemas.microsoft.com/office/word/2010/wordprocessingShape">
                    <wps:wsp>
                      <wps:cNvSpPr txBox="1"/>
                      <wps:spPr>
                        <a:xfrm>
                          <a:off x="0" y="0"/>
                          <a:ext cx="1304925" cy="523875"/>
                        </a:xfrm>
                        <a:prstGeom prst="rect">
                          <a:avLst/>
                        </a:prstGeom>
                        <a:noFill/>
                        <a:ln w="6350">
                          <a:noFill/>
                        </a:ln>
                        <a:effectLst/>
                      </wps:spPr>
                      <wps:txbx>
                        <w:txbxContent>
                          <w:p w14:paraId="3AC9F7E9" w14:textId="77777777" w:rsidR="008F71E8" w:rsidRPr="00655FC7" w:rsidRDefault="008F71E8" w:rsidP="000728A3">
                            <w:pPr>
                              <w:ind w:firstLine="0"/>
                              <w:jc w:val="center"/>
                              <w:rPr>
                                <w:sz w:val="20"/>
                                <w:szCs w:val="20"/>
                              </w:rPr>
                            </w:pPr>
                            <w:r w:rsidRPr="00655FC7">
                              <w:rPr>
                                <w:sz w:val="20"/>
                                <w:szCs w:val="20"/>
                              </w:rPr>
                              <w:t>Zrównoważony transport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81BA7B9" id="Pole tekstowe 51" o:spid="_x0000_s1037" type="#_x0000_t202" style="position:absolute;left:0;text-align:left;margin-left:80.6pt;margin-top:148.85pt;width:102.75pt;height:41.25pt;z-index:25164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" filled="f" stroked="f" strokeweight=".5pt">
                <v:textbox>
                  <w:txbxContent>
                    <w:p w14:paraId="3AC9F7E9" w14:textId="77777777" w:rsidR="008F71E8" w:rsidRPr="00655FC7" w:rsidRDefault="008F71E8" w:rsidP="000728A3">
                      <w:pPr>
                        <w:ind w:firstLine="0"/>
                        <w:jc w:val="center"/>
                        <w:rPr>
                          <w:sz w:val="20"/>
                          <w:szCs w:val="20"/>
                        </w:rPr>
                      </w:pPr>
                      <w:r w:rsidRPr="00655FC7">
                        <w:rPr>
                          <w:sz w:val="20"/>
                          <w:szCs w:val="20"/>
                        </w:rPr>
                        <w:t>Zrównoważony transport</w:t>
                      </w:r>
                    </w:p>
                  </w:txbxContent>
                </v:textbox>
              </v:shape>
            </w:pict>
          </mc:Fallback>
        </mc:AlternateContent>
      </w:r>
      <w:r w:rsidR="006F6E42" w:rsidRPr="00E833A9">
        <w:rPr>
          <w:rFonts w:eastAsia="Calibri" w:cstheme="minorHAnsi"/>
          <w:noProof/>
          <w:color w:val="000000"/>
          <w:lang w:eastAsia="en-GB"/>
        </w:rPr>
        <mc:AlternateContent>
          <mc:Choice Requires="wps">
            <w:drawing>
              <wp:anchor distT="0" distB="0" distL="114300" distR="114300" simplePos="0" relativeHeight="251638784" behindDoc="0" locked="0" layoutInCell="1" allowOverlap="1" wp14:anchorId="4C1F084A" wp14:editId="06B7F089">
                <wp:simplePos x="0" y="0"/>
                <wp:positionH relativeFrom="column">
                  <wp:posOffset>814070</wp:posOffset>
                </wp:positionH>
                <wp:positionV relativeFrom="paragraph">
                  <wp:posOffset>909320</wp:posOffset>
                </wp:positionV>
                <wp:extent cx="1181100" cy="619125"/>
                <wp:effectExtent l="0" t="0" r="0" b="0"/>
                <wp:wrapNone/>
                <wp:docPr id="452" name="Pole tekstowe 452"/>
                <wp:cNvGraphicFramePr/>
                <a:graphic xmlns:a="http://schemas.openxmlformats.org/drawingml/2006/main">
                  <a:graphicData uri="http://schemas.microsoft.com/office/word/2010/wordprocessingShape">
                    <wps:wsp>
                      <wps:cNvSpPr txBox="1"/>
                      <wps:spPr>
                        <a:xfrm>
                          <a:off x="0" y="0"/>
                          <a:ext cx="1181100" cy="619125"/>
                        </a:xfrm>
                        <a:prstGeom prst="rect">
                          <a:avLst/>
                        </a:prstGeom>
                        <a:noFill/>
                        <a:ln w="6350">
                          <a:noFill/>
                        </a:ln>
                        <a:effectLst/>
                      </wps:spPr>
                      <wps:txbx>
                        <w:txbxContent>
                          <w:p w14:paraId="25F4C8D9" w14:textId="77777777" w:rsidR="008F71E8" w:rsidRPr="00655FC7" w:rsidRDefault="008F71E8" w:rsidP="000728A3">
                            <w:pPr>
                              <w:ind w:firstLine="0"/>
                              <w:jc w:val="center"/>
                              <w:rPr>
                                <w:sz w:val="20"/>
                                <w:szCs w:val="20"/>
                              </w:rPr>
                            </w:pPr>
                            <w:r w:rsidRPr="00655FC7">
                              <w:rPr>
                                <w:sz w:val="20"/>
                                <w:szCs w:val="20"/>
                              </w:rPr>
                              <w:t>Efektywność energetyczna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F084A" id="Pole tekstowe 452" o:spid="_x0000_s1038" type="#_x0000_t202" style="position:absolute;left:0;text-align:left;margin-left:64.1pt;margin-top:71.6pt;width:93pt;height:48.7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" filled="f" stroked="f" strokeweight=".5pt">
                <v:textbox>
                  <w:txbxContent>
                    <w:p w14:paraId="25F4C8D9" w14:textId="77777777" w:rsidR="008F71E8" w:rsidRPr="00655FC7" w:rsidRDefault="008F71E8" w:rsidP="000728A3">
                      <w:pPr>
                        <w:ind w:firstLine="0"/>
                        <w:jc w:val="center"/>
                        <w:rPr>
                          <w:sz w:val="20"/>
                          <w:szCs w:val="20"/>
                        </w:rPr>
                      </w:pPr>
                      <w:r w:rsidRPr="00655FC7">
                        <w:rPr>
                          <w:sz w:val="20"/>
                          <w:szCs w:val="20"/>
                        </w:rPr>
                        <w:t>Efektywność energetyczna</w:t>
                      </w:r>
                    </w:p>
                  </w:txbxContent>
                </v:textbox>
              </v:shape>
            </w:pict>
          </mc:Fallback>
        </mc:AlternateContent>
      </w:r>
      <w:r w:rsidR="002B23B0" w:rsidRPr="00E833A9">
        <w:rPr>
          <w:rFonts w:eastAsia="Calibri" w:cstheme="minorHAnsi"/>
          <w:noProof/>
          <w:color w:val="000000"/>
          <w:lang w:eastAsia="en-GB"/>
        </w:rPr>
        <mc:AlternateContent>
          <mc:Choice Requires="wps">
            <w:drawing>
              <wp:anchor distT="0" distB="0" distL="114300" distR="114300" simplePos="0" relativeHeight="251651072" behindDoc="0" locked="0" layoutInCell="1" allowOverlap="1" wp14:anchorId="27E1F42B" wp14:editId="3A1887A2">
                <wp:simplePos x="0" y="0"/>
                <wp:positionH relativeFrom="column">
                  <wp:posOffset>4062095</wp:posOffset>
                </wp:positionH>
                <wp:positionV relativeFrom="paragraph">
                  <wp:posOffset>309880</wp:posOffset>
                </wp:positionV>
                <wp:extent cx="1332000" cy="476250"/>
                <wp:effectExtent l="0" t="0" r="20955" b="19050"/>
                <wp:wrapNone/>
                <wp:docPr id="62" name="Elipsa 62"/>
                <wp:cNvGraphicFramePr/>
                <a:graphic xmlns:a="http://schemas.openxmlformats.org/drawingml/2006/main">
                  <a:graphicData uri="http://schemas.microsoft.com/office/word/2010/wordprocessingShape">
                    <wps:wsp>
                      <wps:cNvSpPr/>
                      <wps:spPr>
                        <a:xfrm>
                          <a:off x="0" y="0"/>
                          <a:ext cx="1332000" cy="476250"/>
                        </a:xfrm>
                        <a:prstGeom prst="ellipse">
                          <a:avLst/>
                        </a:prstGeom>
                        <a:solidFill>
                          <a:srgbClr val="0989B1"/>
                        </a:solidFill>
                        <a:ln w="25400" cap="flat" cmpd="sng" algn="ctr">
                          <a:solidFill>
                            <a:srgbClr val="0989B1">
                              <a:shade val="50000"/>
                            </a:srgbClr>
                          </a:solidFill>
                          <a:prstDash val="solid"/>
                        </a:ln>
                        <a:effectLst/>
                      </wps:spPr>
                      <wps:txbx>
                        <w:txbxContent>
                          <w:p w14:paraId="213358E3" w14:textId="77777777" w:rsidR="008F71E8" w:rsidRPr="00655FC7" w:rsidRDefault="008F71E8" w:rsidP="0071224A">
                            <w:pPr>
                              <w:ind w:firstLine="0"/>
                              <w:jc w:val="center"/>
                              <w:rPr>
                                <w:b/>
                                <w:color w:val="FFFFFF" w:themeColor="background1"/>
                              </w:rPr>
                            </w:pPr>
                            <w:r w:rsidRPr="00655FC7">
                              <w:rPr>
                                <w:b/>
                                <w:color w:val="FFFFFF" w:themeColor="background1"/>
                              </w:rPr>
                              <w:t>Adaptacja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E1F42B" id="Elipsa 62" o:spid="_x0000_s1039" style="position:absolute;left:0;text-align:left;margin-left:319.85pt;margin-top:24.4pt;width:104.9pt;height:3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" fillcolor="#0989b1" strokecolor="#056381" strokeweight="2pt">
                <v:textbox>
                  <w:txbxContent>
                    <w:p w14:paraId="213358E3" w14:textId="77777777" w:rsidR="008F71E8" w:rsidRPr="00655FC7" w:rsidRDefault="008F71E8" w:rsidP="0071224A">
                      <w:pPr>
                        <w:ind w:firstLine="0"/>
                        <w:jc w:val="center"/>
                        <w:rPr>
                          <w:b/>
                          <w:color w:val="FFFFFF" w:themeColor="background1"/>
                        </w:rPr>
                      </w:pPr>
                      <w:r w:rsidRPr="00655FC7">
                        <w:rPr>
                          <w:b/>
                          <w:color w:val="FFFFFF" w:themeColor="background1"/>
                        </w:rPr>
                        <w:t>Adaptacja</w:t>
                      </w:r>
                    </w:p>
                  </w:txbxContent>
                </v:textbox>
              </v:oval>
            </w:pict>
          </mc:Fallback>
        </mc:AlternateContent>
      </w:r>
      <w:r w:rsidR="002B23B0" w:rsidRPr="00E833A9">
        <w:rPr>
          <w:rFonts w:eastAsia="Calibri" w:cstheme="minorHAnsi"/>
          <w:noProof/>
          <w:color w:val="000000"/>
          <w:lang w:eastAsia="en-GB"/>
        </w:rPr>
        <w:drawing>
          <wp:inline distT="0" distB="0" distL="0" distR="0" wp14:anchorId="4F7656B3" wp14:editId="03B56B45">
            <wp:extent cx="5760000" cy="2600325"/>
            <wp:effectExtent l="0" t="19050" r="0" b="9525"/>
            <wp:docPr id="456" name="Diagram 4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0" r:lo="rId151" r:qs="rId152" r:cs="rId153"/>
              </a:graphicData>
            </a:graphic>
          </wp:inline>
        </w:drawing>
      </w:r>
    </w:p>
    <w:p w14:paraId="446BE98C" w14:textId="727CCE14" w:rsidR="002B23B0" w:rsidRPr="00E833A9" w:rsidRDefault="002B23B0" w:rsidP="009959C2">
      <w:pPr>
        <w:pStyle w:val="Stylrysunek"/>
        <w:rPr>
          <w:rFonts w:eastAsia="Times New Roman"/>
        </w:rPr>
      </w:pPr>
      <w:bookmarkStart w:id="243" w:name="_Toc118550951"/>
      <w:bookmarkStart w:id="244" w:name="_Toc178846393"/>
      <w:r w:rsidRPr="00E833A9">
        <w:rPr>
          <w:rFonts w:eastAsia="Times New Roman"/>
        </w:rPr>
        <w:t xml:space="preserve">Rysunek </w:t>
      </w:r>
      <w:r w:rsidR="007B7642" w:rsidRPr="00E833A9">
        <w:rPr>
          <w:rFonts w:eastAsia="Times New Roman"/>
        </w:rPr>
        <w:fldChar w:fldCharType="begin"/>
      </w:r>
      <w:r w:rsidR="007B7642" w:rsidRPr="00E833A9">
        <w:rPr>
          <w:rFonts w:eastAsia="Times New Roman"/>
        </w:rPr>
        <w:instrText xml:space="preserve"> SEQ Rysunek \* ARABIC </w:instrText>
      </w:r>
      <w:r w:rsidR="007B7642" w:rsidRPr="00E833A9">
        <w:rPr>
          <w:rFonts w:eastAsia="Times New Roman"/>
        </w:rPr>
        <w:fldChar w:fldCharType="separate"/>
      </w:r>
      <w:r w:rsidR="00A654D8">
        <w:rPr>
          <w:rFonts w:eastAsia="Times New Roman"/>
          <w:noProof/>
        </w:rPr>
        <w:t>51</w:t>
      </w:r>
      <w:r w:rsidR="007B7642" w:rsidRPr="00E833A9">
        <w:rPr>
          <w:rFonts w:eastAsia="Times New Roman"/>
        </w:rPr>
        <w:fldChar w:fldCharType="end"/>
      </w:r>
      <w:r w:rsidRPr="00E833A9">
        <w:rPr>
          <w:rFonts w:eastAsia="Times New Roman"/>
        </w:rPr>
        <w:t>. Działania mitygacyjne i adaptacyjne.</w:t>
      </w:r>
      <w:bookmarkEnd w:id="243"/>
      <w:bookmarkEnd w:id="244"/>
    </w:p>
    <w:p w14:paraId="7AEB7ECA" w14:textId="77777777" w:rsidR="002B23B0" w:rsidRPr="00E833A9" w:rsidRDefault="002B23B0" w:rsidP="009959C2">
      <w:pPr>
        <w:pStyle w:val="Cytat"/>
      </w:pPr>
      <w:r w:rsidRPr="00E833A9">
        <w:t>źródło: opracowanie własne</w:t>
      </w:r>
    </w:p>
    <w:p w14:paraId="1AF893D9" w14:textId="77777777" w:rsidR="009959C2" w:rsidRPr="00E833A9" w:rsidRDefault="009959C2" w:rsidP="009959C2">
      <w:pPr>
        <w:rPr>
          <w:lang w:eastAsia="ar-SA"/>
        </w:rPr>
      </w:pPr>
    </w:p>
    <w:p w14:paraId="32BD43F4" w14:textId="51E6623A" w:rsidR="00B445D2" w:rsidRPr="00E833A9" w:rsidRDefault="00B445D2" w:rsidP="00B62479">
      <w:pPr>
        <w:pStyle w:val="Nagwek2"/>
      </w:pPr>
      <w:bookmarkStart w:id="245" w:name="_Toc143596946"/>
      <w:bookmarkStart w:id="246" w:name="_Toc177732081"/>
      <w:bookmarkStart w:id="247" w:name="_Toc75170255"/>
      <w:r w:rsidRPr="00E833A9">
        <w:t>Identyfikacja opcji adaptacji</w:t>
      </w:r>
      <w:bookmarkEnd w:id="245"/>
      <w:bookmarkEnd w:id="246"/>
    </w:p>
    <w:p w14:paraId="7A064A97" w14:textId="3B8F7B6E" w:rsidR="00B445D2" w:rsidRPr="00E833A9" w:rsidRDefault="00B445D2" w:rsidP="00EB2570">
      <w:pPr>
        <w:rPr>
          <w:rFonts w:cstheme="minorHAnsi"/>
        </w:rPr>
      </w:pPr>
      <w:r w:rsidRPr="00E833A9">
        <w:rPr>
          <w:rFonts w:cstheme="minorHAnsi"/>
        </w:rPr>
        <w:t xml:space="preserve">Analizowane opcje adaptacji mają na celu podniesienie odporności Miasta </w:t>
      </w:r>
      <w:r w:rsidR="00186062">
        <w:rPr>
          <w:rFonts w:cstheme="minorHAnsi"/>
        </w:rPr>
        <w:t>Tarnogród</w:t>
      </w:r>
      <w:r w:rsidR="00116535" w:rsidRPr="00E833A9">
        <w:rPr>
          <w:rFonts w:cstheme="minorHAnsi"/>
        </w:rPr>
        <w:t xml:space="preserve"> </w:t>
      </w:r>
      <w:r w:rsidRPr="00E833A9">
        <w:rPr>
          <w:rFonts w:cstheme="minorHAnsi"/>
        </w:rPr>
        <w:t xml:space="preserve">na skutki zmian klimatu. Zgodnie z </w:t>
      </w:r>
      <w:r w:rsidRPr="00E833A9">
        <w:rPr>
          <w:rFonts w:cstheme="minorHAnsi"/>
          <w:i/>
          <w:color w:val="auto"/>
        </w:rPr>
        <w:t>Podręcznikiem adaptacji dla miast.</w:t>
      </w:r>
      <w:r w:rsidR="004655D7" w:rsidRPr="00E833A9">
        <w:rPr>
          <w:rFonts w:cstheme="minorHAnsi"/>
          <w:i/>
          <w:color w:val="auto"/>
        </w:rPr>
        <w:t xml:space="preserve"> Wytyczne do przygotowania Miejskiego Planu Adaptacji do zmian klimatu. Aktualizacja 2023 </w:t>
      </w:r>
      <w:r w:rsidR="00EB2570" w:rsidRPr="00E833A9">
        <w:rPr>
          <w:rFonts w:cstheme="minorHAnsi"/>
          <w:color w:val="auto"/>
        </w:rPr>
        <w:t xml:space="preserve">opcje adaptacji to możliwe działania adaptacyjne lub grupy działań odpowiadające </w:t>
      </w:r>
      <w:r w:rsidR="00862D95" w:rsidRPr="00E833A9">
        <w:rPr>
          <w:rFonts w:cstheme="minorHAnsi"/>
          <w:color w:val="auto"/>
        </w:rPr>
        <w:t>n</w:t>
      </w:r>
      <w:r w:rsidR="00EB2570" w:rsidRPr="00E833A9">
        <w:rPr>
          <w:rFonts w:cstheme="minorHAnsi"/>
          <w:color w:val="auto"/>
        </w:rPr>
        <w:t>a określony cel szczegółowy.</w:t>
      </w:r>
    </w:p>
    <w:p w14:paraId="1F09CBF1" w14:textId="77777777" w:rsidR="00EC63D8" w:rsidRPr="00E833A9" w:rsidRDefault="00EC63D8" w:rsidP="00405CCB">
      <w:pPr>
        <w:rPr>
          <w:rFonts w:cstheme="minorHAnsi"/>
        </w:rPr>
      </w:pPr>
    </w:p>
    <w:p w14:paraId="5E688AB3" w14:textId="77777777" w:rsidR="00B445D2" w:rsidRPr="00E833A9" w:rsidRDefault="00B445D2" w:rsidP="00405CCB">
      <w:pPr>
        <w:rPr>
          <w:rFonts w:cstheme="minorHAnsi"/>
        </w:rPr>
      </w:pPr>
      <w:r w:rsidRPr="00E833A9">
        <w:rPr>
          <w:rFonts w:cstheme="minorHAnsi"/>
        </w:rPr>
        <w:t>Typy opcji adaptacji można pogrupować w następujący sposób:</w:t>
      </w:r>
    </w:p>
    <w:p w14:paraId="6B9DDB01" w14:textId="71841433" w:rsidR="00B445D2" w:rsidRPr="00E833A9" w:rsidRDefault="00B445D2">
      <w:pPr>
        <w:pStyle w:val="Akapitzlist"/>
        <w:numPr>
          <w:ilvl w:val="0"/>
          <w:numId w:val="32"/>
        </w:numPr>
        <w:autoSpaceDE w:val="0"/>
        <w:autoSpaceDN w:val="0"/>
        <w:adjustRightInd w:val="0"/>
        <w:spacing w:line="240" w:lineRule="auto"/>
        <w:ind w:left="641" w:hanging="284"/>
        <w:rPr>
          <w:rFonts w:cstheme="minorHAnsi"/>
          <w:color w:val="000000"/>
        </w:rPr>
      </w:pPr>
      <w:r w:rsidRPr="00E833A9">
        <w:rPr>
          <w:rFonts w:cstheme="minorHAnsi"/>
          <w:color w:val="000000"/>
        </w:rPr>
        <w:t>Opcje typu „</w:t>
      </w:r>
      <w:r w:rsidRPr="00E833A9">
        <w:rPr>
          <w:rFonts w:cstheme="minorHAnsi"/>
          <w:bCs/>
          <w:color w:val="000000"/>
        </w:rPr>
        <w:t>no-regrets” –</w:t>
      </w:r>
      <w:r w:rsidR="00792B9D" w:rsidRPr="00E833A9">
        <w:rPr>
          <w:rFonts w:cstheme="minorHAnsi"/>
          <w:bCs/>
          <w:color w:val="000000"/>
        </w:rPr>
        <w:t xml:space="preserve"> </w:t>
      </w:r>
      <w:r w:rsidRPr="00E833A9">
        <w:rPr>
          <w:rFonts w:cstheme="minorHAnsi"/>
          <w:bCs/>
          <w:color w:val="000000"/>
        </w:rPr>
        <w:t>rozwiązania, które są efektywne kosztowo i jednocześnie przynoszą mierzalne i natychmiastowe korzyści adaptacyjne.</w:t>
      </w:r>
    </w:p>
    <w:p w14:paraId="21E7975F" w14:textId="2AA95D0B" w:rsidR="00B445D2" w:rsidRPr="00E833A9" w:rsidRDefault="00B445D2">
      <w:pPr>
        <w:pStyle w:val="Akapitzlist"/>
        <w:numPr>
          <w:ilvl w:val="0"/>
          <w:numId w:val="32"/>
        </w:numPr>
        <w:spacing w:line="240" w:lineRule="auto"/>
        <w:ind w:left="641" w:hanging="284"/>
        <w:rPr>
          <w:rFonts w:cstheme="minorHAnsi"/>
        </w:rPr>
      </w:pPr>
      <w:r w:rsidRPr="00E833A9">
        <w:rPr>
          <w:rFonts w:cstheme="minorHAnsi"/>
        </w:rPr>
        <w:t xml:space="preserve">Opcje typu „low-regrets” </w:t>
      </w:r>
      <w:r w:rsidR="00792B9D" w:rsidRPr="00E833A9">
        <w:rPr>
          <w:rFonts w:cstheme="minorHAnsi"/>
        </w:rPr>
        <w:t>–</w:t>
      </w:r>
      <w:r w:rsidR="00827B0B" w:rsidRPr="00E833A9">
        <w:rPr>
          <w:rFonts w:cstheme="minorHAnsi"/>
        </w:rPr>
        <w:t xml:space="preserve"> </w:t>
      </w:r>
      <w:r w:rsidRPr="00E833A9">
        <w:rPr>
          <w:rFonts w:cstheme="minorHAnsi"/>
        </w:rPr>
        <w:t>rozwiązania, które wymagają relatywnie niewielkich nakładów finansowych przy dużej efektywności adaptacyjnej.</w:t>
      </w:r>
    </w:p>
    <w:p w14:paraId="4CA6E177" w14:textId="7D53806F" w:rsidR="00B445D2" w:rsidRPr="00E833A9" w:rsidRDefault="00B445D2">
      <w:pPr>
        <w:pStyle w:val="Akapitzlist"/>
        <w:numPr>
          <w:ilvl w:val="0"/>
          <w:numId w:val="32"/>
        </w:numPr>
        <w:autoSpaceDE w:val="0"/>
        <w:autoSpaceDN w:val="0"/>
        <w:adjustRightInd w:val="0"/>
        <w:spacing w:line="240" w:lineRule="auto"/>
        <w:ind w:left="641" w:hanging="284"/>
        <w:rPr>
          <w:rFonts w:cstheme="minorHAnsi"/>
          <w:color w:val="000000"/>
        </w:rPr>
      </w:pPr>
      <w:r w:rsidRPr="00E833A9">
        <w:rPr>
          <w:rFonts w:cstheme="minorHAnsi"/>
          <w:color w:val="000000"/>
        </w:rPr>
        <w:t xml:space="preserve">Opcje typu </w:t>
      </w:r>
      <w:r w:rsidRPr="00E833A9">
        <w:rPr>
          <w:rFonts w:cstheme="minorHAnsi"/>
          <w:bCs/>
          <w:color w:val="000000"/>
        </w:rPr>
        <w:t>„win-win” – rozwiązania które</w:t>
      </w:r>
      <w:r w:rsidR="00792B9D" w:rsidRPr="00E833A9">
        <w:rPr>
          <w:rFonts w:cstheme="minorHAnsi"/>
          <w:bCs/>
          <w:color w:val="000000"/>
        </w:rPr>
        <w:t>,</w:t>
      </w:r>
      <w:r w:rsidRPr="00E833A9">
        <w:rPr>
          <w:rFonts w:cstheme="minorHAnsi"/>
          <w:bCs/>
          <w:color w:val="000000"/>
        </w:rPr>
        <w:t xml:space="preserve"> oprócz zmniejszania wrażliwości na efekty zmian klimatu, przynoszą również korzyści w innych sferach, takich jak: socjalna, ekologiczna i</w:t>
      </w:r>
      <w:r w:rsidR="00AF2E37" w:rsidRPr="00E833A9">
        <w:rPr>
          <w:rFonts w:cstheme="minorHAnsi"/>
          <w:bCs/>
          <w:color w:val="000000"/>
        </w:rPr>
        <w:t> </w:t>
      </w:r>
      <w:r w:rsidRPr="00E833A9">
        <w:rPr>
          <w:rFonts w:cstheme="minorHAnsi"/>
          <w:bCs/>
          <w:color w:val="000000"/>
        </w:rPr>
        <w:t>ekonomiczna.</w:t>
      </w:r>
    </w:p>
    <w:p w14:paraId="392476C9" w14:textId="5AB6CD5F" w:rsidR="00B445D2" w:rsidRPr="00E833A9" w:rsidRDefault="00B445D2">
      <w:pPr>
        <w:pStyle w:val="Akapitzlist"/>
        <w:numPr>
          <w:ilvl w:val="0"/>
          <w:numId w:val="32"/>
        </w:numPr>
        <w:spacing w:line="240" w:lineRule="auto"/>
        <w:ind w:left="641" w:hanging="284"/>
        <w:rPr>
          <w:rFonts w:cstheme="minorHAnsi"/>
        </w:rPr>
      </w:pPr>
      <w:r w:rsidRPr="00E833A9">
        <w:rPr>
          <w:rFonts w:cstheme="minorHAnsi"/>
        </w:rPr>
        <w:t xml:space="preserve">Opcje elastyczne </w:t>
      </w:r>
      <w:r w:rsidR="00792B9D" w:rsidRPr="00E833A9">
        <w:rPr>
          <w:rFonts w:cstheme="minorHAnsi"/>
        </w:rPr>
        <w:t>–</w:t>
      </w:r>
      <w:r w:rsidRPr="00E833A9">
        <w:rPr>
          <w:rFonts w:cstheme="minorHAnsi"/>
        </w:rPr>
        <w:t xml:space="preserve"> zastosowanie takich rozwiązań polega na stopniowej implementacji mniej złożonych działań adaptacyjnych, przy unikaniu działań na dużą skalę mających na celu rozwiązanie kilku problemów jednocześnie.</w:t>
      </w:r>
    </w:p>
    <w:p w14:paraId="06787E0C" w14:textId="77777777" w:rsidR="00405CCB" w:rsidRPr="00E833A9" w:rsidRDefault="00405CCB" w:rsidP="00AA1001">
      <w:pPr>
        <w:pStyle w:val="Legenda"/>
      </w:pPr>
    </w:p>
    <w:p w14:paraId="2BF9D75F" w14:textId="36C92C6A" w:rsidR="00B445D2" w:rsidRPr="00E833A9" w:rsidRDefault="00B445D2" w:rsidP="009959C2">
      <w:pPr>
        <w:pStyle w:val="Styltabela"/>
      </w:pPr>
      <w:bookmarkStart w:id="248" w:name="_Toc178846335"/>
      <w:r w:rsidRPr="00E833A9">
        <w:t xml:space="preserve">Tabela </w:t>
      </w:r>
      <w:r w:rsidR="00E833A9">
        <w:fldChar w:fldCharType="begin"/>
      </w:r>
      <w:r w:rsidR="00E833A9">
        <w:instrText xml:space="preserve"> SEQ Tabela \* ARABIC </w:instrText>
      </w:r>
      <w:r w:rsidR="00E833A9">
        <w:fldChar w:fldCharType="separate"/>
      </w:r>
      <w:r w:rsidR="00A654D8">
        <w:rPr>
          <w:noProof/>
        </w:rPr>
        <w:t>29</w:t>
      </w:r>
      <w:r w:rsidR="00E833A9">
        <w:rPr>
          <w:noProof/>
        </w:rPr>
        <w:fldChar w:fldCharType="end"/>
      </w:r>
      <w:r w:rsidRPr="00E833A9">
        <w:t>. Przykładowe opcje adaptacji.</w:t>
      </w:r>
      <w:bookmarkEnd w:id="248"/>
    </w:p>
    <w:tbl>
      <w:tblPr>
        <w:tblStyle w:val="Tabela-Siatka"/>
        <w:tblW w:w="9072" w:type="dxa"/>
        <w:jc w:val="center"/>
        <w:tblBorders>
          <w:top w:val="single" w:sz="18" w:space="0" w:color="FFFFFF" w:themeColor="background1"/>
          <w:left w:val="single" w:sz="18" w:space="0" w:color="FFFFFF" w:themeColor="background1"/>
          <w:bottom w:val="single" w:sz="18" w:space="0" w:color="FFFFFF" w:themeColor="background1"/>
          <w:right w:val="single" w:sz="18" w:space="0" w:color="FFFFFF" w:themeColor="background1"/>
          <w:insideH w:val="single" w:sz="18" w:space="0" w:color="FFFFFF" w:themeColor="background1"/>
          <w:insideV w:val="single" w:sz="18" w:space="0" w:color="FFFFFF" w:themeColor="background1"/>
        </w:tblBorders>
        <w:tblLook w:val="04A0" w:firstRow="1" w:lastRow="0" w:firstColumn="1" w:lastColumn="0" w:noHBand="0" w:noVBand="1"/>
      </w:tblPr>
      <w:tblGrid>
        <w:gridCol w:w="873"/>
        <w:gridCol w:w="2080"/>
        <w:gridCol w:w="2050"/>
        <w:gridCol w:w="2041"/>
        <w:gridCol w:w="2028"/>
      </w:tblGrid>
      <w:tr w:rsidR="00B445D2" w:rsidRPr="00BB6D23" w14:paraId="7ACC9949" w14:textId="77777777" w:rsidTr="009959C2">
        <w:trPr>
          <w:cantSplit/>
          <w:trHeight w:val="567"/>
          <w:tblHeader/>
          <w:jc w:val="center"/>
        </w:trPr>
        <w:tc>
          <w:tcPr>
            <w:tcW w:w="911" w:type="dxa"/>
            <w:shd w:val="clear" w:color="auto" w:fill="auto"/>
            <w:textDirection w:val="btLr"/>
          </w:tcPr>
          <w:p w14:paraId="2AC834F3" w14:textId="77777777" w:rsidR="00B445D2" w:rsidRPr="00BB6D23" w:rsidRDefault="00B445D2" w:rsidP="001A26C0">
            <w:pPr>
              <w:ind w:left="113" w:right="113" w:firstLine="0"/>
              <w:rPr>
                <w:rFonts w:cstheme="minorHAnsi"/>
                <w:b/>
                <w:color w:val="FFFFFF" w:themeColor="background1"/>
                <w:sz w:val="18"/>
                <w:szCs w:val="18"/>
              </w:rPr>
            </w:pPr>
          </w:p>
        </w:tc>
        <w:tc>
          <w:tcPr>
            <w:tcW w:w="8375" w:type="dxa"/>
            <w:gridSpan w:val="4"/>
            <w:shd w:val="clear" w:color="auto" w:fill="D9DF62" w:themeFill="accent3" w:themeFillTint="99"/>
            <w:vAlign w:val="center"/>
          </w:tcPr>
          <w:p w14:paraId="5DA41528" w14:textId="77777777" w:rsidR="00B445D2" w:rsidRPr="00BB6D23" w:rsidRDefault="00B445D2" w:rsidP="001A26C0">
            <w:pPr>
              <w:ind w:firstLine="0"/>
              <w:jc w:val="center"/>
              <w:rPr>
                <w:rFonts w:cstheme="minorHAnsi"/>
                <w:b/>
                <w:bCs/>
                <w:sz w:val="18"/>
                <w:szCs w:val="18"/>
              </w:rPr>
            </w:pPr>
            <w:r w:rsidRPr="00BB6D23">
              <w:rPr>
                <w:rFonts w:cstheme="minorHAnsi"/>
                <w:b/>
                <w:bCs/>
                <w:sz w:val="18"/>
                <w:szCs w:val="18"/>
              </w:rPr>
              <w:t>Opcje adaptacji</w:t>
            </w:r>
          </w:p>
        </w:tc>
      </w:tr>
      <w:tr w:rsidR="00B445D2" w:rsidRPr="00BB6D23" w14:paraId="5F4DB444" w14:textId="77777777" w:rsidTr="009959C2">
        <w:trPr>
          <w:cantSplit/>
          <w:trHeight w:val="567"/>
          <w:tblHeader/>
          <w:jc w:val="center"/>
        </w:trPr>
        <w:tc>
          <w:tcPr>
            <w:tcW w:w="911" w:type="dxa"/>
            <w:shd w:val="clear" w:color="auto" w:fill="auto"/>
            <w:textDirection w:val="btLr"/>
          </w:tcPr>
          <w:p w14:paraId="16218C18" w14:textId="77777777" w:rsidR="00B445D2" w:rsidRPr="00BB6D23" w:rsidRDefault="00B445D2" w:rsidP="001A26C0">
            <w:pPr>
              <w:ind w:left="113" w:right="113" w:firstLine="0"/>
              <w:rPr>
                <w:rFonts w:cstheme="minorHAnsi"/>
                <w:b/>
                <w:color w:val="FFFFFF" w:themeColor="background1"/>
                <w:sz w:val="18"/>
                <w:szCs w:val="18"/>
              </w:rPr>
            </w:pPr>
          </w:p>
        </w:tc>
        <w:tc>
          <w:tcPr>
            <w:tcW w:w="2118" w:type="dxa"/>
            <w:shd w:val="clear" w:color="auto" w:fill="E5E996" w:themeFill="accent3" w:themeFillTint="66"/>
            <w:vAlign w:val="center"/>
          </w:tcPr>
          <w:p w14:paraId="200830E3" w14:textId="77777777" w:rsidR="00B445D2" w:rsidRPr="00BB6D23" w:rsidRDefault="00B445D2" w:rsidP="001A26C0">
            <w:pPr>
              <w:ind w:firstLine="0"/>
              <w:jc w:val="center"/>
              <w:rPr>
                <w:rFonts w:cstheme="minorHAnsi"/>
                <w:sz w:val="18"/>
                <w:szCs w:val="18"/>
              </w:rPr>
            </w:pPr>
            <w:r w:rsidRPr="00BB6D23">
              <w:rPr>
                <w:rFonts w:cstheme="minorHAnsi"/>
                <w:sz w:val="18"/>
                <w:szCs w:val="18"/>
              </w:rPr>
              <w:t>Opcje typu „no-regrets”</w:t>
            </w:r>
          </w:p>
        </w:tc>
        <w:tc>
          <w:tcPr>
            <w:tcW w:w="2089" w:type="dxa"/>
            <w:shd w:val="clear" w:color="auto" w:fill="E5E996" w:themeFill="accent3" w:themeFillTint="66"/>
            <w:vAlign w:val="center"/>
          </w:tcPr>
          <w:p w14:paraId="754848D5" w14:textId="77777777" w:rsidR="00B445D2" w:rsidRPr="00BB6D23" w:rsidRDefault="00B445D2" w:rsidP="001A26C0">
            <w:pPr>
              <w:ind w:firstLine="0"/>
              <w:jc w:val="center"/>
              <w:rPr>
                <w:rFonts w:cstheme="minorHAnsi"/>
                <w:sz w:val="18"/>
                <w:szCs w:val="18"/>
              </w:rPr>
            </w:pPr>
            <w:r w:rsidRPr="00BB6D23">
              <w:rPr>
                <w:rFonts w:cstheme="minorHAnsi"/>
                <w:sz w:val="18"/>
                <w:szCs w:val="18"/>
              </w:rPr>
              <w:t>Opcje typu „low-regrets”</w:t>
            </w:r>
          </w:p>
        </w:tc>
        <w:tc>
          <w:tcPr>
            <w:tcW w:w="2089" w:type="dxa"/>
            <w:shd w:val="clear" w:color="auto" w:fill="E5E996" w:themeFill="accent3" w:themeFillTint="66"/>
            <w:vAlign w:val="center"/>
          </w:tcPr>
          <w:p w14:paraId="711F0172" w14:textId="77777777" w:rsidR="00B445D2" w:rsidRPr="00BB6D23" w:rsidRDefault="00B445D2" w:rsidP="001A26C0">
            <w:pPr>
              <w:ind w:firstLine="0"/>
              <w:jc w:val="center"/>
              <w:rPr>
                <w:rFonts w:cstheme="minorHAnsi"/>
                <w:sz w:val="18"/>
                <w:szCs w:val="18"/>
              </w:rPr>
            </w:pPr>
            <w:r w:rsidRPr="00BB6D23">
              <w:rPr>
                <w:rFonts w:cstheme="minorHAnsi"/>
                <w:sz w:val="18"/>
                <w:szCs w:val="18"/>
              </w:rPr>
              <w:t>Opcje typu „win-win”</w:t>
            </w:r>
          </w:p>
        </w:tc>
        <w:tc>
          <w:tcPr>
            <w:tcW w:w="2079" w:type="dxa"/>
            <w:shd w:val="clear" w:color="auto" w:fill="E5E996" w:themeFill="accent3" w:themeFillTint="66"/>
            <w:vAlign w:val="center"/>
          </w:tcPr>
          <w:p w14:paraId="4D876C2C" w14:textId="77777777" w:rsidR="00B445D2" w:rsidRPr="00BB6D23" w:rsidRDefault="00B445D2" w:rsidP="001A26C0">
            <w:pPr>
              <w:ind w:firstLine="0"/>
              <w:jc w:val="center"/>
              <w:rPr>
                <w:rFonts w:cstheme="minorHAnsi"/>
                <w:sz w:val="18"/>
                <w:szCs w:val="18"/>
              </w:rPr>
            </w:pPr>
            <w:r w:rsidRPr="00BB6D23">
              <w:rPr>
                <w:rFonts w:cstheme="minorHAnsi"/>
                <w:sz w:val="18"/>
                <w:szCs w:val="18"/>
              </w:rPr>
              <w:t>Opcje elastyczne</w:t>
            </w:r>
          </w:p>
        </w:tc>
      </w:tr>
      <w:tr w:rsidR="00B445D2" w:rsidRPr="00BB6D23" w14:paraId="633BFF22" w14:textId="77777777" w:rsidTr="009959C2">
        <w:trPr>
          <w:cantSplit/>
          <w:trHeight w:val="907"/>
          <w:jc w:val="center"/>
        </w:trPr>
        <w:tc>
          <w:tcPr>
            <w:tcW w:w="911" w:type="dxa"/>
            <w:vMerge w:val="restart"/>
            <w:shd w:val="clear" w:color="auto" w:fill="4E5110" w:themeFill="accent3" w:themeFillShade="80"/>
            <w:textDirection w:val="btLr"/>
            <w:vAlign w:val="center"/>
          </w:tcPr>
          <w:p w14:paraId="43097E34" w14:textId="77777777" w:rsidR="00B445D2" w:rsidRPr="00BB6D23" w:rsidRDefault="00B445D2" w:rsidP="001A26C0">
            <w:pPr>
              <w:ind w:left="113" w:right="113" w:firstLine="0"/>
              <w:jc w:val="center"/>
              <w:rPr>
                <w:rFonts w:cstheme="minorHAnsi"/>
                <w:b/>
                <w:color w:val="FFFFFF" w:themeColor="background1"/>
                <w:sz w:val="18"/>
                <w:szCs w:val="18"/>
              </w:rPr>
            </w:pPr>
            <w:r w:rsidRPr="00BB6D23">
              <w:rPr>
                <w:rFonts w:cstheme="minorHAnsi"/>
                <w:b/>
                <w:color w:val="FFFFFF" w:themeColor="background1"/>
                <w:sz w:val="18"/>
                <w:szCs w:val="18"/>
              </w:rPr>
              <w:t>Długotrwałe susze mogące powodować ograniczenie dostępu do wody</w:t>
            </w:r>
          </w:p>
        </w:tc>
        <w:tc>
          <w:tcPr>
            <w:tcW w:w="2118" w:type="dxa"/>
            <w:shd w:val="clear" w:color="auto" w:fill="F2F4CA" w:themeFill="accent3" w:themeFillTint="33"/>
            <w:vAlign w:val="center"/>
          </w:tcPr>
          <w:p w14:paraId="5E3B6123" w14:textId="77777777" w:rsidR="00B445D2" w:rsidRPr="00BB6D23" w:rsidRDefault="00B445D2" w:rsidP="001A26C0">
            <w:pPr>
              <w:ind w:firstLine="0"/>
              <w:jc w:val="center"/>
              <w:rPr>
                <w:rFonts w:cstheme="minorHAnsi"/>
                <w:sz w:val="18"/>
                <w:szCs w:val="18"/>
              </w:rPr>
            </w:pPr>
            <w:r w:rsidRPr="00BB6D23">
              <w:rPr>
                <w:rFonts w:cstheme="minorHAnsi"/>
                <w:sz w:val="18"/>
                <w:szCs w:val="18"/>
              </w:rPr>
              <w:t>Ograniczenia zużycia wody pitnej na cele gospodarcze</w:t>
            </w:r>
          </w:p>
        </w:tc>
        <w:tc>
          <w:tcPr>
            <w:tcW w:w="2089" w:type="dxa"/>
            <w:vMerge w:val="restart"/>
            <w:shd w:val="clear" w:color="auto" w:fill="F2F4CA" w:themeFill="accent3" w:themeFillTint="33"/>
            <w:vAlign w:val="center"/>
          </w:tcPr>
          <w:p w14:paraId="270A6A29" w14:textId="77777777" w:rsidR="00B445D2" w:rsidRPr="00BB6D23" w:rsidRDefault="00B445D2" w:rsidP="001A26C0">
            <w:pPr>
              <w:ind w:firstLine="0"/>
              <w:jc w:val="center"/>
              <w:rPr>
                <w:rFonts w:cstheme="minorHAnsi"/>
                <w:sz w:val="18"/>
                <w:szCs w:val="18"/>
              </w:rPr>
            </w:pPr>
            <w:r w:rsidRPr="00BB6D23">
              <w:rPr>
                <w:rFonts w:cstheme="minorHAnsi"/>
                <w:sz w:val="18"/>
                <w:szCs w:val="18"/>
              </w:rPr>
              <w:t xml:space="preserve">Zmniejszenie lub wyeliminowanie strat wody poprzez utrzymanie i modernizacje urządzeń wodociągowych </w:t>
            </w:r>
          </w:p>
        </w:tc>
        <w:tc>
          <w:tcPr>
            <w:tcW w:w="2089" w:type="dxa"/>
            <w:shd w:val="clear" w:color="auto" w:fill="F2F4CA" w:themeFill="accent3" w:themeFillTint="33"/>
            <w:vAlign w:val="center"/>
          </w:tcPr>
          <w:p w14:paraId="559776B1" w14:textId="3ED9B325" w:rsidR="00B445D2" w:rsidRPr="00BB6D23" w:rsidRDefault="00B445D2" w:rsidP="001A26C0">
            <w:pPr>
              <w:ind w:firstLine="0"/>
              <w:jc w:val="center"/>
              <w:rPr>
                <w:rFonts w:cstheme="minorHAnsi"/>
                <w:sz w:val="18"/>
                <w:szCs w:val="18"/>
              </w:rPr>
            </w:pPr>
            <w:r w:rsidRPr="00BB6D23">
              <w:rPr>
                <w:rFonts w:cstheme="minorHAnsi"/>
                <w:sz w:val="18"/>
                <w:szCs w:val="18"/>
              </w:rPr>
              <w:t>Utrzymanie w natu</w:t>
            </w:r>
            <w:r w:rsidR="00523AC5" w:rsidRPr="00BB6D23">
              <w:rPr>
                <w:rFonts w:cstheme="minorHAnsi"/>
                <w:sz w:val="18"/>
                <w:szCs w:val="18"/>
              </w:rPr>
              <w:t>raln</w:t>
            </w:r>
            <w:r w:rsidRPr="00BB6D23">
              <w:rPr>
                <w:rFonts w:cstheme="minorHAnsi"/>
                <w:sz w:val="18"/>
                <w:szCs w:val="18"/>
              </w:rPr>
              <w:t>ym stanie cieków i obszarów podmokłych</w:t>
            </w:r>
          </w:p>
        </w:tc>
        <w:tc>
          <w:tcPr>
            <w:tcW w:w="2079" w:type="dxa"/>
            <w:vMerge w:val="restart"/>
            <w:shd w:val="clear" w:color="auto" w:fill="F2F4CA" w:themeFill="accent3" w:themeFillTint="33"/>
            <w:vAlign w:val="center"/>
          </w:tcPr>
          <w:p w14:paraId="2EB14F4D" w14:textId="77777777" w:rsidR="00B445D2" w:rsidRPr="00BB6D23" w:rsidRDefault="00B445D2" w:rsidP="001A26C0">
            <w:pPr>
              <w:ind w:firstLine="0"/>
              <w:jc w:val="center"/>
              <w:rPr>
                <w:rFonts w:cstheme="minorHAnsi"/>
                <w:sz w:val="18"/>
                <w:szCs w:val="18"/>
              </w:rPr>
            </w:pPr>
            <w:r w:rsidRPr="00BB6D23">
              <w:rPr>
                <w:rFonts w:cstheme="minorHAnsi"/>
                <w:sz w:val="18"/>
                <w:szCs w:val="18"/>
              </w:rPr>
              <w:t>Identyfikacja sektorów o dużym zużyciu wody i wprowadzanie działań zaradczych</w:t>
            </w:r>
          </w:p>
        </w:tc>
      </w:tr>
      <w:tr w:rsidR="00B445D2" w:rsidRPr="00BB6D23" w14:paraId="5BAD11C0" w14:textId="77777777" w:rsidTr="009959C2">
        <w:trPr>
          <w:cantSplit/>
          <w:trHeight w:val="1478"/>
          <w:jc w:val="center"/>
        </w:trPr>
        <w:tc>
          <w:tcPr>
            <w:tcW w:w="911" w:type="dxa"/>
            <w:vMerge/>
            <w:shd w:val="clear" w:color="auto" w:fill="4E5110" w:themeFill="accent3" w:themeFillShade="80"/>
            <w:textDirection w:val="btLr"/>
            <w:vAlign w:val="center"/>
          </w:tcPr>
          <w:p w14:paraId="0FB7A41B" w14:textId="77777777" w:rsidR="00B445D2" w:rsidRPr="00BB6D23" w:rsidRDefault="00B445D2" w:rsidP="001A26C0">
            <w:pPr>
              <w:ind w:left="113" w:right="113" w:firstLine="0"/>
              <w:jc w:val="center"/>
              <w:rPr>
                <w:rFonts w:cstheme="minorHAnsi"/>
                <w:b/>
                <w:color w:val="FFFFFF" w:themeColor="background1"/>
                <w:sz w:val="18"/>
                <w:szCs w:val="18"/>
              </w:rPr>
            </w:pPr>
          </w:p>
        </w:tc>
        <w:tc>
          <w:tcPr>
            <w:tcW w:w="2118" w:type="dxa"/>
            <w:shd w:val="clear" w:color="auto" w:fill="F2F4CA" w:themeFill="accent3" w:themeFillTint="33"/>
            <w:vAlign w:val="center"/>
          </w:tcPr>
          <w:p w14:paraId="131F50BD" w14:textId="77777777" w:rsidR="00B445D2" w:rsidRPr="00BB6D23" w:rsidRDefault="00B445D2" w:rsidP="001A26C0">
            <w:pPr>
              <w:ind w:firstLine="0"/>
              <w:jc w:val="center"/>
              <w:rPr>
                <w:rFonts w:cstheme="minorHAnsi"/>
                <w:sz w:val="18"/>
                <w:szCs w:val="18"/>
              </w:rPr>
            </w:pPr>
            <w:r w:rsidRPr="00BB6D23">
              <w:rPr>
                <w:rFonts w:cstheme="minorHAnsi"/>
                <w:sz w:val="18"/>
                <w:szCs w:val="18"/>
              </w:rPr>
              <w:t>Aktualizacja analiz ryzyka ujęć wód</w:t>
            </w:r>
          </w:p>
        </w:tc>
        <w:tc>
          <w:tcPr>
            <w:tcW w:w="2089" w:type="dxa"/>
            <w:vMerge/>
            <w:shd w:val="clear" w:color="auto" w:fill="F2F4CA" w:themeFill="accent3" w:themeFillTint="33"/>
            <w:vAlign w:val="center"/>
          </w:tcPr>
          <w:p w14:paraId="33692D97" w14:textId="77777777" w:rsidR="00B445D2" w:rsidRPr="00BB6D23" w:rsidRDefault="00B445D2" w:rsidP="001A26C0">
            <w:pPr>
              <w:ind w:firstLine="0"/>
              <w:jc w:val="center"/>
              <w:rPr>
                <w:rFonts w:cstheme="minorHAnsi"/>
                <w:sz w:val="18"/>
                <w:szCs w:val="18"/>
              </w:rPr>
            </w:pPr>
          </w:p>
        </w:tc>
        <w:tc>
          <w:tcPr>
            <w:tcW w:w="2089" w:type="dxa"/>
            <w:shd w:val="clear" w:color="auto" w:fill="F2F4CA" w:themeFill="accent3" w:themeFillTint="33"/>
            <w:vAlign w:val="center"/>
          </w:tcPr>
          <w:p w14:paraId="6506C5E8" w14:textId="77777777" w:rsidR="00B445D2" w:rsidRPr="00BB6D23" w:rsidRDefault="00B445D2" w:rsidP="001A26C0">
            <w:pPr>
              <w:ind w:firstLine="0"/>
              <w:jc w:val="center"/>
              <w:rPr>
                <w:rFonts w:cstheme="minorHAnsi"/>
                <w:sz w:val="18"/>
                <w:szCs w:val="18"/>
              </w:rPr>
            </w:pPr>
            <w:r w:rsidRPr="00BB6D23">
              <w:rPr>
                <w:rFonts w:cstheme="minorHAnsi"/>
                <w:sz w:val="18"/>
                <w:szCs w:val="18"/>
              </w:rPr>
              <w:t>Edukacja i informowanie społeczeństwa w zakresie oszczędzania wody</w:t>
            </w:r>
          </w:p>
        </w:tc>
        <w:tc>
          <w:tcPr>
            <w:tcW w:w="2079" w:type="dxa"/>
            <w:vMerge/>
            <w:shd w:val="clear" w:color="auto" w:fill="F2F4CA" w:themeFill="accent3" w:themeFillTint="33"/>
            <w:vAlign w:val="center"/>
          </w:tcPr>
          <w:p w14:paraId="4FE33D22" w14:textId="77777777" w:rsidR="00B445D2" w:rsidRPr="00BB6D23" w:rsidRDefault="00B445D2" w:rsidP="001A26C0">
            <w:pPr>
              <w:ind w:firstLine="0"/>
              <w:jc w:val="center"/>
              <w:rPr>
                <w:rFonts w:cstheme="minorHAnsi"/>
                <w:sz w:val="18"/>
                <w:szCs w:val="18"/>
              </w:rPr>
            </w:pPr>
          </w:p>
        </w:tc>
      </w:tr>
      <w:tr w:rsidR="00B445D2" w:rsidRPr="00BB6D23" w14:paraId="5E13CC83" w14:textId="77777777" w:rsidTr="009959C2">
        <w:trPr>
          <w:cantSplit/>
          <w:trHeight w:val="1134"/>
          <w:jc w:val="center"/>
        </w:trPr>
        <w:tc>
          <w:tcPr>
            <w:tcW w:w="911" w:type="dxa"/>
            <w:vMerge w:val="restart"/>
            <w:shd w:val="clear" w:color="auto" w:fill="4E5110" w:themeFill="accent3" w:themeFillShade="80"/>
            <w:textDirection w:val="btLr"/>
            <w:vAlign w:val="center"/>
          </w:tcPr>
          <w:p w14:paraId="198EC8C5" w14:textId="1C17F5BB" w:rsidR="00B445D2" w:rsidRPr="00BB6D23" w:rsidRDefault="00792B9D" w:rsidP="001A26C0">
            <w:pPr>
              <w:ind w:left="113" w:right="113" w:firstLine="0"/>
              <w:jc w:val="center"/>
              <w:rPr>
                <w:rFonts w:cstheme="minorHAnsi"/>
                <w:b/>
                <w:color w:val="FFFFFF" w:themeColor="background1"/>
                <w:sz w:val="18"/>
                <w:szCs w:val="18"/>
              </w:rPr>
            </w:pPr>
            <w:r w:rsidRPr="00BB6D23">
              <w:rPr>
                <w:rFonts w:cstheme="minorHAnsi"/>
                <w:b/>
                <w:color w:val="FFFFFF" w:themeColor="background1"/>
                <w:sz w:val="18"/>
                <w:szCs w:val="18"/>
              </w:rPr>
              <w:t>F</w:t>
            </w:r>
            <w:r w:rsidR="00B445D2" w:rsidRPr="00BB6D23">
              <w:rPr>
                <w:rFonts w:cstheme="minorHAnsi"/>
                <w:b/>
                <w:color w:val="FFFFFF" w:themeColor="background1"/>
                <w:sz w:val="18"/>
                <w:szCs w:val="18"/>
              </w:rPr>
              <w:t>ale upałów</w:t>
            </w:r>
          </w:p>
        </w:tc>
        <w:tc>
          <w:tcPr>
            <w:tcW w:w="2118" w:type="dxa"/>
            <w:shd w:val="clear" w:color="auto" w:fill="F2F4CA" w:themeFill="accent3" w:themeFillTint="33"/>
            <w:vAlign w:val="center"/>
          </w:tcPr>
          <w:p w14:paraId="15B8F520" w14:textId="77777777" w:rsidR="00B445D2" w:rsidRPr="00BB6D23" w:rsidRDefault="00B445D2" w:rsidP="001A26C0">
            <w:pPr>
              <w:ind w:firstLine="0"/>
              <w:jc w:val="center"/>
              <w:rPr>
                <w:rFonts w:cstheme="minorHAnsi"/>
                <w:sz w:val="18"/>
                <w:szCs w:val="18"/>
              </w:rPr>
            </w:pPr>
            <w:r w:rsidRPr="00BB6D23">
              <w:rPr>
                <w:rFonts w:cstheme="minorHAnsi"/>
                <w:sz w:val="18"/>
                <w:szCs w:val="18"/>
              </w:rPr>
              <w:t>Ochrona terenów zielonych zapewniających zacienie i komfort cieplny mieszkańców</w:t>
            </w:r>
          </w:p>
        </w:tc>
        <w:tc>
          <w:tcPr>
            <w:tcW w:w="2089" w:type="dxa"/>
            <w:shd w:val="clear" w:color="auto" w:fill="F2F4CA" w:themeFill="accent3" w:themeFillTint="33"/>
            <w:vAlign w:val="center"/>
          </w:tcPr>
          <w:p w14:paraId="73A09201" w14:textId="1FD2B1A9" w:rsidR="00B445D2" w:rsidRPr="00BB6D23" w:rsidRDefault="00B445D2" w:rsidP="001A26C0">
            <w:pPr>
              <w:ind w:firstLine="0"/>
              <w:jc w:val="center"/>
              <w:rPr>
                <w:rFonts w:cstheme="minorHAnsi"/>
                <w:sz w:val="18"/>
                <w:szCs w:val="18"/>
              </w:rPr>
            </w:pPr>
            <w:r w:rsidRPr="00BB6D23">
              <w:rPr>
                <w:rFonts w:cstheme="minorHAnsi"/>
                <w:sz w:val="18"/>
                <w:szCs w:val="18"/>
              </w:rPr>
              <w:t>Wprowadzanie rozwiązań z zakresu budownictwa zapewniających komfort w czasie upałów (stosowanie materiałów niepochłaniających promieniowania słonecznego,</w:t>
            </w:r>
            <w:r w:rsidR="00827B0B" w:rsidRPr="00BB6D23">
              <w:rPr>
                <w:rFonts w:cstheme="minorHAnsi"/>
                <w:sz w:val="18"/>
                <w:szCs w:val="18"/>
              </w:rPr>
              <w:t xml:space="preserve"> </w:t>
            </w:r>
            <w:r w:rsidRPr="00BB6D23">
              <w:rPr>
                <w:rFonts w:cstheme="minorHAnsi"/>
                <w:sz w:val="18"/>
                <w:szCs w:val="18"/>
              </w:rPr>
              <w:t>etc.)</w:t>
            </w:r>
          </w:p>
        </w:tc>
        <w:tc>
          <w:tcPr>
            <w:tcW w:w="2089" w:type="dxa"/>
            <w:shd w:val="clear" w:color="auto" w:fill="F2F4CA" w:themeFill="accent3" w:themeFillTint="33"/>
            <w:vAlign w:val="center"/>
          </w:tcPr>
          <w:p w14:paraId="720E3835" w14:textId="77777777" w:rsidR="00B445D2" w:rsidRPr="00BB6D23" w:rsidRDefault="00B445D2" w:rsidP="001A26C0">
            <w:pPr>
              <w:ind w:firstLine="0"/>
              <w:jc w:val="center"/>
              <w:rPr>
                <w:rFonts w:cstheme="minorHAnsi"/>
                <w:sz w:val="18"/>
                <w:szCs w:val="18"/>
              </w:rPr>
            </w:pPr>
            <w:r w:rsidRPr="00BB6D23">
              <w:rPr>
                <w:rFonts w:cstheme="minorHAnsi"/>
                <w:sz w:val="18"/>
                <w:szCs w:val="18"/>
              </w:rPr>
              <w:t>Rozwój terenów zielonych oraz rozwiązań z zakresu błękitno-zielonej infrastruktury</w:t>
            </w:r>
          </w:p>
        </w:tc>
        <w:tc>
          <w:tcPr>
            <w:tcW w:w="2079" w:type="dxa"/>
            <w:shd w:val="clear" w:color="auto" w:fill="F2F4CA" w:themeFill="accent3" w:themeFillTint="33"/>
            <w:vAlign w:val="center"/>
          </w:tcPr>
          <w:p w14:paraId="268F2F3C" w14:textId="77777777" w:rsidR="00B445D2" w:rsidRPr="00BB6D23" w:rsidRDefault="00B445D2" w:rsidP="001A26C0">
            <w:pPr>
              <w:ind w:firstLine="0"/>
              <w:jc w:val="center"/>
              <w:rPr>
                <w:rFonts w:cstheme="minorHAnsi"/>
                <w:sz w:val="18"/>
                <w:szCs w:val="18"/>
              </w:rPr>
            </w:pPr>
            <w:r w:rsidRPr="00BB6D23">
              <w:rPr>
                <w:rFonts w:cstheme="minorHAnsi"/>
                <w:sz w:val="18"/>
                <w:szCs w:val="18"/>
              </w:rPr>
              <w:t>Stopniowe dostosowywanie budynków oraz przestrzeni publicznej do fal upałów</w:t>
            </w:r>
          </w:p>
        </w:tc>
      </w:tr>
      <w:tr w:rsidR="00B445D2" w:rsidRPr="00BB6D23" w14:paraId="0E82A413" w14:textId="77777777" w:rsidTr="009959C2">
        <w:trPr>
          <w:cantSplit/>
          <w:trHeight w:val="1134"/>
          <w:jc w:val="center"/>
        </w:trPr>
        <w:tc>
          <w:tcPr>
            <w:tcW w:w="911" w:type="dxa"/>
            <w:vMerge/>
            <w:shd w:val="clear" w:color="auto" w:fill="4E5110" w:themeFill="accent3" w:themeFillShade="80"/>
            <w:textDirection w:val="btLr"/>
            <w:vAlign w:val="center"/>
          </w:tcPr>
          <w:p w14:paraId="3899B4E0" w14:textId="77777777" w:rsidR="00B445D2" w:rsidRPr="00BB6D23" w:rsidRDefault="00B445D2" w:rsidP="001A26C0">
            <w:pPr>
              <w:ind w:left="113" w:right="113" w:firstLine="0"/>
              <w:jc w:val="center"/>
              <w:rPr>
                <w:rFonts w:cstheme="minorHAnsi"/>
                <w:b/>
                <w:color w:val="FFFFFF" w:themeColor="background1"/>
                <w:sz w:val="18"/>
                <w:szCs w:val="18"/>
              </w:rPr>
            </w:pPr>
          </w:p>
        </w:tc>
        <w:tc>
          <w:tcPr>
            <w:tcW w:w="2118" w:type="dxa"/>
            <w:shd w:val="clear" w:color="auto" w:fill="F2F4CA" w:themeFill="accent3" w:themeFillTint="33"/>
            <w:vAlign w:val="center"/>
          </w:tcPr>
          <w:p w14:paraId="7BBCD5CE" w14:textId="77777777" w:rsidR="00B445D2" w:rsidRPr="00BB6D23" w:rsidRDefault="00B445D2" w:rsidP="001A26C0">
            <w:pPr>
              <w:ind w:firstLine="0"/>
              <w:jc w:val="center"/>
              <w:rPr>
                <w:rFonts w:cstheme="minorHAnsi"/>
                <w:sz w:val="18"/>
                <w:szCs w:val="18"/>
              </w:rPr>
            </w:pPr>
            <w:r w:rsidRPr="00BB6D23">
              <w:rPr>
                <w:rFonts w:cstheme="minorHAnsi"/>
                <w:sz w:val="18"/>
                <w:szCs w:val="18"/>
              </w:rPr>
              <w:t>Monitorowanie sytuacji i gromadzenie danych o falach upałów</w:t>
            </w:r>
          </w:p>
        </w:tc>
        <w:tc>
          <w:tcPr>
            <w:tcW w:w="2089" w:type="dxa"/>
            <w:shd w:val="clear" w:color="auto" w:fill="F2F4CA" w:themeFill="accent3" w:themeFillTint="33"/>
            <w:vAlign w:val="center"/>
          </w:tcPr>
          <w:p w14:paraId="16633746" w14:textId="77777777" w:rsidR="00B445D2" w:rsidRPr="00BB6D23" w:rsidRDefault="00B445D2" w:rsidP="001A26C0">
            <w:pPr>
              <w:ind w:firstLine="0"/>
              <w:jc w:val="center"/>
              <w:rPr>
                <w:rFonts w:cstheme="minorHAnsi"/>
                <w:sz w:val="18"/>
                <w:szCs w:val="18"/>
              </w:rPr>
            </w:pPr>
            <w:r w:rsidRPr="00BB6D23">
              <w:rPr>
                <w:rFonts w:cstheme="minorHAnsi"/>
                <w:sz w:val="18"/>
                <w:szCs w:val="18"/>
              </w:rPr>
              <w:t>Przygotowanie systemu zdrowia i opieki do wzmożonego działania w trakcie fal upałów</w:t>
            </w:r>
          </w:p>
        </w:tc>
        <w:tc>
          <w:tcPr>
            <w:tcW w:w="2089" w:type="dxa"/>
            <w:shd w:val="clear" w:color="auto" w:fill="F2F4CA" w:themeFill="accent3" w:themeFillTint="33"/>
            <w:vAlign w:val="center"/>
          </w:tcPr>
          <w:p w14:paraId="774C406F" w14:textId="77777777" w:rsidR="00B445D2" w:rsidRPr="00BB6D23" w:rsidRDefault="00B445D2" w:rsidP="001A26C0">
            <w:pPr>
              <w:ind w:firstLine="0"/>
              <w:jc w:val="center"/>
              <w:rPr>
                <w:rFonts w:cstheme="minorHAnsi"/>
                <w:sz w:val="18"/>
                <w:szCs w:val="18"/>
              </w:rPr>
            </w:pPr>
            <w:r w:rsidRPr="00BB6D23">
              <w:rPr>
                <w:rFonts w:cstheme="minorHAnsi"/>
                <w:sz w:val="18"/>
                <w:szCs w:val="18"/>
              </w:rPr>
              <w:t>Przeinaczanie nowych obszarów na tereny zielone</w:t>
            </w:r>
          </w:p>
        </w:tc>
        <w:tc>
          <w:tcPr>
            <w:tcW w:w="2079" w:type="dxa"/>
            <w:shd w:val="clear" w:color="auto" w:fill="F2F4CA" w:themeFill="accent3" w:themeFillTint="33"/>
            <w:vAlign w:val="center"/>
          </w:tcPr>
          <w:p w14:paraId="4350D185" w14:textId="77777777" w:rsidR="00B445D2" w:rsidRPr="00BB6D23" w:rsidRDefault="00B445D2" w:rsidP="001A26C0">
            <w:pPr>
              <w:ind w:firstLine="0"/>
              <w:jc w:val="center"/>
              <w:rPr>
                <w:rFonts w:cstheme="minorHAnsi"/>
                <w:sz w:val="18"/>
                <w:szCs w:val="18"/>
              </w:rPr>
            </w:pPr>
          </w:p>
        </w:tc>
      </w:tr>
      <w:tr w:rsidR="00B445D2" w:rsidRPr="00BB6D23" w14:paraId="2916F5CF" w14:textId="77777777" w:rsidTr="009959C2">
        <w:trPr>
          <w:cantSplit/>
          <w:trHeight w:val="1555"/>
          <w:jc w:val="center"/>
        </w:trPr>
        <w:tc>
          <w:tcPr>
            <w:tcW w:w="911" w:type="dxa"/>
            <w:vMerge w:val="restart"/>
            <w:shd w:val="clear" w:color="auto" w:fill="4E5110" w:themeFill="accent3" w:themeFillShade="80"/>
            <w:textDirection w:val="btLr"/>
            <w:vAlign w:val="center"/>
          </w:tcPr>
          <w:p w14:paraId="44DD2EB0" w14:textId="77777777" w:rsidR="00B445D2" w:rsidRPr="00BB6D23" w:rsidRDefault="00B445D2" w:rsidP="001A26C0">
            <w:pPr>
              <w:ind w:left="113" w:right="113" w:firstLine="0"/>
              <w:jc w:val="center"/>
              <w:rPr>
                <w:rFonts w:cstheme="minorHAnsi"/>
                <w:b/>
                <w:color w:val="FFFFFF" w:themeColor="background1"/>
                <w:sz w:val="18"/>
                <w:szCs w:val="18"/>
              </w:rPr>
            </w:pPr>
            <w:r w:rsidRPr="00BB6D23">
              <w:rPr>
                <w:rFonts w:cstheme="minorHAnsi"/>
                <w:b/>
                <w:color w:val="FFFFFF" w:themeColor="background1"/>
                <w:sz w:val="18"/>
                <w:szCs w:val="18"/>
              </w:rPr>
              <w:lastRenderedPageBreak/>
              <w:t>Silne wiatry</w:t>
            </w:r>
          </w:p>
        </w:tc>
        <w:tc>
          <w:tcPr>
            <w:tcW w:w="2118" w:type="dxa"/>
            <w:shd w:val="clear" w:color="auto" w:fill="F2F4CA" w:themeFill="accent3" w:themeFillTint="33"/>
            <w:vAlign w:val="center"/>
          </w:tcPr>
          <w:p w14:paraId="74550235" w14:textId="77777777" w:rsidR="00B445D2" w:rsidRPr="00BB6D23" w:rsidRDefault="00B445D2" w:rsidP="001A26C0">
            <w:pPr>
              <w:ind w:firstLine="0"/>
              <w:jc w:val="center"/>
              <w:rPr>
                <w:rFonts w:cstheme="minorHAnsi"/>
                <w:sz w:val="18"/>
                <w:szCs w:val="18"/>
              </w:rPr>
            </w:pPr>
            <w:r w:rsidRPr="00BB6D23">
              <w:rPr>
                <w:rFonts w:cstheme="minorHAnsi"/>
                <w:sz w:val="18"/>
                <w:szCs w:val="18"/>
              </w:rPr>
              <w:t>Monitoring stanu drzew i ich odporności na silne porywy wiatru</w:t>
            </w:r>
          </w:p>
        </w:tc>
        <w:tc>
          <w:tcPr>
            <w:tcW w:w="2089" w:type="dxa"/>
            <w:vMerge w:val="restart"/>
            <w:shd w:val="clear" w:color="auto" w:fill="F2F4CA" w:themeFill="accent3" w:themeFillTint="33"/>
            <w:vAlign w:val="center"/>
          </w:tcPr>
          <w:p w14:paraId="7C429726" w14:textId="6D05CD8F" w:rsidR="00B445D2" w:rsidRPr="00BB6D23" w:rsidRDefault="00B445D2" w:rsidP="00370D6D">
            <w:pPr>
              <w:ind w:firstLine="0"/>
              <w:jc w:val="center"/>
              <w:rPr>
                <w:rFonts w:cstheme="minorHAnsi"/>
                <w:sz w:val="18"/>
                <w:szCs w:val="18"/>
              </w:rPr>
            </w:pPr>
            <w:r w:rsidRPr="00BB6D23">
              <w:rPr>
                <w:rFonts w:cstheme="minorHAnsi"/>
                <w:sz w:val="18"/>
                <w:szCs w:val="18"/>
              </w:rPr>
              <w:t>Wprowadzanie rozwiązań z zakresu budownictwa zapewniających odporność na silne wiatry (ekspozycja budynków, odpowiednie k</w:t>
            </w:r>
            <w:r w:rsidR="00370D6D" w:rsidRPr="00BB6D23">
              <w:rPr>
                <w:rFonts w:cstheme="minorHAnsi"/>
                <w:sz w:val="18"/>
                <w:szCs w:val="18"/>
              </w:rPr>
              <w:t>ot</w:t>
            </w:r>
            <w:r w:rsidRPr="00BB6D23">
              <w:rPr>
                <w:rFonts w:cstheme="minorHAnsi"/>
                <w:sz w:val="18"/>
                <w:szCs w:val="18"/>
              </w:rPr>
              <w:t>wienie itd.)</w:t>
            </w:r>
          </w:p>
        </w:tc>
        <w:tc>
          <w:tcPr>
            <w:tcW w:w="2089" w:type="dxa"/>
            <w:vMerge w:val="restart"/>
            <w:shd w:val="clear" w:color="auto" w:fill="F2F4CA" w:themeFill="accent3" w:themeFillTint="33"/>
            <w:vAlign w:val="center"/>
          </w:tcPr>
          <w:p w14:paraId="21AD7C3A" w14:textId="77777777" w:rsidR="00B445D2" w:rsidRPr="00BB6D23" w:rsidRDefault="00B445D2" w:rsidP="00523AC5">
            <w:pPr>
              <w:ind w:firstLine="0"/>
              <w:jc w:val="center"/>
              <w:rPr>
                <w:rFonts w:cstheme="minorHAnsi"/>
                <w:sz w:val="18"/>
                <w:szCs w:val="18"/>
              </w:rPr>
            </w:pPr>
            <w:r w:rsidRPr="00BB6D23">
              <w:rPr>
                <w:rFonts w:cstheme="minorHAnsi"/>
                <w:sz w:val="18"/>
                <w:szCs w:val="18"/>
              </w:rPr>
              <w:t>Edukowanie i informowanie społeczeństwa w zakresie przygotowania na silne wiatry, prowadzenie systemu ostrzegania</w:t>
            </w:r>
          </w:p>
        </w:tc>
        <w:tc>
          <w:tcPr>
            <w:tcW w:w="2079" w:type="dxa"/>
            <w:vMerge w:val="restart"/>
            <w:shd w:val="clear" w:color="auto" w:fill="F2F4CA" w:themeFill="accent3" w:themeFillTint="33"/>
            <w:vAlign w:val="center"/>
          </w:tcPr>
          <w:p w14:paraId="17837472" w14:textId="77777777" w:rsidR="00B445D2" w:rsidRPr="00BB6D23" w:rsidRDefault="00B445D2" w:rsidP="001A26C0">
            <w:pPr>
              <w:ind w:firstLine="0"/>
              <w:jc w:val="center"/>
              <w:rPr>
                <w:rFonts w:cstheme="minorHAnsi"/>
                <w:sz w:val="18"/>
                <w:szCs w:val="18"/>
              </w:rPr>
            </w:pPr>
            <w:r w:rsidRPr="00BB6D23">
              <w:rPr>
                <w:rFonts w:cstheme="minorHAnsi"/>
                <w:sz w:val="18"/>
                <w:szCs w:val="18"/>
              </w:rPr>
              <w:t>Stopniowa przebudowa elementów budynków i konstrukcji wrażliwych na silne porywy wiatru</w:t>
            </w:r>
          </w:p>
        </w:tc>
      </w:tr>
      <w:tr w:rsidR="00B445D2" w:rsidRPr="00BB6D23" w14:paraId="36E926C8" w14:textId="77777777" w:rsidTr="009959C2">
        <w:trPr>
          <w:cantSplit/>
          <w:trHeight w:val="554"/>
          <w:jc w:val="center"/>
        </w:trPr>
        <w:tc>
          <w:tcPr>
            <w:tcW w:w="911" w:type="dxa"/>
            <w:vMerge/>
            <w:shd w:val="clear" w:color="auto" w:fill="4E5110" w:themeFill="accent3" w:themeFillShade="80"/>
            <w:textDirection w:val="btLr"/>
            <w:vAlign w:val="center"/>
          </w:tcPr>
          <w:p w14:paraId="70E0C91C" w14:textId="77777777" w:rsidR="00B445D2" w:rsidRPr="00BB6D23" w:rsidRDefault="00B445D2" w:rsidP="001A26C0">
            <w:pPr>
              <w:ind w:left="113" w:right="113" w:firstLine="0"/>
              <w:jc w:val="center"/>
              <w:rPr>
                <w:rFonts w:cstheme="minorHAnsi"/>
                <w:b/>
                <w:color w:val="FFFFFF" w:themeColor="background1"/>
                <w:sz w:val="18"/>
                <w:szCs w:val="18"/>
              </w:rPr>
            </w:pPr>
          </w:p>
        </w:tc>
        <w:tc>
          <w:tcPr>
            <w:tcW w:w="2118" w:type="dxa"/>
            <w:shd w:val="clear" w:color="auto" w:fill="F2F4CA" w:themeFill="accent3" w:themeFillTint="33"/>
            <w:vAlign w:val="center"/>
          </w:tcPr>
          <w:p w14:paraId="7A9018E0" w14:textId="77777777" w:rsidR="00B445D2" w:rsidRPr="00BB6D23" w:rsidRDefault="00B445D2" w:rsidP="001A26C0">
            <w:pPr>
              <w:ind w:firstLine="0"/>
              <w:jc w:val="center"/>
              <w:rPr>
                <w:rFonts w:cstheme="minorHAnsi"/>
                <w:sz w:val="18"/>
                <w:szCs w:val="18"/>
              </w:rPr>
            </w:pPr>
            <w:r w:rsidRPr="00BB6D23">
              <w:rPr>
                <w:rFonts w:cstheme="minorHAnsi"/>
                <w:sz w:val="18"/>
                <w:szCs w:val="18"/>
              </w:rPr>
              <w:t>Zabezpieczenia konstrukcji, przedmiotów mogących zostać porwanych przez wiatr</w:t>
            </w:r>
          </w:p>
        </w:tc>
        <w:tc>
          <w:tcPr>
            <w:tcW w:w="2089" w:type="dxa"/>
            <w:vMerge/>
            <w:shd w:val="clear" w:color="auto" w:fill="F2F4CA" w:themeFill="accent3" w:themeFillTint="33"/>
            <w:vAlign w:val="center"/>
          </w:tcPr>
          <w:p w14:paraId="05174430" w14:textId="77777777" w:rsidR="00B445D2" w:rsidRPr="00BB6D23" w:rsidRDefault="00B445D2" w:rsidP="001A26C0">
            <w:pPr>
              <w:ind w:firstLine="0"/>
              <w:jc w:val="center"/>
              <w:rPr>
                <w:rFonts w:cstheme="minorHAnsi"/>
                <w:sz w:val="18"/>
                <w:szCs w:val="18"/>
              </w:rPr>
            </w:pPr>
          </w:p>
        </w:tc>
        <w:tc>
          <w:tcPr>
            <w:tcW w:w="2089" w:type="dxa"/>
            <w:vMerge/>
            <w:shd w:val="clear" w:color="auto" w:fill="F2F4CA" w:themeFill="accent3" w:themeFillTint="33"/>
            <w:vAlign w:val="center"/>
          </w:tcPr>
          <w:p w14:paraId="689F8DD2" w14:textId="77777777" w:rsidR="00B445D2" w:rsidRPr="00BB6D23" w:rsidRDefault="00B445D2" w:rsidP="001A26C0">
            <w:pPr>
              <w:ind w:firstLine="0"/>
              <w:jc w:val="center"/>
              <w:rPr>
                <w:rFonts w:cstheme="minorHAnsi"/>
                <w:sz w:val="18"/>
                <w:szCs w:val="18"/>
              </w:rPr>
            </w:pPr>
          </w:p>
        </w:tc>
        <w:tc>
          <w:tcPr>
            <w:tcW w:w="2079" w:type="dxa"/>
            <w:vMerge/>
            <w:shd w:val="clear" w:color="auto" w:fill="F2F4CA" w:themeFill="accent3" w:themeFillTint="33"/>
            <w:vAlign w:val="center"/>
          </w:tcPr>
          <w:p w14:paraId="4C10ADD2" w14:textId="77777777" w:rsidR="00B445D2" w:rsidRPr="00BB6D23" w:rsidRDefault="00B445D2" w:rsidP="001A26C0">
            <w:pPr>
              <w:ind w:firstLine="0"/>
              <w:jc w:val="center"/>
              <w:rPr>
                <w:rFonts w:cstheme="minorHAnsi"/>
                <w:sz w:val="18"/>
                <w:szCs w:val="18"/>
              </w:rPr>
            </w:pPr>
          </w:p>
        </w:tc>
      </w:tr>
      <w:tr w:rsidR="00B445D2" w:rsidRPr="00BB6D23" w14:paraId="4D176561" w14:textId="77777777" w:rsidTr="009959C2">
        <w:trPr>
          <w:cantSplit/>
          <w:trHeight w:val="1134"/>
          <w:jc w:val="center"/>
        </w:trPr>
        <w:tc>
          <w:tcPr>
            <w:tcW w:w="911" w:type="dxa"/>
            <w:vMerge w:val="restart"/>
            <w:shd w:val="clear" w:color="auto" w:fill="4E5110" w:themeFill="accent3" w:themeFillShade="80"/>
            <w:textDirection w:val="btLr"/>
            <w:vAlign w:val="center"/>
          </w:tcPr>
          <w:p w14:paraId="2981AA2A" w14:textId="27C1582E" w:rsidR="00B445D2" w:rsidRPr="00BB6D23" w:rsidRDefault="00B445D2" w:rsidP="001A26C0">
            <w:pPr>
              <w:ind w:left="113" w:right="113" w:firstLine="0"/>
              <w:jc w:val="center"/>
              <w:rPr>
                <w:rFonts w:cstheme="minorHAnsi"/>
                <w:b/>
                <w:color w:val="FFFFFF" w:themeColor="background1"/>
                <w:sz w:val="18"/>
                <w:szCs w:val="18"/>
              </w:rPr>
            </w:pPr>
            <w:r w:rsidRPr="00BB6D23">
              <w:rPr>
                <w:rFonts w:cstheme="minorHAnsi"/>
                <w:b/>
                <w:color w:val="FFFFFF" w:themeColor="background1"/>
                <w:sz w:val="18"/>
                <w:szCs w:val="18"/>
              </w:rPr>
              <w:t>Powodzie „miejskie” związane z gwałtownymi i</w:t>
            </w:r>
            <w:r w:rsidR="00AF2E37" w:rsidRPr="00BB6D23">
              <w:rPr>
                <w:rFonts w:cstheme="minorHAnsi"/>
                <w:b/>
                <w:color w:val="FFFFFF" w:themeColor="background1"/>
                <w:sz w:val="18"/>
                <w:szCs w:val="18"/>
              </w:rPr>
              <w:t> </w:t>
            </w:r>
            <w:r w:rsidRPr="00BB6D23">
              <w:rPr>
                <w:rFonts w:cstheme="minorHAnsi"/>
                <w:b/>
                <w:color w:val="FFFFFF" w:themeColor="background1"/>
                <w:sz w:val="18"/>
                <w:szCs w:val="18"/>
              </w:rPr>
              <w:t>intensywnymi opadami</w:t>
            </w:r>
          </w:p>
        </w:tc>
        <w:tc>
          <w:tcPr>
            <w:tcW w:w="2118" w:type="dxa"/>
            <w:shd w:val="clear" w:color="auto" w:fill="F2F4CA" w:themeFill="accent3" w:themeFillTint="33"/>
            <w:vAlign w:val="center"/>
          </w:tcPr>
          <w:p w14:paraId="6E69C91F" w14:textId="21E9CE91" w:rsidR="00B445D2" w:rsidRPr="00BB6D23" w:rsidRDefault="00B445D2" w:rsidP="001A26C0">
            <w:pPr>
              <w:ind w:firstLine="0"/>
              <w:jc w:val="center"/>
              <w:rPr>
                <w:rFonts w:cstheme="minorHAnsi"/>
                <w:sz w:val="18"/>
                <w:szCs w:val="18"/>
              </w:rPr>
            </w:pPr>
            <w:r w:rsidRPr="00BB6D23">
              <w:rPr>
                <w:rFonts w:cstheme="minorHAnsi"/>
                <w:sz w:val="18"/>
                <w:szCs w:val="18"/>
              </w:rPr>
              <w:t xml:space="preserve">Zagospodarowanie wód </w:t>
            </w:r>
            <w:r w:rsidR="000B45CF" w:rsidRPr="00BB6D23">
              <w:rPr>
                <w:rFonts w:cstheme="minorHAnsi"/>
                <w:sz w:val="18"/>
                <w:szCs w:val="18"/>
              </w:rPr>
              <w:t>opadowych</w:t>
            </w:r>
            <w:r w:rsidRPr="00BB6D23">
              <w:rPr>
                <w:rFonts w:cstheme="minorHAnsi"/>
                <w:sz w:val="18"/>
                <w:szCs w:val="18"/>
              </w:rPr>
              <w:t xml:space="preserve"> na terenie inwestycji (zapisy w prawie miejscowym, warunek wydania decyzji o zabudowie)</w:t>
            </w:r>
          </w:p>
        </w:tc>
        <w:tc>
          <w:tcPr>
            <w:tcW w:w="2089" w:type="dxa"/>
            <w:shd w:val="clear" w:color="auto" w:fill="F2F4CA" w:themeFill="accent3" w:themeFillTint="33"/>
            <w:vAlign w:val="center"/>
          </w:tcPr>
          <w:p w14:paraId="6B55AF7B" w14:textId="77777777" w:rsidR="00B445D2" w:rsidRPr="00BB6D23" w:rsidRDefault="00B445D2" w:rsidP="001A26C0">
            <w:pPr>
              <w:ind w:firstLine="0"/>
              <w:jc w:val="center"/>
              <w:rPr>
                <w:rFonts w:cstheme="minorHAnsi"/>
                <w:sz w:val="18"/>
                <w:szCs w:val="18"/>
              </w:rPr>
            </w:pPr>
            <w:r w:rsidRPr="00BB6D23">
              <w:rPr>
                <w:rFonts w:cstheme="minorHAnsi"/>
                <w:sz w:val="18"/>
                <w:szCs w:val="18"/>
              </w:rPr>
              <w:t>Budowa infrastruktury z uwzględnieniem zmian klimatu</w:t>
            </w:r>
          </w:p>
        </w:tc>
        <w:tc>
          <w:tcPr>
            <w:tcW w:w="2089" w:type="dxa"/>
            <w:shd w:val="clear" w:color="auto" w:fill="F2F4CA" w:themeFill="accent3" w:themeFillTint="33"/>
            <w:vAlign w:val="center"/>
          </w:tcPr>
          <w:p w14:paraId="513A003D" w14:textId="77777777" w:rsidR="00B445D2" w:rsidRPr="00BB6D23" w:rsidRDefault="00B445D2" w:rsidP="001A26C0">
            <w:pPr>
              <w:ind w:firstLine="0"/>
              <w:jc w:val="center"/>
              <w:rPr>
                <w:rFonts w:cstheme="minorHAnsi"/>
                <w:sz w:val="18"/>
                <w:szCs w:val="18"/>
              </w:rPr>
            </w:pPr>
            <w:r w:rsidRPr="00BB6D23">
              <w:rPr>
                <w:rFonts w:cstheme="minorHAnsi"/>
                <w:sz w:val="18"/>
                <w:szCs w:val="18"/>
              </w:rPr>
              <w:t xml:space="preserve">Wykorzystywanie rozwiązań z zakresu błękitno-zielonej infrastruktury </w:t>
            </w:r>
          </w:p>
        </w:tc>
        <w:tc>
          <w:tcPr>
            <w:tcW w:w="2079" w:type="dxa"/>
            <w:shd w:val="clear" w:color="auto" w:fill="F2F4CA" w:themeFill="accent3" w:themeFillTint="33"/>
            <w:vAlign w:val="center"/>
          </w:tcPr>
          <w:p w14:paraId="3927F60F" w14:textId="77777777" w:rsidR="00B445D2" w:rsidRPr="00BB6D23" w:rsidRDefault="00B445D2" w:rsidP="001A26C0">
            <w:pPr>
              <w:ind w:firstLine="0"/>
              <w:jc w:val="center"/>
              <w:rPr>
                <w:rFonts w:cstheme="minorHAnsi"/>
                <w:sz w:val="18"/>
                <w:szCs w:val="18"/>
              </w:rPr>
            </w:pPr>
            <w:r w:rsidRPr="00BB6D23">
              <w:rPr>
                <w:rFonts w:cstheme="minorHAnsi"/>
                <w:sz w:val="18"/>
                <w:szCs w:val="18"/>
              </w:rPr>
              <w:t>Przebudowa (stopniowa) systemu gospodarowania i retencjonowania wód na terenie Miasta</w:t>
            </w:r>
          </w:p>
        </w:tc>
      </w:tr>
      <w:tr w:rsidR="00B445D2" w:rsidRPr="00BB6D23" w14:paraId="4D1C698E" w14:textId="77777777" w:rsidTr="009959C2">
        <w:trPr>
          <w:cantSplit/>
          <w:trHeight w:val="1134"/>
          <w:jc w:val="center"/>
        </w:trPr>
        <w:tc>
          <w:tcPr>
            <w:tcW w:w="911" w:type="dxa"/>
            <w:vMerge/>
            <w:shd w:val="clear" w:color="auto" w:fill="4E5110" w:themeFill="accent3" w:themeFillShade="80"/>
            <w:textDirection w:val="btLr"/>
            <w:vAlign w:val="center"/>
          </w:tcPr>
          <w:p w14:paraId="15992277" w14:textId="77777777" w:rsidR="00B445D2" w:rsidRPr="00BB6D23" w:rsidRDefault="00B445D2" w:rsidP="001A26C0">
            <w:pPr>
              <w:ind w:left="113" w:right="113" w:firstLine="0"/>
              <w:jc w:val="center"/>
              <w:rPr>
                <w:rFonts w:cstheme="minorHAnsi"/>
                <w:b/>
                <w:color w:val="FFFFFF" w:themeColor="background1"/>
                <w:sz w:val="18"/>
                <w:szCs w:val="18"/>
              </w:rPr>
            </w:pPr>
          </w:p>
        </w:tc>
        <w:tc>
          <w:tcPr>
            <w:tcW w:w="2118" w:type="dxa"/>
            <w:shd w:val="clear" w:color="auto" w:fill="F2F4CA" w:themeFill="accent3" w:themeFillTint="33"/>
            <w:vAlign w:val="center"/>
          </w:tcPr>
          <w:p w14:paraId="2ECBFC1C" w14:textId="77777777" w:rsidR="00B445D2" w:rsidRPr="00BB6D23" w:rsidRDefault="00B445D2" w:rsidP="001A26C0">
            <w:pPr>
              <w:ind w:firstLine="0"/>
              <w:jc w:val="center"/>
              <w:rPr>
                <w:rFonts w:cstheme="minorHAnsi"/>
                <w:sz w:val="18"/>
                <w:szCs w:val="18"/>
              </w:rPr>
            </w:pPr>
            <w:r w:rsidRPr="00BB6D23">
              <w:rPr>
                <w:rFonts w:cstheme="minorHAnsi"/>
                <w:sz w:val="18"/>
                <w:szCs w:val="18"/>
              </w:rPr>
              <w:t>Niezabudowywanie obszarów zagrożonych powodziami</w:t>
            </w:r>
          </w:p>
        </w:tc>
        <w:tc>
          <w:tcPr>
            <w:tcW w:w="2089" w:type="dxa"/>
            <w:shd w:val="clear" w:color="auto" w:fill="F2F4CA" w:themeFill="accent3" w:themeFillTint="33"/>
            <w:vAlign w:val="center"/>
          </w:tcPr>
          <w:p w14:paraId="62937F95" w14:textId="77777777" w:rsidR="00B445D2" w:rsidRPr="00BB6D23" w:rsidRDefault="00B445D2" w:rsidP="001A26C0">
            <w:pPr>
              <w:ind w:firstLine="0"/>
              <w:jc w:val="center"/>
              <w:rPr>
                <w:rFonts w:cstheme="minorHAnsi"/>
                <w:sz w:val="18"/>
                <w:szCs w:val="18"/>
              </w:rPr>
            </w:pPr>
            <w:r w:rsidRPr="00BB6D23">
              <w:rPr>
                <w:rFonts w:cstheme="minorHAnsi"/>
                <w:sz w:val="18"/>
                <w:szCs w:val="18"/>
              </w:rPr>
              <w:t>Wykorzystywanie materiałów przepuszczalnych (przy parkingach, ścieżkach itd.)</w:t>
            </w:r>
          </w:p>
        </w:tc>
        <w:tc>
          <w:tcPr>
            <w:tcW w:w="2089" w:type="dxa"/>
            <w:shd w:val="clear" w:color="auto" w:fill="F2F4CA" w:themeFill="accent3" w:themeFillTint="33"/>
            <w:vAlign w:val="center"/>
          </w:tcPr>
          <w:p w14:paraId="4F9266EC" w14:textId="77777777" w:rsidR="00B445D2" w:rsidRPr="00BB6D23" w:rsidRDefault="00B445D2" w:rsidP="001A26C0">
            <w:pPr>
              <w:ind w:firstLine="0"/>
              <w:jc w:val="center"/>
              <w:rPr>
                <w:rFonts w:cstheme="minorHAnsi"/>
                <w:sz w:val="18"/>
                <w:szCs w:val="18"/>
              </w:rPr>
            </w:pPr>
            <w:r w:rsidRPr="00BB6D23">
              <w:rPr>
                <w:rFonts w:cstheme="minorHAnsi"/>
                <w:sz w:val="18"/>
                <w:szCs w:val="18"/>
              </w:rPr>
              <w:t>Rozwój i ochrona terenów biologicznie czynnych</w:t>
            </w:r>
          </w:p>
        </w:tc>
        <w:tc>
          <w:tcPr>
            <w:tcW w:w="2079" w:type="dxa"/>
            <w:shd w:val="clear" w:color="auto" w:fill="F2F4CA" w:themeFill="accent3" w:themeFillTint="33"/>
            <w:vAlign w:val="center"/>
          </w:tcPr>
          <w:p w14:paraId="3E8345E0" w14:textId="3718CB5F" w:rsidR="00B445D2" w:rsidRPr="00BB6D23" w:rsidRDefault="00B445D2" w:rsidP="001A26C0">
            <w:pPr>
              <w:ind w:firstLine="0"/>
              <w:jc w:val="center"/>
              <w:rPr>
                <w:rFonts w:cstheme="minorHAnsi"/>
                <w:sz w:val="18"/>
                <w:szCs w:val="18"/>
              </w:rPr>
            </w:pPr>
            <w:r w:rsidRPr="00BB6D23">
              <w:rPr>
                <w:rFonts w:cstheme="minorHAnsi"/>
                <w:sz w:val="18"/>
                <w:szCs w:val="18"/>
              </w:rPr>
              <w:t>Wymiana nawierzchni</w:t>
            </w:r>
            <w:r w:rsidR="00827B0B" w:rsidRPr="00BB6D23">
              <w:rPr>
                <w:rFonts w:cstheme="minorHAnsi"/>
                <w:sz w:val="18"/>
                <w:szCs w:val="18"/>
              </w:rPr>
              <w:t xml:space="preserve"> </w:t>
            </w:r>
            <w:r w:rsidRPr="00BB6D23">
              <w:rPr>
                <w:rFonts w:cstheme="minorHAnsi"/>
                <w:sz w:val="18"/>
                <w:szCs w:val="18"/>
              </w:rPr>
              <w:t>na nawierzchnie przepuszczalne</w:t>
            </w:r>
          </w:p>
        </w:tc>
      </w:tr>
      <w:tr w:rsidR="00B445D2" w:rsidRPr="00BB6D23" w14:paraId="7DEBF327" w14:textId="77777777" w:rsidTr="009959C2">
        <w:trPr>
          <w:jc w:val="center"/>
        </w:trPr>
        <w:tc>
          <w:tcPr>
            <w:tcW w:w="911" w:type="dxa"/>
            <w:vMerge/>
            <w:shd w:val="clear" w:color="auto" w:fill="4E5110" w:themeFill="accent3" w:themeFillShade="80"/>
            <w:textDirection w:val="btLr"/>
          </w:tcPr>
          <w:p w14:paraId="560A5BDA" w14:textId="77777777" w:rsidR="00B445D2" w:rsidRPr="00BB6D23" w:rsidRDefault="00B445D2" w:rsidP="001A26C0">
            <w:pPr>
              <w:ind w:left="113" w:right="113" w:firstLine="0"/>
              <w:rPr>
                <w:rFonts w:cstheme="minorHAnsi"/>
                <w:b/>
                <w:color w:val="FFFFFF" w:themeColor="background1"/>
                <w:sz w:val="18"/>
                <w:szCs w:val="18"/>
              </w:rPr>
            </w:pPr>
          </w:p>
        </w:tc>
        <w:tc>
          <w:tcPr>
            <w:tcW w:w="2118" w:type="dxa"/>
            <w:shd w:val="clear" w:color="auto" w:fill="F2F4CA" w:themeFill="accent3" w:themeFillTint="33"/>
            <w:vAlign w:val="center"/>
          </w:tcPr>
          <w:p w14:paraId="6672B048" w14:textId="77777777" w:rsidR="00B445D2" w:rsidRPr="00BB6D23" w:rsidRDefault="00B445D2" w:rsidP="001A26C0">
            <w:pPr>
              <w:ind w:firstLine="0"/>
              <w:jc w:val="center"/>
              <w:rPr>
                <w:rFonts w:cstheme="minorHAnsi"/>
                <w:sz w:val="18"/>
                <w:szCs w:val="18"/>
              </w:rPr>
            </w:pPr>
          </w:p>
        </w:tc>
        <w:tc>
          <w:tcPr>
            <w:tcW w:w="2089" w:type="dxa"/>
            <w:shd w:val="clear" w:color="auto" w:fill="F2F4CA" w:themeFill="accent3" w:themeFillTint="33"/>
            <w:vAlign w:val="center"/>
          </w:tcPr>
          <w:p w14:paraId="58E19E2F" w14:textId="77777777" w:rsidR="00B445D2" w:rsidRPr="00BB6D23" w:rsidRDefault="00B445D2" w:rsidP="001A26C0">
            <w:pPr>
              <w:ind w:firstLine="0"/>
              <w:jc w:val="center"/>
              <w:rPr>
                <w:rFonts w:cstheme="minorHAnsi"/>
                <w:sz w:val="18"/>
                <w:szCs w:val="18"/>
              </w:rPr>
            </w:pPr>
            <w:r w:rsidRPr="00BB6D23">
              <w:rPr>
                <w:rFonts w:cstheme="minorHAnsi"/>
                <w:sz w:val="18"/>
                <w:szCs w:val="18"/>
              </w:rPr>
              <w:t>Prowadzenie monitoringu zjawisk ekstremalnych</w:t>
            </w:r>
          </w:p>
        </w:tc>
        <w:tc>
          <w:tcPr>
            <w:tcW w:w="2089" w:type="dxa"/>
            <w:shd w:val="clear" w:color="auto" w:fill="F2F4CA" w:themeFill="accent3" w:themeFillTint="33"/>
            <w:vAlign w:val="center"/>
          </w:tcPr>
          <w:p w14:paraId="627E5DB8" w14:textId="77777777" w:rsidR="00B445D2" w:rsidRPr="00BB6D23" w:rsidRDefault="00B445D2" w:rsidP="001A26C0">
            <w:pPr>
              <w:ind w:firstLine="0"/>
              <w:jc w:val="center"/>
              <w:rPr>
                <w:rFonts w:cstheme="minorHAnsi"/>
                <w:sz w:val="18"/>
                <w:szCs w:val="18"/>
              </w:rPr>
            </w:pPr>
            <w:r w:rsidRPr="00BB6D23">
              <w:rPr>
                <w:rFonts w:cstheme="minorHAnsi"/>
                <w:sz w:val="18"/>
                <w:szCs w:val="18"/>
              </w:rPr>
              <w:t>Edukacja i informowanie społeczeństwa dotycząca przeciwdziałania nagłym powodzią miejskim</w:t>
            </w:r>
          </w:p>
        </w:tc>
        <w:tc>
          <w:tcPr>
            <w:tcW w:w="2079" w:type="dxa"/>
            <w:shd w:val="clear" w:color="auto" w:fill="F2F4CA" w:themeFill="accent3" w:themeFillTint="33"/>
            <w:vAlign w:val="center"/>
          </w:tcPr>
          <w:p w14:paraId="24DE4439" w14:textId="77777777" w:rsidR="00B445D2" w:rsidRPr="00BB6D23" w:rsidRDefault="00B445D2" w:rsidP="001A26C0">
            <w:pPr>
              <w:ind w:firstLine="0"/>
              <w:rPr>
                <w:rFonts w:cstheme="minorHAnsi"/>
                <w:sz w:val="18"/>
                <w:szCs w:val="18"/>
              </w:rPr>
            </w:pPr>
          </w:p>
        </w:tc>
      </w:tr>
    </w:tbl>
    <w:p w14:paraId="5FDC2510" w14:textId="77777777" w:rsidR="00B445D2" w:rsidRPr="00E833A9" w:rsidRDefault="00B445D2" w:rsidP="009959C2">
      <w:pPr>
        <w:pStyle w:val="Cytat"/>
      </w:pPr>
      <w:r w:rsidRPr="00E833A9">
        <w:t>Źródło: opracowanie własne</w:t>
      </w:r>
    </w:p>
    <w:p w14:paraId="34AE1FFF" w14:textId="77777777" w:rsidR="00EB2570" w:rsidRPr="00E833A9" w:rsidRDefault="00EB2570" w:rsidP="00B445D2">
      <w:pPr>
        <w:rPr>
          <w:rFonts w:cstheme="minorHAnsi"/>
        </w:rPr>
        <w:sectPr w:rsidR="00EB2570" w:rsidRPr="00E833A9" w:rsidSect="006A4AE9">
          <w:headerReference w:type="even" r:id="rId155"/>
          <w:headerReference w:type="default" r:id="rId156"/>
          <w:footerReference w:type="even" r:id="rId157"/>
          <w:footerReference w:type="default" r:id="rId158"/>
          <w:pgSz w:w="11906" w:h="16838"/>
          <w:pgMar w:top="1418" w:right="1418" w:bottom="1418" w:left="1418" w:header="709" w:footer="709" w:gutter="0"/>
          <w:cols w:space="708"/>
          <w:docGrid w:linePitch="360"/>
        </w:sectPr>
      </w:pPr>
    </w:p>
    <w:p w14:paraId="3BF57F57" w14:textId="69C1B503" w:rsidR="00D61656" w:rsidRPr="00E833A9" w:rsidRDefault="0070365C" w:rsidP="00B62479">
      <w:pPr>
        <w:pStyle w:val="Nagwek2"/>
      </w:pPr>
      <w:bookmarkStart w:id="249" w:name="_Toc143596947"/>
      <w:bookmarkStart w:id="250" w:name="_Toc177732082"/>
      <w:r w:rsidRPr="00E833A9">
        <w:lastRenderedPageBreak/>
        <w:t>Analiza opcji adaptacji</w:t>
      </w:r>
      <w:bookmarkEnd w:id="249"/>
      <w:bookmarkEnd w:id="250"/>
    </w:p>
    <w:p w14:paraId="23D65A56" w14:textId="32F34416" w:rsidR="00D61656" w:rsidRPr="00E833A9" w:rsidRDefault="00EC63D8" w:rsidP="00D61656">
      <w:pPr>
        <w:tabs>
          <w:tab w:val="left" w:pos="284"/>
          <w:tab w:val="left" w:pos="709"/>
          <w:tab w:val="left" w:pos="851"/>
          <w:tab w:val="left" w:pos="1134"/>
        </w:tabs>
        <w:spacing w:line="288" w:lineRule="auto"/>
        <w:contextualSpacing/>
        <w:rPr>
          <w:rFonts w:cstheme="minorHAnsi"/>
          <w:color w:val="auto"/>
        </w:rPr>
      </w:pPr>
      <w:r w:rsidRPr="00E833A9">
        <w:rPr>
          <w:rFonts w:cstheme="minorHAnsi"/>
          <w:color w:val="auto"/>
        </w:rPr>
        <w:t xml:space="preserve">Wybranie opcji adaptacji należy poprzedzić odpowiednią analizą i wybrać rozwiązania, które można wdrożyć w obecnych warunkach, oraz przynoszące najlepsze efekty w stosunku do prognozowanych zmian. Analiza opcji adaptacji oparta </w:t>
      </w:r>
      <w:r w:rsidR="00F7299F" w:rsidRPr="00E833A9">
        <w:rPr>
          <w:rFonts w:cstheme="minorHAnsi"/>
          <w:color w:val="auto"/>
        </w:rPr>
        <w:t xml:space="preserve">została </w:t>
      </w:r>
      <w:r w:rsidRPr="00E833A9">
        <w:rPr>
          <w:rFonts w:cstheme="minorHAnsi"/>
          <w:color w:val="auto"/>
        </w:rPr>
        <w:t xml:space="preserve">na </w:t>
      </w:r>
      <w:r w:rsidR="00F7299F" w:rsidRPr="00E833A9">
        <w:rPr>
          <w:rFonts w:cstheme="minorHAnsi"/>
          <w:color w:val="auto"/>
        </w:rPr>
        <w:t>wytycznych zawartych w </w:t>
      </w:r>
      <w:r w:rsidR="00F7299F" w:rsidRPr="00E833A9">
        <w:rPr>
          <w:rFonts w:cstheme="minorHAnsi"/>
          <w:i/>
          <w:iCs/>
          <w:color w:val="auto"/>
        </w:rPr>
        <w:t>Podręczniku Adaptacji do zmian klimatu 2023</w:t>
      </w:r>
      <w:r w:rsidRPr="00E833A9">
        <w:rPr>
          <w:rFonts w:cstheme="minorHAnsi"/>
          <w:color w:val="auto"/>
        </w:rPr>
        <w:t xml:space="preserve"> oraz konsultacjach opcji adaptacji z zaangażowanymi w proces powstawania opracowania stronami pozwala na optymalny dobór działań adaptacyjnych.</w:t>
      </w:r>
    </w:p>
    <w:p w14:paraId="45B29670" w14:textId="77777777" w:rsidR="00027286" w:rsidRPr="00E833A9" w:rsidRDefault="00027286" w:rsidP="00AA1001">
      <w:pPr>
        <w:pStyle w:val="Legenda"/>
      </w:pPr>
    </w:p>
    <w:p w14:paraId="461E7A0E" w14:textId="49B6A490" w:rsidR="00EC63D8" w:rsidRPr="00E833A9" w:rsidRDefault="00EC63D8" w:rsidP="009959C2">
      <w:pPr>
        <w:pStyle w:val="Styltabela"/>
      </w:pPr>
      <w:bookmarkStart w:id="251" w:name="_Toc178846336"/>
      <w:r w:rsidRPr="00E833A9">
        <w:t xml:space="preserve">Tabela </w:t>
      </w:r>
      <w:r w:rsidR="00E833A9">
        <w:fldChar w:fldCharType="begin"/>
      </w:r>
      <w:r w:rsidR="00E833A9">
        <w:instrText xml:space="preserve"> SEQ Tabela \* ARABIC </w:instrText>
      </w:r>
      <w:r w:rsidR="00E833A9">
        <w:fldChar w:fldCharType="separate"/>
      </w:r>
      <w:r w:rsidR="00A654D8">
        <w:rPr>
          <w:noProof/>
        </w:rPr>
        <w:t>30</w:t>
      </w:r>
      <w:r w:rsidR="00E833A9">
        <w:rPr>
          <w:noProof/>
        </w:rPr>
        <w:fldChar w:fldCharType="end"/>
      </w:r>
      <w:r w:rsidRPr="00E833A9">
        <w:t>. Kryteria oceny opcji adaptacji.</w:t>
      </w:r>
      <w:bookmarkEnd w:id="251"/>
    </w:p>
    <w:tbl>
      <w:tblPr>
        <w:tblStyle w:val="Tabela-MPAaga12"/>
        <w:tblW w:w="9072" w:type="dxa"/>
        <w:jc w:val="center"/>
        <w:tblBorders>
          <w:top w:val="single" w:sz="8" w:space="0" w:color="4E5110" w:themeColor="accent3" w:themeShade="80"/>
          <w:left w:val="single" w:sz="8" w:space="0" w:color="4E5110" w:themeColor="accent3" w:themeShade="80"/>
          <w:bottom w:val="single" w:sz="8" w:space="0" w:color="4E5110" w:themeColor="accent3" w:themeShade="80"/>
          <w:right w:val="single" w:sz="8" w:space="0" w:color="4E5110" w:themeColor="accent3" w:themeShade="80"/>
          <w:insideH w:val="single" w:sz="12" w:space="0" w:color="FFFFFF" w:themeColor="background1"/>
          <w:insideV w:val="single" w:sz="12" w:space="0" w:color="FFFFFF" w:themeColor="background1"/>
        </w:tblBorders>
        <w:tblLook w:val="04A0" w:firstRow="1" w:lastRow="0" w:firstColumn="1" w:lastColumn="0" w:noHBand="0" w:noVBand="1"/>
      </w:tblPr>
      <w:tblGrid>
        <w:gridCol w:w="2083"/>
        <w:gridCol w:w="6989"/>
      </w:tblGrid>
      <w:tr w:rsidR="00AA0691" w:rsidRPr="00E833A9" w14:paraId="0D0B7FAF" w14:textId="77777777" w:rsidTr="009959C2">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093" w:type="dxa"/>
            <w:tcBorders>
              <w:top w:val="single" w:sz="18" w:space="0" w:color="4E5110" w:themeColor="accent3" w:themeShade="80"/>
              <w:left w:val="single" w:sz="18" w:space="0" w:color="4E5110" w:themeColor="accent3" w:themeShade="80"/>
            </w:tcBorders>
            <w:shd w:val="clear" w:color="auto" w:fill="4E5110" w:themeFill="accent3" w:themeFillShade="80"/>
            <w:vAlign w:val="center"/>
          </w:tcPr>
          <w:p w14:paraId="6DC6A28A" w14:textId="3CE1FE22" w:rsidR="00AA0691" w:rsidRPr="00E833A9" w:rsidRDefault="00EC63D8" w:rsidP="00027286">
            <w:pPr>
              <w:tabs>
                <w:tab w:val="left" w:pos="284"/>
                <w:tab w:val="left" w:pos="709"/>
                <w:tab w:val="left" w:pos="851"/>
                <w:tab w:val="left" w:pos="1134"/>
              </w:tabs>
              <w:spacing w:line="288" w:lineRule="auto"/>
              <w:ind w:firstLine="0"/>
              <w:contextualSpacing/>
              <w:jc w:val="center"/>
              <w:rPr>
                <w:rFonts w:asciiTheme="minorHAnsi" w:hAnsiTheme="minorHAnsi" w:cstheme="minorHAnsi"/>
                <w:color w:val="FFFFFF" w:themeColor="background1"/>
                <w:szCs w:val="20"/>
              </w:rPr>
            </w:pPr>
            <w:r w:rsidRPr="00E833A9">
              <w:rPr>
                <w:rFonts w:asciiTheme="minorHAnsi" w:hAnsiTheme="minorHAnsi" w:cstheme="minorHAnsi"/>
                <w:color w:val="FFFFFF" w:themeColor="background1"/>
                <w:szCs w:val="20"/>
              </w:rPr>
              <w:t>Kryterium</w:t>
            </w:r>
          </w:p>
        </w:tc>
        <w:tc>
          <w:tcPr>
            <w:tcW w:w="7087" w:type="dxa"/>
            <w:tcBorders>
              <w:top w:val="single" w:sz="18" w:space="0" w:color="4E5110" w:themeColor="accent3" w:themeShade="80"/>
              <w:bottom w:val="nil"/>
              <w:right w:val="single" w:sz="18" w:space="0" w:color="4E5110" w:themeColor="accent3" w:themeShade="80"/>
            </w:tcBorders>
            <w:shd w:val="clear" w:color="auto" w:fill="4E5110" w:themeFill="accent3" w:themeFillShade="80"/>
            <w:vAlign w:val="center"/>
          </w:tcPr>
          <w:p w14:paraId="78567F31" w14:textId="4427CE34" w:rsidR="00AA0691" w:rsidRPr="00E833A9" w:rsidRDefault="00EC63D8" w:rsidP="00027286">
            <w:pPr>
              <w:tabs>
                <w:tab w:val="left" w:pos="284"/>
                <w:tab w:val="left" w:pos="709"/>
                <w:tab w:val="left" w:pos="851"/>
                <w:tab w:val="left" w:pos="1134"/>
              </w:tabs>
              <w:spacing w:line="288" w:lineRule="auto"/>
              <w:ind w:firstLine="0"/>
              <w:contextualSpacing/>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Cs w:val="20"/>
              </w:rPr>
            </w:pPr>
            <w:r w:rsidRPr="00E833A9">
              <w:rPr>
                <w:rFonts w:asciiTheme="minorHAnsi" w:hAnsiTheme="minorHAnsi" w:cstheme="minorHAnsi"/>
                <w:color w:val="FFFFFF" w:themeColor="background1"/>
                <w:szCs w:val="20"/>
              </w:rPr>
              <w:t>Analizowane zagadnienie</w:t>
            </w:r>
          </w:p>
        </w:tc>
      </w:tr>
      <w:tr w:rsidR="00AA0691" w:rsidRPr="00E833A9" w14:paraId="3EDDC013" w14:textId="77777777" w:rsidTr="009959C2">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093" w:type="dxa"/>
            <w:tcBorders>
              <w:left w:val="single" w:sz="18" w:space="0" w:color="4E5110" w:themeColor="accent3" w:themeShade="80"/>
              <w:right w:val="nil"/>
            </w:tcBorders>
            <w:vAlign w:val="center"/>
          </w:tcPr>
          <w:p w14:paraId="0D2E264F" w14:textId="24FE66DE" w:rsidR="00AA0691" w:rsidRPr="00E833A9" w:rsidRDefault="00765B54" w:rsidP="00765B54">
            <w:pPr>
              <w:tabs>
                <w:tab w:val="left" w:pos="284"/>
                <w:tab w:val="left" w:pos="709"/>
                <w:tab w:val="left" w:pos="851"/>
                <w:tab w:val="left" w:pos="1134"/>
              </w:tabs>
              <w:spacing w:line="288" w:lineRule="auto"/>
              <w:ind w:firstLine="0"/>
              <w:contextualSpacing/>
              <w:jc w:val="center"/>
              <w:rPr>
                <w:rFonts w:asciiTheme="minorHAnsi" w:hAnsiTheme="minorHAnsi" w:cstheme="minorHAnsi"/>
                <w:color w:val="auto"/>
                <w:szCs w:val="20"/>
              </w:rPr>
            </w:pPr>
            <w:bookmarkStart w:id="252" w:name="_Hlk174103131"/>
            <w:r w:rsidRPr="00E833A9">
              <w:rPr>
                <w:rFonts w:asciiTheme="minorHAnsi" w:hAnsiTheme="minorHAnsi" w:cstheme="minorHAnsi"/>
                <w:color w:val="auto"/>
                <w:szCs w:val="20"/>
              </w:rPr>
              <w:t>Efektywność</w:t>
            </w:r>
          </w:p>
        </w:tc>
        <w:tc>
          <w:tcPr>
            <w:tcW w:w="7087" w:type="dxa"/>
            <w:tcBorders>
              <w:top w:val="nil"/>
              <w:left w:val="nil"/>
              <w:bottom w:val="nil"/>
              <w:right w:val="single" w:sz="18" w:space="0" w:color="4E5110" w:themeColor="accent3" w:themeShade="80"/>
            </w:tcBorders>
            <w:vAlign w:val="center"/>
          </w:tcPr>
          <w:p w14:paraId="3E804DFC" w14:textId="36E04129" w:rsidR="00AA0691" w:rsidRPr="00E833A9" w:rsidRDefault="00765B54" w:rsidP="00765B54">
            <w:pPr>
              <w:tabs>
                <w:tab w:val="left" w:pos="284"/>
                <w:tab w:val="left" w:pos="709"/>
                <w:tab w:val="left" w:pos="851"/>
                <w:tab w:val="left" w:pos="1134"/>
              </w:tabs>
              <w:spacing w:line="288" w:lineRule="auto"/>
              <w:ind w:firstLine="0"/>
              <w:contextualSpacing/>
              <w:jc w:val="left"/>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E833A9">
              <w:rPr>
                <w:rFonts w:cstheme="minorHAnsi"/>
                <w:color w:val="auto"/>
                <w:szCs w:val="20"/>
              </w:rPr>
              <w:t>Czy osiągane rezultaty są optymalne lub wyższe w stosunku do wykorzystywanych zasobów i ponoszonych kosztów?</w:t>
            </w:r>
          </w:p>
        </w:tc>
      </w:tr>
      <w:tr w:rsidR="00AA0691" w:rsidRPr="00E833A9" w14:paraId="565B1FA2" w14:textId="77777777" w:rsidTr="009959C2">
        <w:trPr>
          <w:trHeight w:val="680"/>
          <w:jc w:val="center"/>
        </w:trPr>
        <w:tc>
          <w:tcPr>
            <w:cnfStyle w:val="001000000000" w:firstRow="0" w:lastRow="0" w:firstColumn="1" w:lastColumn="0" w:oddVBand="0" w:evenVBand="0" w:oddHBand="0" w:evenHBand="0" w:firstRowFirstColumn="0" w:firstRowLastColumn="0" w:lastRowFirstColumn="0" w:lastRowLastColumn="0"/>
            <w:tcW w:w="2093" w:type="dxa"/>
            <w:tcBorders>
              <w:left w:val="single" w:sz="18" w:space="0" w:color="4E5110" w:themeColor="accent3" w:themeShade="80"/>
            </w:tcBorders>
            <w:vAlign w:val="center"/>
          </w:tcPr>
          <w:p w14:paraId="5C1E80E7" w14:textId="756FF64F" w:rsidR="00AA0691" w:rsidRPr="00E833A9" w:rsidRDefault="00765B54" w:rsidP="00765B54">
            <w:pPr>
              <w:tabs>
                <w:tab w:val="left" w:pos="284"/>
                <w:tab w:val="left" w:pos="709"/>
                <w:tab w:val="left" w:pos="851"/>
                <w:tab w:val="left" w:pos="1134"/>
              </w:tabs>
              <w:spacing w:line="288" w:lineRule="auto"/>
              <w:ind w:firstLine="0"/>
              <w:contextualSpacing/>
              <w:jc w:val="center"/>
              <w:rPr>
                <w:rFonts w:asciiTheme="minorHAnsi" w:hAnsiTheme="minorHAnsi" w:cstheme="minorHAnsi"/>
                <w:color w:val="auto"/>
                <w:szCs w:val="20"/>
              </w:rPr>
            </w:pPr>
            <w:r w:rsidRPr="00E833A9">
              <w:rPr>
                <w:rFonts w:asciiTheme="minorHAnsi" w:hAnsiTheme="minorHAnsi" w:cstheme="minorHAnsi"/>
                <w:color w:val="auto"/>
                <w:szCs w:val="20"/>
              </w:rPr>
              <w:t>Solidność (niezawodność)</w:t>
            </w:r>
          </w:p>
        </w:tc>
        <w:tc>
          <w:tcPr>
            <w:tcW w:w="7087" w:type="dxa"/>
            <w:tcBorders>
              <w:top w:val="nil"/>
              <w:right w:val="single" w:sz="18" w:space="0" w:color="4E5110" w:themeColor="accent3" w:themeShade="80"/>
            </w:tcBorders>
            <w:vAlign w:val="center"/>
          </w:tcPr>
          <w:p w14:paraId="1943FC41" w14:textId="65E7DA16" w:rsidR="00AA0691" w:rsidRPr="00E833A9" w:rsidRDefault="00765B54" w:rsidP="00765B54">
            <w:pPr>
              <w:tabs>
                <w:tab w:val="left" w:pos="284"/>
                <w:tab w:val="left" w:pos="709"/>
                <w:tab w:val="left" w:pos="851"/>
                <w:tab w:val="left" w:pos="1134"/>
              </w:tabs>
              <w:spacing w:line="288" w:lineRule="auto"/>
              <w:ind w:firstLine="0"/>
              <w:contextualSpacing/>
              <w:jc w:val="left"/>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E833A9">
              <w:rPr>
                <w:rFonts w:cstheme="minorHAnsi"/>
                <w:color w:val="auto"/>
                <w:szCs w:val="20"/>
              </w:rPr>
              <w:t>Czy opcja adaptacyjna będzie niezawodna w obecnych warunkach klimatycznych oraz w innych prawdopodobnych zmienionych warunkach klimatycznych w przyszłości?</w:t>
            </w:r>
          </w:p>
        </w:tc>
      </w:tr>
      <w:tr w:rsidR="00AA0691" w:rsidRPr="00E833A9" w14:paraId="056AEEF7" w14:textId="77777777" w:rsidTr="009959C2">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093" w:type="dxa"/>
            <w:tcBorders>
              <w:left w:val="single" w:sz="18" w:space="0" w:color="4E5110" w:themeColor="accent3" w:themeShade="80"/>
            </w:tcBorders>
            <w:vAlign w:val="center"/>
          </w:tcPr>
          <w:p w14:paraId="00D96E8F" w14:textId="088AECF5" w:rsidR="00AA0691" w:rsidRPr="00E833A9" w:rsidRDefault="00765B54" w:rsidP="00765B54">
            <w:pPr>
              <w:tabs>
                <w:tab w:val="left" w:pos="284"/>
                <w:tab w:val="left" w:pos="709"/>
                <w:tab w:val="left" w:pos="851"/>
                <w:tab w:val="left" w:pos="1134"/>
              </w:tabs>
              <w:spacing w:line="288" w:lineRule="auto"/>
              <w:ind w:firstLine="0"/>
              <w:contextualSpacing/>
              <w:jc w:val="center"/>
              <w:rPr>
                <w:rFonts w:asciiTheme="minorHAnsi" w:hAnsiTheme="minorHAnsi" w:cstheme="minorHAnsi"/>
                <w:color w:val="auto"/>
                <w:szCs w:val="20"/>
              </w:rPr>
            </w:pPr>
            <w:r w:rsidRPr="00E833A9">
              <w:rPr>
                <w:rFonts w:asciiTheme="minorHAnsi" w:hAnsiTheme="minorHAnsi" w:cstheme="minorHAnsi"/>
                <w:color w:val="auto"/>
                <w:szCs w:val="20"/>
              </w:rPr>
              <w:t>Elastyczność</w:t>
            </w:r>
          </w:p>
        </w:tc>
        <w:tc>
          <w:tcPr>
            <w:tcW w:w="7087" w:type="dxa"/>
            <w:tcBorders>
              <w:right w:val="single" w:sz="18" w:space="0" w:color="4E5110" w:themeColor="accent3" w:themeShade="80"/>
            </w:tcBorders>
            <w:vAlign w:val="center"/>
          </w:tcPr>
          <w:p w14:paraId="30731C39" w14:textId="2B369009" w:rsidR="00AA0691" w:rsidRPr="00E833A9" w:rsidRDefault="00765B54" w:rsidP="00765B54">
            <w:pPr>
              <w:tabs>
                <w:tab w:val="left" w:pos="284"/>
                <w:tab w:val="left" w:pos="709"/>
                <w:tab w:val="left" w:pos="851"/>
                <w:tab w:val="left" w:pos="1134"/>
              </w:tabs>
              <w:spacing w:line="288" w:lineRule="auto"/>
              <w:ind w:firstLine="0"/>
              <w:contextualSpacing/>
              <w:jc w:val="left"/>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E833A9">
              <w:rPr>
                <w:rFonts w:cstheme="minorHAnsi"/>
                <w:color w:val="auto"/>
                <w:szCs w:val="20"/>
              </w:rPr>
              <w:t>Czy opcja adaptacyjna może być modyfikowana, jeśli zmiany warunków klimatycznych będą różnić się od obecnie prognozowanych lub pojawią się nowe zagrożenia?</w:t>
            </w:r>
          </w:p>
        </w:tc>
      </w:tr>
      <w:tr w:rsidR="00AA0691" w:rsidRPr="00E833A9" w14:paraId="720416E3" w14:textId="77777777" w:rsidTr="009959C2">
        <w:trPr>
          <w:trHeight w:val="567"/>
          <w:jc w:val="center"/>
        </w:trPr>
        <w:tc>
          <w:tcPr>
            <w:cnfStyle w:val="001000000000" w:firstRow="0" w:lastRow="0" w:firstColumn="1" w:lastColumn="0" w:oddVBand="0" w:evenVBand="0" w:oddHBand="0" w:evenHBand="0" w:firstRowFirstColumn="0" w:firstRowLastColumn="0" w:lastRowFirstColumn="0" w:lastRowLastColumn="0"/>
            <w:tcW w:w="2093" w:type="dxa"/>
            <w:tcBorders>
              <w:left w:val="single" w:sz="18" w:space="0" w:color="4E5110" w:themeColor="accent3" w:themeShade="80"/>
            </w:tcBorders>
            <w:vAlign w:val="center"/>
          </w:tcPr>
          <w:p w14:paraId="725E21E4" w14:textId="59FAB209" w:rsidR="00AA0691" w:rsidRPr="00E833A9" w:rsidRDefault="00765B54" w:rsidP="00765B54">
            <w:pPr>
              <w:tabs>
                <w:tab w:val="left" w:pos="284"/>
                <w:tab w:val="left" w:pos="709"/>
                <w:tab w:val="left" w:pos="851"/>
                <w:tab w:val="left" w:pos="1134"/>
              </w:tabs>
              <w:spacing w:line="288" w:lineRule="auto"/>
              <w:ind w:firstLine="0"/>
              <w:contextualSpacing/>
              <w:jc w:val="center"/>
              <w:rPr>
                <w:rFonts w:asciiTheme="minorHAnsi" w:hAnsiTheme="minorHAnsi" w:cstheme="minorHAnsi"/>
                <w:color w:val="auto"/>
                <w:szCs w:val="20"/>
              </w:rPr>
            </w:pPr>
            <w:r w:rsidRPr="00E833A9">
              <w:rPr>
                <w:rFonts w:asciiTheme="minorHAnsi" w:hAnsiTheme="minorHAnsi" w:cstheme="minorHAnsi"/>
                <w:color w:val="auto"/>
                <w:szCs w:val="20"/>
              </w:rPr>
              <w:t>Skuteczność</w:t>
            </w:r>
          </w:p>
        </w:tc>
        <w:tc>
          <w:tcPr>
            <w:tcW w:w="7087" w:type="dxa"/>
            <w:tcBorders>
              <w:right w:val="single" w:sz="18" w:space="0" w:color="4E5110" w:themeColor="accent3" w:themeShade="80"/>
            </w:tcBorders>
            <w:vAlign w:val="center"/>
          </w:tcPr>
          <w:p w14:paraId="20470F75" w14:textId="2D15C755" w:rsidR="00AA0691" w:rsidRPr="00E833A9" w:rsidRDefault="00765B54" w:rsidP="00765B54">
            <w:pPr>
              <w:tabs>
                <w:tab w:val="left" w:pos="284"/>
                <w:tab w:val="left" w:pos="709"/>
                <w:tab w:val="left" w:pos="851"/>
                <w:tab w:val="left" w:pos="1134"/>
              </w:tabs>
              <w:spacing w:line="288" w:lineRule="auto"/>
              <w:ind w:firstLine="0"/>
              <w:contextualSpacing/>
              <w:jc w:val="left"/>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E833A9">
              <w:rPr>
                <w:rFonts w:cstheme="minorHAnsi"/>
                <w:color w:val="auto"/>
                <w:szCs w:val="20"/>
              </w:rPr>
              <w:t>Czy opcja adaptacyjna umożliwia redukcję ryzyka klimatycznego?</w:t>
            </w:r>
          </w:p>
        </w:tc>
      </w:tr>
      <w:tr w:rsidR="00AA0691" w:rsidRPr="00E833A9" w14:paraId="538AEB29" w14:textId="77777777" w:rsidTr="009959C2">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093" w:type="dxa"/>
            <w:tcBorders>
              <w:left w:val="single" w:sz="18" w:space="0" w:color="4E5110" w:themeColor="accent3" w:themeShade="80"/>
            </w:tcBorders>
            <w:vAlign w:val="center"/>
          </w:tcPr>
          <w:p w14:paraId="21EEEB24" w14:textId="36B7B601" w:rsidR="00AA0691" w:rsidRPr="00E833A9" w:rsidRDefault="00765B54" w:rsidP="00765B54">
            <w:pPr>
              <w:tabs>
                <w:tab w:val="left" w:pos="284"/>
                <w:tab w:val="left" w:pos="709"/>
                <w:tab w:val="left" w:pos="851"/>
                <w:tab w:val="left" w:pos="1134"/>
              </w:tabs>
              <w:spacing w:line="288" w:lineRule="auto"/>
              <w:ind w:firstLine="0"/>
              <w:contextualSpacing/>
              <w:jc w:val="center"/>
              <w:rPr>
                <w:rFonts w:asciiTheme="minorHAnsi" w:hAnsiTheme="minorHAnsi" w:cstheme="minorHAnsi"/>
                <w:color w:val="auto"/>
                <w:szCs w:val="20"/>
              </w:rPr>
            </w:pPr>
            <w:r w:rsidRPr="00E833A9">
              <w:rPr>
                <w:rFonts w:asciiTheme="minorHAnsi" w:hAnsiTheme="minorHAnsi" w:cstheme="minorHAnsi"/>
                <w:color w:val="auto"/>
                <w:szCs w:val="20"/>
              </w:rPr>
              <w:t>Operatywność</w:t>
            </w:r>
          </w:p>
        </w:tc>
        <w:tc>
          <w:tcPr>
            <w:tcW w:w="7087" w:type="dxa"/>
            <w:tcBorders>
              <w:right w:val="single" w:sz="18" w:space="0" w:color="4E5110" w:themeColor="accent3" w:themeShade="80"/>
            </w:tcBorders>
            <w:vAlign w:val="center"/>
          </w:tcPr>
          <w:p w14:paraId="65BF9479" w14:textId="3265E566" w:rsidR="00AA0691" w:rsidRPr="00E833A9" w:rsidRDefault="00765B54" w:rsidP="00765B54">
            <w:pPr>
              <w:tabs>
                <w:tab w:val="left" w:pos="284"/>
                <w:tab w:val="left" w:pos="709"/>
                <w:tab w:val="left" w:pos="851"/>
                <w:tab w:val="left" w:pos="1134"/>
              </w:tabs>
              <w:spacing w:line="288" w:lineRule="auto"/>
              <w:ind w:firstLine="0"/>
              <w:contextualSpacing/>
              <w:jc w:val="left"/>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E833A9">
              <w:rPr>
                <w:rFonts w:cstheme="minorHAnsi"/>
                <w:color w:val="auto"/>
                <w:szCs w:val="20"/>
              </w:rPr>
              <w:t>Czy opcja adaptacyjna umożliwia redukcję ryzyka związanego z wieloma zagrożeniami klimatycznymi?</w:t>
            </w:r>
          </w:p>
        </w:tc>
      </w:tr>
      <w:tr w:rsidR="00AA0691" w:rsidRPr="00E833A9" w14:paraId="3AE32180" w14:textId="77777777" w:rsidTr="009959C2">
        <w:trPr>
          <w:trHeight w:val="680"/>
          <w:jc w:val="center"/>
        </w:trPr>
        <w:tc>
          <w:tcPr>
            <w:cnfStyle w:val="001000000000" w:firstRow="0" w:lastRow="0" w:firstColumn="1" w:lastColumn="0" w:oddVBand="0" w:evenVBand="0" w:oddHBand="0" w:evenHBand="0" w:firstRowFirstColumn="0" w:firstRowLastColumn="0" w:lastRowFirstColumn="0" w:lastRowLastColumn="0"/>
            <w:tcW w:w="2093" w:type="dxa"/>
            <w:tcBorders>
              <w:left w:val="single" w:sz="18" w:space="0" w:color="4E5110" w:themeColor="accent3" w:themeShade="80"/>
            </w:tcBorders>
            <w:vAlign w:val="center"/>
          </w:tcPr>
          <w:p w14:paraId="01EF114C" w14:textId="632666FC" w:rsidR="00AA0691" w:rsidRPr="00E833A9" w:rsidRDefault="00765B54" w:rsidP="00765B54">
            <w:pPr>
              <w:tabs>
                <w:tab w:val="left" w:pos="284"/>
                <w:tab w:val="left" w:pos="709"/>
                <w:tab w:val="left" w:pos="851"/>
                <w:tab w:val="left" w:pos="1134"/>
              </w:tabs>
              <w:spacing w:line="288" w:lineRule="auto"/>
              <w:ind w:firstLine="0"/>
              <w:contextualSpacing/>
              <w:jc w:val="center"/>
              <w:rPr>
                <w:rFonts w:asciiTheme="minorHAnsi" w:hAnsiTheme="minorHAnsi" w:cstheme="minorHAnsi"/>
                <w:color w:val="auto"/>
                <w:szCs w:val="20"/>
              </w:rPr>
            </w:pPr>
            <w:r w:rsidRPr="00E833A9">
              <w:rPr>
                <w:rFonts w:asciiTheme="minorHAnsi" w:hAnsiTheme="minorHAnsi" w:cstheme="minorHAnsi"/>
                <w:color w:val="auto"/>
                <w:szCs w:val="20"/>
              </w:rPr>
              <w:t>Synergia (spójność z innymi celami)</w:t>
            </w:r>
          </w:p>
        </w:tc>
        <w:tc>
          <w:tcPr>
            <w:tcW w:w="7087" w:type="dxa"/>
            <w:tcBorders>
              <w:right w:val="single" w:sz="18" w:space="0" w:color="4E5110" w:themeColor="accent3" w:themeShade="80"/>
            </w:tcBorders>
            <w:vAlign w:val="center"/>
          </w:tcPr>
          <w:p w14:paraId="4B774D73" w14:textId="43FBFE1C" w:rsidR="00AA0691" w:rsidRPr="00E833A9" w:rsidRDefault="00765B54" w:rsidP="00765B54">
            <w:pPr>
              <w:tabs>
                <w:tab w:val="left" w:pos="284"/>
                <w:tab w:val="left" w:pos="709"/>
                <w:tab w:val="left" w:pos="851"/>
                <w:tab w:val="left" w:pos="1134"/>
              </w:tabs>
              <w:spacing w:line="288" w:lineRule="auto"/>
              <w:ind w:firstLine="0"/>
              <w:contextualSpacing/>
              <w:jc w:val="left"/>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E833A9">
              <w:rPr>
                <w:rFonts w:cstheme="minorHAnsi"/>
                <w:color w:val="auto"/>
                <w:szCs w:val="20"/>
              </w:rPr>
              <w:t>Czy opcja adaptacyjna przyczynia się do osiągnięcia innych celów polityki rozwoju miasta?</w:t>
            </w:r>
          </w:p>
        </w:tc>
      </w:tr>
      <w:tr w:rsidR="00AA0691" w:rsidRPr="00E833A9" w14:paraId="2A5DF603" w14:textId="77777777" w:rsidTr="009959C2">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093" w:type="dxa"/>
            <w:tcBorders>
              <w:left w:val="single" w:sz="18" w:space="0" w:color="4E5110" w:themeColor="accent3" w:themeShade="80"/>
            </w:tcBorders>
            <w:vAlign w:val="center"/>
          </w:tcPr>
          <w:p w14:paraId="036D555A" w14:textId="74DC888D" w:rsidR="00AA0691" w:rsidRPr="00E833A9" w:rsidRDefault="00765B54" w:rsidP="00765B54">
            <w:pPr>
              <w:tabs>
                <w:tab w:val="left" w:pos="284"/>
                <w:tab w:val="left" w:pos="709"/>
                <w:tab w:val="left" w:pos="851"/>
                <w:tab w:val="left" w:pos="1134"/>
              </w:tabs>
              <w:spacing w:line="288" w:lineRule="auto"/>
              <w:ind w:firstLine="0"/>
              <w:contextualSpacing/>
              <w:jc w:val="center"/>
              <w:rPr>
                <w:rFonts w:asciiTheme="minorHAnsi" w:hAnsiTheme="minorHAnsi" w:cstheme="minorHAnsi"/>
                <w:color w:val="auto"/>
                <w:szCs w:val="20"/>
              </w:rPr>
            </w:pPr>
            <w:r w:rsidRPr="00E833A9">
              <w:rPr>
                <w:rFonts w:asciiTheme="minorHAnsi" w:hAnsiTheme="minorHAnsi" w:cstheme="minorHAnsi"/>
                <w:color w:val="auto"/>
                <w:szCs w:val="20"/>
              </w:rPr>
              <w:t>Zrównoważenie</w:t>
            </w:r>
          </w:p>
        </w:tc>
        <w:tc>
          <w:tcPr>
            <w:tcW w:w="7087" w:type="dxa"/>
            <w:tcBorders>
              <w:right w:val="single" w:sz="18" w:space="0" w:color="4E5110" w:themeColor="accent3" w:themeShade="80"/>
            </w:tcBorders>
            <w:vAlign w:val="center"/>
          </w:tcPr>
          <w:p w14:paraId="1470118C" w14:textId="67A03527" w:rsidR="00AA0691" w:rsidRPr="00E833A9" w:rsidRDefault="00765B54" w:rsidP="00765B54">
            <w:pPr>
              <w:tabs>
                <w:tab w:val="left" w:pos="284"/>
                <w:tab w:val="left" w:pos="709"/>
                <w:tab w:val="left" w:pos="851"/>
                <w:tab w:val="left" w:pos="1134"/>
              </w:tabs>
              <w:spacing w:line="288" w:lineRule="auto"/>
              <w:ind w:firstLine="0"/>
              <w:contextualSpacing/>
              <w:jc w:val="left"/>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E833A9">
              <w:rPr>
                <w:rFonts w:cstheme="minorHAnsi"/>
                <w:color w:val="auto"/>
                <w:szCs w:val="20"/>
              </w:rPr>
              <w:t>Czy opcja adaptacyjna przyczynia się do zrównoważonego zarządzania zasobami środowiska, nie wpływa negatywnie na środowisko i nie przyczynia się do wzrostu emisji gazów cieplarnianych?</w:t>
            </w:r>
          </w:p>
        </w:tc>
      </w:tr>
      <w:tr w:rsidR="00AA0691" w:rsidRPr="00E833A9" w14:paraId="74C53962" w14:textId="77777777" w:rsidTr="009959C2">
        <w:trPr>
          <w:trHeight w:val="680"/>
          <w:jc w:val="center"/>
        </w:trPr>
        <w:tc>
          <w:tcPr>
            <w:cnfStyle w:val="001000000000" w:firstRow="0" w:lastRow="0" w:firstColumn="1" w:lastColumn="0" w:oddVBand="0" w:evenVBand="0" w:oddHBand="0" w:evenHBand="0" w:firstRowFirstColumn="0" w:firstRowLastColumn="0" w:lastRowFirstColumn="0" w:lastRowLastColumn="0"/>
            <w:tcW w:w="2093" w:type="dxa"/>
            <w:tcBorders>
              <w:left w:val="single" w:sz="18" w:space="0" w:color="4E5110" w:themeColor="accent3" w:themeShade="80"/>
            </w:tcBorders>
            <w:vAlign w:val="center"/>
          </w:tcPr>
          <w:p w14:paraId="7734E2AB" w14:textId="24953385" w:rsidR="00AA0691" w:rsidRPr="00E833A9" w:rsidRDefault="00765B54" w:rsidP="00765B54">
            <w:pPr>
              <w:tabs>
                <w:tab w:val="left" w:pos="284"/>
                <w:tab w:val="left" w:pos="709"/>
                <w:tab w:val="left" w:pos="851"/>
                <w:tab w:val="left" w:pos="1134"/>
              </w:tabs>
              <w:spacing w:line="288" w:lineRule="auto"/>
              <w:ind w:firstLine="0"/>
              <w:contextualSpacing/>
              <w:jc w:val="center"/>
              <w:rPr>
                <w:rFonts w:asciiTheme="minorHAnsi" w:hAnsiTheme="minorHAnsi" w:cstheme="minorHAnsi"/>
                <w:color w:val="auto"/>
                <w:szCs w:val="20"/>
              </w:rPr>
            </w:pPr>
            <w:r w:rsidRPr="00E833A9">
              <w:rPr>
                <w:rFonts w:asciiTheme="minorHAnsi" w:hAnsiTheme="minorHAnsi" w:cstheme="minorHAnsi"/>
                <w:color w:val="auto"/>
                <w:szCs w:val="20"/>
              </w:rPr>
              <w:t>Sprawiedliwość</w:t>
            </w:r>
          </w:p>
        </w:tc>
        <w:tc>
          <w:tcPr>
            <w:tcW w:w="7087" w:type="dxa"/>
            <w:tcBorders>
              <w:right w:val="single" w:sz="18" w:space="0" w:color="4E5110" w:themeColor="accent3" w:themeShade="80"/>
            </w:tcBorders>
            <w:vAlign w:val="center"/>
          </w:tcPr>
          <w:p w14:paraId="42E8B71A" w14:textId="6A5035CE" w:rsidR="00AA0691" w:rsidRPr="00E833A9" w:rsidRDefault="00765B54" w:rsidP="00765B54">
            <w:pPr>
              <w:tabs>
                <w:tab w:val="left" w:pos="284"/>
                <w:tab w:val="left" w:pos="709"/>
                <w:tab w:val="left" w:pos="851"/>
                <w:tab w:val="left" w:pos="1134"/>
              </w:tabs>
              <w:spacing w:line="288" w:lineRule="auto"/>
              <w:ind w:firstLine="0"/>
              <w:contextualSpacing/>
              <w:jc w:val="left"/>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E833A9">
              <w:rPr>
                <w:rFonts w:cstheme="minorHAnsi"/>
                <w:color w:val="auto"/>
                <w:szCs w:val="20"/>
              </w:rPr>
              <w:t>Czy opcja adaptacyjna przyniesie korzyści słabszym grupom społecznym i nie będzie mieć negatywnego wpływu na nie?</w:t>
            </w:r>
          </w:p>
        </w:tc>
      </w:tr>
      <w:tr w:rsidR="00AA0691" w:rsidRPr="00E833A9" w14:paraId="7C9643D4" w14:textId="77777777" w:rsidTr="009959C2">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093" w:type="dxa"/>
            <w:tcBorders>
              <w:left w:val="single" w:sz="18" w:space="0" w:color="4E5110" w:themeColor="accent3" w:themeShade="80"/>
            </w:tcBorders>
            <w:vAlign w:val="center"/>
          </w:tcPr>
          <w:p w14:paraId="6B626F68" w14:textId="5683E26A" w:rsidR="00AA0691" w:rsidRPr="00E833A9" w:rsidRDefault="00765B54" w:rsidP="00765B54">
            <w:pPr>
              <w:tabs>
                <w:tab w:val="left" w:pos="284"/>
                <w:tab w:val="left" w:pos="709"/>
                <w:tab w:val="left" w:pos="851"/>
                <w:tab w:val="left" w:pos="1134"/>
              </w:tabs>
              <w:spacing w:line="288" w:lineRule="auto"/>
              <w:ind w:firstLine="0"/>
              <w:contextualSpacing/>
              <w:jc w:val="center"/>
              <w:rPr>
                <w:rFonts w:asciiTheme="minorHAnsi" w:hAnsiTheme="minorHAnsi" w:cstheme="minorHAnsi"/>
                <w:color w:val="auto"/>
                <w:szCs w:val="20"/>
              </w:rPr>
            </w:pPr>
            <w:r w:rsidRPr="00E833A9">
              <w:rPr>
                <w:rFonts w:asciiTheme="minorHAnsi" w:hAnsiTheme="minorHAnsi" w:cstheme="minorHAnsi"/>
                <w:color w:val="auto"/>
                <w:szCs w:val="20"/>
              </w:rPr>
              <w:t>Akceptowalność</w:t>
            </w:r>
          </w:p>
        </w:tc>
        <w:tc>
          <w:tcPr>
            <w:tcW w:w="7087" w:type="dxa"/>
            <w:tcBorders>
              <w:right w:val="single" w:sz="18" w:space="0" w:color="4E5110" w:themeColor="accent3" w:themeShade="80"/>
            </w:tcBorders>
            <w:vAlign w:val="center"/>
          </w:tcPr>
          <w:p w14:paraId="3A58D2A8" w14:textId="3513D542" w:rsidR="00AA0691" w:rsidRPr="00E833A9" w:rsidRDefault="00765B54" w:rsidP="00765B54">
            <w:pPr>
              <w:tabs>
                <w:tab w:val="left" w:pos="284"/>
                <w:tab w:val="left" w:pos="709"/>
                <w:tab w:val="left" w:pos="851"/>
                <w:tab w:val="left" w:pos="1134"/>
              </w:tabs>
              <w:spacing w:line="288" w:lineRule="auto"/>
              <w:ind w:firstLine="0"/>
              <w:contextualSpacing/>
              <w:jc w:val="left"/>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E833A9">
              <w:rPr>
                <w:rFonts w:cstheme="minorHAnsi"/>
                <w:color w:val="auto"/>
                <w:szCs w:val="20"/>
              </w:rPr>
              <w:t>Czy rozwiązanie jest akceptowane przez zainteresowaną społeczność i decydentów?</w:t>
            </w:r>
          </w:p>
        </w:tc>
      </w:tr>
      <w:tr w:rsidR="00656AAF" w:rsidRPr="00E833A9" w14:paraId="0347F7C2" w14:textId="77777777" w:rsidTr="009959C2">
        <w:trPr>
          <w:trHeight w:val="567"/>
          <w:jc w:val="center"/>
        </w:trPr>
        <w:tc>
          <w:tcPr>
            <w:cnfStyle w:val="001000000000" w:firstRow="0" w:lastRow="0" w:firstColumn="1" w:lastColumn="0" w:oddVBand="0" w:evenVBand="0" w:oddHBand="0" w:evenHBand="0" w:firstRowFirstColumn="0" w:firstRowLastColumn="0" w:lastRowFirstColumn="0" w:lastRowLastColumn="0"/>
            <w:tcW w:w="2093" w:type="dxa"/>
            <w:tcBorders>
              <w:left w:val="single" w:sz="18" w:space="0" w:color="4E5110" w:themeColor="accent3" w:themeShade="80"/>
            </w:tcBorders>
            <w:vAlign w:val="center"/>
          </w:tcPr>
          <w:p w14:paraId="330A4A50" w14:textId="5AE4E5F2" w:rsidR="00656AAF" w:rsidRPr="00E833A9" w:rsidRDefault="00765B54" w:rsidP="00765B54">
            <w:pPr>
              <w:tabs>
                <w:tab w:val="left" w:pos="284"/>
                <w:tab w:val="left" w:pos="709"/>
                <w:tab w:val="left" w:pos="851"/>
                <w:tab w:val="left" w:pos="1134"/>
              </w:tabs>
              <w:spacing w:line="288" w:lineRule="auto"/>
              <w:ind w:firstLine="0"/>
              <w:contextualSpacing/>
              <w:jc w:val="center"/>
              <w:rPr>
                <w:rFonts w:asciiTheme="minorHAnsi" w:hAnsiTheme="minorHAnsi" w:cstheme="minorHAnsi"/>
                <w:color w:val="auto"/>
                <w:szCs w:val="20"/>
              </w:rPr>
            </w:pPr>
            <w:r w:rsidRPr="00E833A9">
              <w:rPr>
                <w:rFonts w:asciiTheme="minorHAnsi" w:hAnsiTheme="minorHAnsi" w:cstheme="minorHAnsi"/>
                <w:color w:val="auto"/>
                <w:szCs w:val="20"/>
              </w:rPr>
              <w:t>Pilność</w:t>
            </w:r>
          </w:p>
        </w:tc>
        <w:tc>
          <w:tcPr>
            <w:tcW w:w="7087" w:type="dxa"/>
            <w:tcBorders>
              <w:right w:val="single" w:sz="18" w:space="0" w:color="4E5110" w:themeColor="accent3" w:themeShade="80"/>
            </w:tcBorders>
            <w:vAlign w:val="center"/>
          </w:tcPr>
          <w:p w14:paraId="2CD1AF89" w14:textId="0D75936E" w:rsidR="00656AAF" w:rsidRPr="00E833A9" w:rsidRDefault="00765B54" w:rsidP="00765B54">
            <w:pPr>
              <w:tabs>
                <w:tab w:val="left" w:pos="284"/>
                <w:tab w:val="left" w:pos="709"/>
                <w:tab w:val="left" w:pos="851"/>
                <w:tab w:val="left" w:pos="1134"/>
              </w:tabs>
              <w:spacing w:line="288" w:lineRule="auto"/>
              <w:ind w:firstLine="0"/>
              <w:contextualSpacing/>
              <w:jc w:val="left"/>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E833A9">
              <w:rPr>
                <w:rFonts w:cstheme="minorHAnsi"/>
                <w:color w:val="auto"/>
                <w:szCs w:val="20"/>
              </w:rPr>
              <w:t>Czy opcja adaptacyjna musi zostać pilnie wdrożona?</w:t>
            </w:r>
          </w:p>
        </w:tc>
      </w:tr>
      <w:tr w:rsidR="00765B54" w:rsidRPr="00E833A9" w14:paraId="1A7BB71B" w14:textId="77777777" w:rsidTr="009959C2">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093" w:type="dxa"/>
            <w:tcBorders>
              <w:left w:val="single" w:sz="18" w:space="0" w:color="4E5110" w:themeColor="accent3" w:themeShade="80"/>
            </w:tcBorders>
            <w:vAlign w:val="center"/>
          </w:tcPr>
          <w:p w14:paraId="1C0BFC54" w14:textId="12E5FEE6" w:rsidR="00765B54" w:rsidRPr="00E833A9" w:rsidRDefault="00765B54" w:rsidP="00765B54">
            <w:pPr>
              <w:tabs>
                <w:tab w:val="left" w:pos="284"/>
                <w:tab w:val="left" w:pos="709"/>
                <w:tab w:val="left" w:pos="851"/>
                <w:tab w:val="left" w:pos="1134"/>
              </w:tabs>
              <w:spacing w:line="288" w:lineRule="auto"/>
              <w:ind w:firstLine="0"/>
              <w:contextualSpacing/>
              <w:jc w:val="center"/>
              <w:rPr>
                <w:rFonts w:asciiTheme="minorHAnsi" w:hAnsiTheme="minorHAnsi" w:cstheme="minorHAnsi"/>
                <w:color w:val="auto"/>
                <w:szCs w:val="20"/>
              </w:rPr>
            </w:pPr>
            <w:r w:rsidRPr="00E833A9">
              <w:rPr>
                <w:rFonts w:asciiTheme="minorHAnsi" w:hAnsiTheme="minorHAnsi" w:cstheme="minorHAnsi"/>
                <w:color w:val="auto"/>
                <w:szCs w:val="20"/>
              </w:rPr>
              <w:t>Czas (okres realizacji)</w:t>
            </w:r>
          </w:p>
        </w:tc>
        <w:tc>
          <w:tcPr>
            <w:tcW w:w="7087" w:type="dxa"/>
            <w:tcBorders>
              <w:right w:val="single" w:sz="18" w:space="0" w:color="4E5110" w:themeColor="accent3" w:themeShade="80"/>
            </w:tcBorders>
            <w:vAlign w:val="center"/>
          </w:tcPr>
          <w:p w14:paraId="12DBEF65" w14:textId="56694E45" w:rsidR="00765B54" w:rsidRPr="00E833A9" w:rsidRDefault="00765B54" w:rsidP="00765B54">
            <w:pPr>
              <w:tabs>
                <w:tab w:val="left" w:pos="284"/>
                <w:tab w:val="left" w:pos="709"/>
                <w:tab w:val="left" w:pos="851"/>
                <w:tab w:val="left" w:pos="1134"/>
              </w:tabs>
              <w:spacing w:line="288" w:lineRule="auto"/>
              <w:ind w:firstLine="0"/>
              <w:contextualSpacing/>
              <w:jc w:val="left"/>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E833A9">
              <w:rPr>
                <w:rFonts w:cstheme="minorHAnsi"/>
                <w:color w:val="auto"/>
                <w:szCs w:val="20"/>
              </w:rPr>
              <w:t>Czy opcja adaptacyjna może zostać faktycznie wdrożona i w jakich ramach czasowych?</w:t>
            </w:r>
          </w:p>
        </w:tc>
      </w:tr>
      <w:tr w:rsidR="00765B54" w:rsidRPr="00E833A9" w14:paraId="3299C26A" w14:textId="77777777" w:rsidTr="009959C2">
        <w:trPr>
          <w:trHeight w:val="680"/>
          <w:jc w:val="center"/>
        </w:trPr>
        <w:tc>
          <w:tcPr>
            <w:cnfStyle w:val="001000000000" w:firstRow="0" w:lastRow="0" w:firstColumn="1" w:lastColumn="0" w:oddVBand="0" w:evenVBand="0" w:oddHBand="0" w:evenHBand="0" w:firstRowFirstColumn="0" w:firstRowLastColumn="0" w:lastRowFirstColumn="0" w:lastRowLastColumn="0"/>
            <w:tcW w:w="2093" w:type="dxa"/>
            <w:tcBorders>
              <w:left w:val="single" w:sz="18" w:space="0" w:color="4E5110" w:themeColor="accent3" w:themeShade="80"/>
              <w:bottom w:val="single" w:sz="18" w:space="0" w:color="4E5110" w:themeColor="accent3" w:themeShade="80"/>
            </w:tcBorders>
            <w:vAlign w:val="center"/>
          </w:tcPr>
          <w:p w14:paraId="4EA46727" w14:textId="370BFF10" w:rsidR="00765B54" w:rsidRPr="00E833A9" w:rsidRDefault="00765B54" w:rsidP="00765B54">
            <w:pPr>
              <w:tabs>
                <w:tab w:val="left" w:pos="284"/>
                <w:tab w:val="left" w:pos="709"/>
                <w:tab w:val="left" w:pos="851"/>
                <w:tab w:val="left" w:pos="1134"/>
              </w:tabs>
              <w:spacing w:line="288" w:lineRule="auto"/>
              <w:ind w:firstLine="0"/>
              <w:contextualSpacing/>
              <w:jc w:val="center"/>
              <w:rPr>
                <w:rFonts w:asciiTheme="minorHAnsi" w:hAnsiTheme="minorHAnsi" w:cstheme="minorHAnsi"/>
                <w:color w:val="auto"/>
                <w:szCs w:val="20"/>
              </w:rPr>
            </w:pPr>
            <w:r w:rsidRPr="00E833A9">
              <w:rPr>
                <w:rFonts w:asciiTheme="minorHAnsi" w:hAnsiTheme="minorHAnsi" w:cstheme="minorHAnsi"/>
                <w:color w:val="auto"/>
                <w:szCs w:val="20"/>
              </w:rPr>
              <w:t>Koszt</w:t>
            </w:r>
          </w:p>
        </w:tc>
        <w:tc>
          <w:tcPr>
            <w:tcW w:w="7087" w:type="dxa"/>
            <w:tcBorders>
              <w:bottom w:val="single" w:sz="18" w:space="0" w:color="4E5110" w:themeColor="accent3" w:themeShade="80"/>
              <w:right w:val="single" w:sz="18" w:space="0" w:color="4E5110" w:themeColor="accent3" w:themeShade="80"/>
            </w:tcBorders>
            <w:vAlign w:val="center"/>
          </w:tcPr>
          <w:p w14:paraId="14163271" w14:textId="30811B9B" w:rsidR="00765B54" w:rsidRPr="00E833A9" w:rsidRDefault="00765B54" w:rsidP="00765B54">
            <w:pPr>
              <w:tabs>
                <w:tab w:val="left" w:pos="284"/>
                <w:tab w:val="left" w:pos="709"/>
                <w:tab w:val="left" w:pos="851"/>
                <w:tab w:val="left" w:pos="1134"/>
              </w:tabs>
              <w:spacing w:line="288" w:lineRule="auto"/>
              <w:ind w:firstLine="0"/>
              <w:contextualSpacing/>
              <w:jc w:val="left"/>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E833A9">
              <w:rPr>
                <w:rFonts w:cstheme="minorHAnsi"/>
                <w:color w:val="auto"/>
                <w:szCs w:val="20"/>
              </w:rPr>
              <w:t>Czy opcja adaptacyjna może zostać realnie wdrożona, uwzględniając koszty społeczne, środowiskowe i finansowe?</w:t>
            </w:r>
          </w:p>
        </w:tc>
      </w:tr>
    </w:tbl>
    <w:bookmarkEnd w:id="252"/>
    <w:p w14:paraId="71546351" w14:textId="3ADD286D" w:rsidR="00D61656" w:rsidRPr="00655FC7" w:rsidRDefault="00E833A9" w:rsidP="009959C2">
      <w:pPr>
        <w:pStyle w:val="Cytat"/>
      </w:pPr>
      <w:r>
        <w:t>Ź</w:t>
      </w:r>
      <w:r w:rsidR="00027286" w:rsidRPr="00E833A9">
        <w:t>ródło: Podręcznik Adaptacji do zmian klimatu</w:t>
      </w:r>
      <w:r w:rsidR="00F7299F" w:rsidRPr="00E833A9">
        <w:t xml:space="preserve"> Aktualizacja 2023</w:t>
      </w:r>
      <w:r w:rsidR="00027286" w:rsidRPr="00E833A9">
        <w:t>, opracowanie własne</w:t>
      </w:r>
    </w:p>
    <w:p w14:paraId="54A4F839" w14:textId="77777777" w:rsidR="00DE1277" w:rsidRPr="00655FC7" w:rsidRDefault="00DE1277" w:rsidP="00656AAF">
      <w:pPr>
        <w:tabs>
          <w:tab w:val="left" w:pos="284"/>
          <w:tab w:val="left" w:pos="709"/>
          <w:tab w:val="left" w:pos="851"/>
          <w:tab w:val="left" w:pos="1134"/>
        </w:tabs>
        <w:spacing w:line="288" w:lineRule="auto"/>
        <w:contextualSpacing/>
        <w:rPr>
          <w:rFonts w:cstheme="minorHAnsi"/>
          <w:color w:val="auto"/>
        </w:rPr>
      </w:pPr>
    </w:p>
    <w:p w14:paraId="086F9F95" w14:textId="77777777" w:rsidR="006450DE" w:rsidRDefault="006450DE">
      <w:pPr>
        <w:spacing w:after="200"/>
        <w:ind w:firstLine="0"/>
        <w:jc w:val="left"/>
        <w:rPr>
          <w:rFonts w:cstheme="minorHAnsi"/>
          <w:color w:val="auto"/>
        </w:rPr>
      </w:pPr>
      <w:r>
        <w:rPr>
          <w:rFonts w:cstheme="minorHAnsi"/>
          <w:color w:val="auto"/>
        </w:rPr>
        <w:br w:type="page"/>
      </w:r>
    </w:p>
    <w:p w14:paraId="1B80B1F8" w14:textId="4232734D" w:rsidR="006450DE" w:rsidRPr="006450DE" w:rsidRDefault="006450DE" w:rsidP="006450DE">
      <w:pPr>
        <w:shd w:val="clear" w:color="auto" w:fill="F1F2E0" w:themeFill="accent2" w:themeFillTint="33"/>
        <w:ind w:firstLine="0"/>
        <w:jc w:val="center"/>
        <w:rPr>
          <w:rFonts w:ascii="Calibri" w:hAnsi="Calibri" w:cs="Calibri"/>
          <w:b/>
          <w:bCs/>
          <w:color w:val="4E5110" w:themeColor="accent3" w:themeShade="80"/>
          <w:sz w:val="28"/>
          <w:szCs w:val="28"/>
        </w:rPr>
      </w:pPr>
      <w:r w:rsidRPr="006A00CA">
        <w:rPr>
          <w:rFonts w:ascii="Calibri" w:hAnsi="Calibri" w:cs="Calibri"/>
          <w:b/>
          <w:bCs/>
          <w:color w:val="4E5110" w:themeColor="accent3" w:themeShade="80"/>
          <w:sz w:val="32"/>
          <w:szCs w:val="32"/>
        </w:rPr>
        <w:lastRenderedPageBreak/>
        <w:t xml:space="preserve">W ramach przeprowadzonych prac wybrano następujące </w:t>
      </w:r>
      <w:r w:rsidR="006A00CA" w:rsidRPr="006A00CA">
        <w:rPr>
          <w:rFonts w:ascii="Calibri" w:hAnsi="Calibri" w:cs="Calibri"/>
          <w:b/>
          <w:bCs/>
          <w:color w:val="4E5110" w:themeColor="accent3" w:themeShade="80"/>
          <w:sz w:val="32"/>
          <w:szCs w:val="32"/>
        </w:rPr>
        <w:t>obszar</w:t>
      </w:r>
      <w:r w:rsidR="0099497A">
        <w:rPr>
          <w:rFonts w:ascii="Calibri" w:hAnsi="Calibri" w:cs="Calibri"/>
          <w:b/>
          <w:bCs/>
          <w:color w:val="4E5110" w:themeColor="accent3" w:themeShade="80"/>
          <w:sz w:val="32"/>
          <w:szCs w:val="32"/>
        </w:rPr>
        <w:t>y</w:t>
      </w:r>
      <w:r w:rsidRPr="006A00CA">
        <w:rPr>
          <w:rFonts w:ascii="Calibri" w:hAnsi="Calibri" w:cs="Calibri"/>
          <w:b/>
          <w:bCs/>
          <w:color w:val="4E5110" w:themeColor="accent3" w:themeShade="80"/>
          <w:sz w:val="32"/>
          <w:szCs w:val="32"/>
        </w:rPr>
        <w:t xml:space="preserve"> działań adaptacyjnych:</w:t>
      </w:r>
    </w:p>
    <w:p w14:paraId="333830B7" w14:textId="77777777" w:rsidR="006450DE" w:rsidRPr="006450DE" w:rsidRDefault="006450DE" w:rsidP="006450DE">
      <w:pPr>
        <w:tabs>
          <w:tab w:val="left" w:pos="284"/>
          <w:tab w:val="left" w:pos="709"/>
          <w:tab w:val="left" w:pos="851"/>
          <w:tab w:val="left" w:pos="1134"/>
        </w:tabs>
        <w:spacing w:line="288" w:lineRule="auto"/>
        <w:rPr>
          <w:rFonts w:ascii="Calibri" w:eastAsia="Calibri" w:hAnsi="Calibri" w:cs="Calibri"/>
          <w:color w:val="auto"/>
        </w:rPr>
      </w:pPr>
    </w:p>
    <w:tbl>
      <w:tblPr>
        <w:tblStyle w:val="Tabela-Siatka25"/>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1"/>
        <w:gridCol w:w="7139"/>
      </w:tblGrid>
      <w:tr w:rsidR="006450DE" w:rsidRPr="006450DE" w14:paraId="53884F4B" w14:textId="77777777" w:rsidTr="006450DE">
        <w:trPr>
          <w:trHeight w:val="1871"/>
        </w:trPr>
        <w:tc>
          <w:tcPr>
            <w:tcW w:w="1871" w:type="dxa"/>
            <w:vAlign w:val="center"/>
            <w:hideMark/>
          </w:tcPr>
          <w:p w14:paraId="0DB1B59C" w14:textId="77777777" w:rsidR="006450DE" w:rsidRPr="006450DE" w:rsidRDefault="006450DE" w:rsidP="006450DE">
            <w:pPr>
              <w:tabs>
                <w:tab w:val="left" w:pos="284"/>
                <w:tab w:val="left" w:pos="709"/>
                <w:tab w:val="left" w:pos="851"/>
                <w:tab w:val="left" w:pos="1134"/>
              </w:tabs>
              <w:spacing w:line="288" w:lineRule="auto"/>
              <w:ind w:firstLine="0"/>
              <w:jc w:val="center"/>
              <w:rPr>
                <w:rFonts w:cs="Calibri"/>
                <w:b/>
                <w:bCs/>
                <w:color w:val="3C491E" w:themeColor="accent5" w:themeShade="40"/>
                <w:sz w:val="44"/>
                <w:szCs w:val="44"/>
              </w:rPr>
            </w:pPr>
            <w:r w:rsidRPr="006450DE">
              <w:rPr>
                <w:rFonts w:cs="Calibri"/>
                <w:b/>
                <w:noProof/>
                <w:color w:val="3C491E" w:themeColor="accent5" w:themeShade="40"/>
                <w:sz w:val="44"/>
                <w:szCs w:val="44"/>
              </w:rPr>
              <w:drawing>
                <wp:inline distT="0" distB="0" distL="0" distR="0" wp14:anchorId="55DB7155" wp14:editId="2426D894">
                  <wp:extent cx="914400" cy="914400"/>
                  <wp:effectExtent l="0" t="0" r="0" b="0"/>
                  <wp:docPr id="13" name="Grafika 61" descr="Znaczek 1 kontur"/>
                  <wp:cNvGraphicFramePr/>
                  <a:graphic xmlns:a="http://schemas.openxmlformats.org/drawingml/2006/main">
                    <a:graphicData uri="http://schemas.openxmlformats.org/drawingml/2006/picture">
                      <pic:pic xmlns:pic="http://schemas.openxmlformats.org/drawingml/2006/picture">
                        <pic:nvPicPr>
                          <pic:cNvPr id="738992306" name="Grafika 61" descr="Znaczek 1 kontur"/>
                          <pic:cNvPicPr>
                            <a:picLocks noChangeAspect="1"/>
                          </pic:cNvPicPr>
                        </pic:nvPicPr>
                        <pic:blipFill>
                          <a:blip r:embed="rId159">
                            <a:extLst>
                              <a:ext uri="{96DAC541-7B7A-43D3-8B79-37D633B846F1}">
                                <asvg:svgBlip xmlns:asvg="http://schemas.microsoft.com/office/drawing/2016/SVG/main" r:embed="rId160"/>
                              </a:ext>
                            </a:extLst>
                          </a:blip>
                          <a:stretch>
                            <a:fillRect/>
                          </a:stretch>
                        </pic:blipFill>
                        <pic:spPr>
                          <a:xfrm>
                            <a:off x="0" y="0"/>
                            <a:ext cx="914400" cy="914400"/>
                          </a:xfrm>
                          <a:prstGeom prst="rect">
                            <a:avLst/>
                          </a:prstGeom>
                        </pic:spPr>
                      </pic:pic>
                    </a:graphicData>
                  </a:graphic>
                </wp:inline>
              </w:drawing>
            </w:r>
          </w:p>
        </w:tc>
        <w:tc>
          <w:tcPr>
            <w:tcW w:w="7139" w:type="dxa"/>
            <w:vAlign w:val="center"/>
            <w:hideMark/>
          </w:tcPr>
          <w:p w14:paraId="7590EAB0" w14:textId="6908DF10" w:rsidR="006450DE" w:rsidRPr="006A00CA" w:rsidRDefault="006A00CA" w:rsidP="006450DE">
            <w:pPr>
              <w:tabs>
                <w:tab w:val="left" w:pos="284"/>
                <w:tab w:val="left" w:pos="709"/>
                <w:tab w:val="left" w:pos="851"/>
                <w:tab w:val="left" w:pos="1134"/>
              </w:tabs>
              <w:spacing w:line="288" w:lineRule="auto"/>
              <w:ind w:firstLine="0"/>
              <w:rPr>
                <w:rFonts w:cs="Calibri"/>
                <w:color w:val="auto"/>
                <w:sz w:val="28"/>
                <w:szCs w:val="28"/>
              </w:rPr>
            </w:pPr>
            <w:r w:rsidRPr="006A00CA">
              <w:rPr>
                <w:rFonts w:cs="Calibri"/>
                <w:b/>
                <w:bCs/>
                <w:sz w:val="28"/>
                <w:szCs w:val="28"/>
              </w:rPr>
              <w:t>ZIELEŃ</w:t>
            </w:r>
            <w:r w:rsidRPr="006A00CA">
              <w:rPr>
                <w:rFonts w:cs="Calibri"/>
                <w:sz w:val="28"/>
                <w:szCs w:val="28"/>
              </w:rPr>
              <w:t>: rozwój i ochrona terenów zielonych i drzew, zapewnienie odpowiedniego rozwoju ekosystemów</w:t>
            </w:r>
          </w:p>
        </w:tc>
      </w:tr>
      <w:tr w:rsidR="006450DE" w:rsidRPr="006450DE" w14:paraId="51D9B041" w14:textId="77777777" w:rsidTr="006450DE">
        <w:trPr>
          <w:trHeight w:val="1871"/>
        </w:trPr>
        <w:tc>
          <w:tcPr>
            <w:tcW w:w="1871" w:type="dxa"/>
            <w:vAlign w:val="center"/>
            <w:hideMark/>
          </w:tcPr>
          <w:p w14:paraId="2F56E150" w14:textId="77777777" w:rsidR="006450DE" w:rsidRPr="006450DE" w:rsidRDefault="006450DE" w:rsidP="006450DE">
            <w:pPr>
              <w:tabs>
                <w:tab w:val="left" w:pos="284"/>
                <w:tab w:val="left" w:pos="709"/>
                <w:tab w:val="left" w:pos="851"/>
                <w:tab w:val="left" w:pos="1134"/>
              </w:tabs>
              <w:spacing w:line="288" w:lineRule="auto"/>
              <w:ind w:firstLine="0"/>
              <w:jc w:val="center"/>
              <w:rPr>
                <w:rFonts w:cs="Calibri"/>
                <w:b/>
                <w:bCs/>
                <w:color w:val="3C491E" w:themeColor="accent5" w:themeShade="40"/>
                <w:sz w:val="44"/>
                <w:szCs w:val="44"/>
              </w:rPr>
            </w:pPr>
            <w:r w:rsidRPr="006450DE">
              <w:rPr>
                <w:rFonts w:cs="Calibri"/>
                <w:b/>
                <w:noProof/>
                <w:color w:val="3C491E" w:themeColor="accent5" w:themeShade="40"/>
                <w:sz w:val="44"/>
                <w:szCs w:val="44"/>
              </w:rPr>
              <w:drawing>
                <wp:inline distT="0" distB="0" distL="0" distR="0" wp14:anchorId="7B762FBE" wp14:editId="76F1A1F4">
                  <wp:extent cx="914400" cy="914400"/>
                  <wp:effectExtent l="0" t="0" r="0" b="0"/>
                  <wp:docPr id="14" name="Grafika 62" descr="Znaczek kontur"/>
                  <wp:cNvGraphicFramePr/>
                  <a:graphic xmlns:a="http://schemas.openxmlformats.org/drawingml/2006/main">
                    <a:graphicData uri="http://schemas.openxmlformats.org/drawingml/2006/picture">
                      <pic:pic xmlns:pic="http://schemas.openxmlformats.org/drawingml/2006/picture">
                        <pic:nvPicPr>
                          <pic:cNvPr id="1397156487" name="Grafika 62" descr="Znaczek kontur"/>
                          <pic:cNvPicPr>
                            <a:picLocks noChangeAspect="1"/>
                          </pic:cNvPicPr>
                        </pic:nvPicPr>
                        <pic:blipFill>
                          <a:blip r:embed="rId161">
                            <a:extLst>
                              <a:ext uri="{96DAC541-7B7A-43D3-8B79-37D633B846F1}">
                                <asvg:svgBlip xmlns:asvg="http://schemas.microsoft.com/office/drawing/2016/SVG/main" r:embed="rId162"/>
                              </a:ext>
                            </a:extLst>
                          </a:blip>
                          <a:stretch>
                            <a:fillRect/>
                          </a:stretch>
                        </pic:blipFill>
                        <pic:spPr>
                          <a:xfrm>
                            <a:off x="0" y="0"/>
                            <a:ext cx="914400" cy="914400"/>
                          </a:xfrm>
                          <a:prstGeom prst="rect">
                            <a:avLst/>
                          </a:prstGeom>
                        </pic:spPr>
                      </pic:pic>
                    </a:graphicData>
                  </a:graphic>
                </wp:inline>
              </w:drawing>
            </w:r>
          </w:p>
        </w:tc>
        <w:tc>
          <w:tcPr>
            <w:tcW w:w="7139" w:type="dxa"/>
            <w:vAlign w:val="center"/>
            <w:hideMark/>
          </w:tcPr>
          <w:p w14:paraId="330E9793" w14:textId="083563BE" w:rsidR="006450DE" w:rsidRPr="006A00CA" w:rsidRDefault="006A00CA" w:rsidP="006450DE">
            <w:pPr>
              <w:tabs>
                <w:tab w:val="left" w:pos="284"/>
                <w:tab w:val="left" w:pos="709"/>
                <w:tab w:val="left" w:pos="851"/>
                <w:tab w:val="left" w:pos="1134"/>
              </w:tabs>
              <w:spacing w:line="288" w:lineRule="auto"/>
              <w:ind w:firstLine="0"/>
              <w:rPr>
                <w:rFonts w:cs="Calibri"/>
                <w:color w:val="auto"/>
                <w:sz w:val="28"/>
                <w:szCs w:val="28"/>
              </w:rPr>
            </w:pPr>
            <w:r w:rsidRPr="006A00CA">
              <w:rPr>
                <w:b/>
                <w:bCs/>
                <w:sz w:val="28"/>
                <w:szCs w:val="28"/>
              </w:rPr>
              <w:t>RETENCJA</w:t>
            </w:r>
            <w:r w:rsidRPr="006A00CA">
              <w:rPr>
                <w:sz w:val="28"/>
                <w:szCs w:val="28"/>
              </w:rPr>
              <w:t>: budowa obiektów retencyjnych i wsparcie małej retencji, ograniczenie zużycia wody</w:t>
            </w:r>
          </w:p>
        </w:tc>
      </w:tr>
      <w:tr w:rsidR="006450DE" w:rsidRPr="006450DE" w14:paraId="09E6385F" w14:textId="77777777" w:rsidTr="006450DE">
        <w:trPr>
          <w:trHeight w:val="1871"/>
        </w:trPr>
        <w:tc>
          <w:tcPr>
            <w:tcW w:w="1871" w:type="dxa"/>
            <w:vAlign w:val="center"/>
            <w:hideMark/>
          </w:tcPr>
          <w:p w14:paraId="274B7CE4" w14:textId="77777777" w:rsidR="006450DE" w:rsidRPr="006450DE" w:rsidRDefault="006450DE" w:rsidP="006450DE">
            <w:pPr>
              <w:tabs>
                <w:tab w:val="left" w:pos="284"/>
                <w:tab w:val="left" w:pos="709"/>
                <w:tab w:val="left" w:pos="851"/>
                <w:tab w:val="left" w:pos="1134"/>
              </w:tabs>
              <w:spacing w:line="288" w:lineRule="auto"/>
              <w:ind w:firstLine="0"/>
              <w:jc w:val="center"/>
              <w:rPr>
                <w:rFonts w:cs="Calibri"/>
                <w:b/>
                <w:bCs/>
                <w:color w:val="3C491E" w:themeColor="accent5" w:themeShade="40"/>
                <w:sz w:val="44"/>
                <w:szCs w:val="44"/>
              </w:rPr>
            </w:pPr>
            <w:r w:rsidRPr="006450DE">
              <w:rPr>
                <w:rFonts w:cs="Calibri"/>
                <w:b/>
                <w:noProof/>
                <w:color w:val="3C491E" w:themeColor="accent5" w:themeShade="40"/>
                <w:sz w:val="44"/>
                <w:szCs w:val="44"/>
              </w:rPr>
              <w:drawing>
                <wp:inline distT="0" distB="0" distL="0" distR="0" wp14:anchorId="63D3B0A5" wp14:editId="3861C7A8">
                  <wp:extent cx="914400" cy="914400"/>
                  <wp:effectExtent l="0" t="0" r="0" b="0"/>
                  <wp:docPr id="15" name="Grafika 63" descr="Znaczek 3 kontur"/>
                  <wp:cNvGraphicFramePr/>
                  <a:graphic xmlns:a="http://schemas.openxmlformats.org/drawingml/2006/main">
                    <a:graphicData uri="http://schemas.openxmlformats.org/drawingml/2006/picture">
                      <pic:pic xmlns:pic="http://schemas.openxmlformats.org/drawingml/2006/picture">
                        <pic:nvPicPr>
                          <pic:cNvPr id="291653422" name="Grafika 63" descr="Znaczek 3 kontur"/>
                          <pic:cNvPicPr>
                            <a:picLocks noChangeAspect="1"/>
                          </pic:cNvPicPr>
                        </pic:nvPicPr>
                        <pic:blipFill>
                          <a:blip r:embed="rId163">
                            <a:extLst>
                              <a:ext uri="{96DAC541-7B7A-43D3-8B79-37D633B846F1}">
                                <asvg:svgBlip xmlns:asvg="http://schemas.microsoft.com/office/drawing/2016/SVG/main" r:embed="rId164"/>
                              </a:ext>
                            </a:extLst>
                          </a:blip>
                          <a:stretch>
                            <a:fillRect/>
                          </a:stretch>
                        </pic:blipFill>
                        <pic:spPr>
                          <a:xfrm>
                            <a:off x="0" y="0"/>
                            <a:ext cx="914400" cy="914400"/>
                          </a:xfrm>
                          <a:prstGeom prst="rect">
                            <a:avLst/>
                          </a:prstGeom>
                        </pic:spPr>
                      </pic:pic>
                    </a:graphicData>
                  </a:graphic>
                </wp:inline>
              </w:drawing>
            </w:r>
          </w:p>
        </w:tc>
        <w:tc>
          <w:tcPr>
            <w:tcW w:w="7139" w:type="dxa"/>
            <w:vAlign w:val="center"/>
            <w:hideMark/>
          </w:tcPr>
          <w:p w14:paraId="1602F10D" w14:textId="5FC10CA1" w:rsidR="006450DE" w:rsidRPr="006A00CA" w:rsidRDefault="006A00CA" w:rsidP="006450DE">
            <w:pPr>
              <w:tabs>
                <w:tab w:val="left" w:pos="284"/>
                <w:tab w:val="left" w:pos="709"/>
                <w:tab w:val="left" w:pos="851"/>
                <w:tab w:val="left" w:pos="1134"/>
              </w:tabs>
              <w:spacing w:line="288" w:lineRule="auto"/>
              <w:ind w:firstLine="0"/>
              <w:rPr>
                <w:rFonts w:cs="Calibri"/>
                <w:color w:val="auto"/>
                <w:sz w:val="28"/>
                <w:szCs w:val="28"/>
              </w:rPr>
            </w:pPr>
            <w:r w:rsidRPr="006A00CA">
              <w:rPr>
                <w:b/>
                <w:bCs/>
                <w:sz w:val="28"/>
                <w:szCs w:val="28"/>
              </w:rPr>
              <w:t>TRANSPORT</w:t>
            </w:r>
            <w:r w:rsidRPr="006A00CA">
              <w:rPr>
                <w:sz w:val="28"/>
                <w:szCs w:val="28"/>
              </w:rPr>
              <w:t>: rozwój i promocja transportu publicznego i rowerowego, ograniczenie wpływu ruchu samochodowego</w:t>
            </w:r>
          </w:p>
        </w:tc>
      </w:tr>
      <w:tr w:rsidR="006450DE" w:rsidRPr="006450DE" w14:paraId="5A46B196" w14:textId="77777777" w:rsidTr="006450DE">
        <w:trPr>
          <w:trHeight w:val="1871"/>
        </w:trPr>
        <w:tc>
          <w:tcPr>
            <w:tcW w:w="1871" w:type="dxa"/>
            <w:vAlign w:val="center"/>
            <w:hideMark/>
          </w:tcPr>
          <w:p w14:paraId="600D5446" w14:textId="77777777" w:rsidR="006450DE" w:rsidRPr="006450DE" w:rsidRDefault="006450DE" w:rsidP="006450DE">
            <w:pPr>
              <w:tabs>
                <w:tab w:val="left" w:pos="284"/>
                <w:tab w:val="left" w:pos="709"/>
                <w:tab w:val="left" w:pos="851"/>
                <w:tab w:val="left" w:pos="1134"/>
              </w:tabs>
              <w:spacing w:line="288" w:lineRule="auto"/>
              <w:ind w:firstLine="0"/>
              <w:jc w:val="center"/>
              <w:rPr>
                <w:rFonts w:cs="Calibri"/>
                <w:b/>
                <w:bCs/>
                <w:color w:val="3C491E" w:themeColor="accent5" w:themeShade="40"/>
                <w:sz w:val="44"/>
                <w:szCs w:val="44"/>
              </w:rPr>
            </w:pPr>
            <w:r w:rsidRPr="006450DE">
              <w:rPr>
                <w:rFonts w:cs="Calibri"/>
                <w:b/>
                <w:noProof/>
                <w:color w:val="3C491E" w:themeColor="accent5" w:themeShade="40"/>
                <w:sz w:val="44"/>
                <w:szCs w:val="44"/>
              </w:rPr>
              <w:drawing>
                <wp:inline distT="0" distB="0" distL="0" distR="0" wp14:anchorId="07637C7A" wp14:editId="4C20F1E2">
                  <wp:extent cx="914400" cy="914400"/>
                  <wp:effectExtent l="0" t="0" r="0" b="0"/>
                  <wp:docPr id="16" name="Grafika 64" descr="Znaczek 4 kontur"/>
                  <wp:cNvGraphicFramePr/>
                  <a:graphic xmlns:a="http://schemas.openxmlformats.org/drawingml/2006/main">
                    <a:graphicData uri="http://schemas.openxmlformats.org/drawingml/2006/picture">
                      <pic:pic xmlns:pic="http://schemas.openxmlformats.org/drawingml/2006/picture">
                        <pic:nvPicPr>
                          <pic:cNvPr id="1563126399" name="Grafika 64" descr="Znaczek 4 kontur"/>
                          <pic:cNvPicPr>
                            <a:picLocks noChangeAspect="1"/>
                          </pic:cNvPicPr>
                        </pic:nvPicPr>
                        <pic:blipFill>
                          <a:blip r:embed="rId165">
                            <a:extLst>
                              <a:ext uri="{96DAC541-7B7A-43D3-8B79-37D633B846F1}">
                                <asvg:svgBlip xmlns:asvg="http://schemas.microsoft.com/office/drawing/2016/SVG/main" r:embed="rId166"/>
                              </a:ext>
                            </a:extLst>
                          </a:blip>
                          <a:stretch>
                            <a:fillRect/>
                          </a:stretch>
                        </pic:blipFill>
                        <pic:spPr>
                          <a:xfrm>
                            <a:off x="0" y="0"/>
                            <a:ext cx="914400" cy="914400"/>
                          </a:xfrm>
                          <a:prstGeom prst="rect">
                            <a:avLst/>
                          </a:prstGeom>
                        </pic:spPr>
                      </pic:pic>
                    </a:graphicData>
                  </a:graphic>
                </wp:inline>
              </w:drawing>
            </w:r>
          </w:p>
        </w:tc>
        <w:tc>
          <w:tcPr>
            <w:tcW w:w="7139" w:type="dxa"/>
            <w:vAlign w:val="center"/>
            <w:hideMark/>
          </w:tcPr>
          <w:p w14:paraId="7A66F15F" w14:textId="67547BE8" w:rsidR="006450DE" w:rsidRPr="006A00CA" w:rsidRDefault="006A00CA" w:rsidP="006450DE">
            <w:pPr>
              <w:tabs>
                <w:tab w:val="left" w:pos="284"/>
                <w:tab w:val="left" w:pos="709"/>
                <w:tab w:val="left" w:pos="851"/>
                <w:tab w:val="left" w:pos="1134"/>
              </w:tabs>
              <w:spacing w:line="288" w:lineRule="auto"/>
              <w:ind w:firstLine="0"/>
              <w:rPr>
                <w:rFonts w:cs="Calibri"/>
                <w:color w:val="auto"/>
                <w:sz w:val="28"/>
                <w:szCs w:val="28"/>
              </w:rPr>
            </w:pPr>
            <w:r w:rsidRPr="006A00CA">
              <w:rPr>
                <w:b/>
                <w:bCs/>
                <w:sz w:val="28"/>
                <w:szCs w:val="28"/>
              </w:rPr>
              <w:t>POWIETRZE</w:t>
            </w:r>
            <w:r w:rsidRPr="006A00CA">
              <w:rPr>
                <w:sz w:val="28"/>
                <w:szCs w:val="28"/>
              </w:rPr>
              <w:t>: rozwój odnawialnych źródeł energii, poprawa efektywności energetycznej</w:t>
            </w:r>
          </w:p>
        </w:tc>
      </w:tr>
      <w:tr w:rsidR="006450DE" w:rsidRPr="006450DE" w14:paraId="0544ACC7" w14:textId="77777777" w:rsidTr="006450DE">
        <w:trPr>
          <w:trHeight w:val="1871"/>
        </w:trPr>
        <w:tc>
          <w:tcPr>
            <w:tcW w:w="1871" w:type="dxa"/>
            <w:vAlign w:val="center"/>
            <w:hideMark/>
          </w:tcPr>
          <w:p w14:paraId="6517ACDE" w14:textId="77777777" w:rsidR="006450DE" w:rsidRPr="006450DE" w:rsidRDefault="006450DE" w:rsidP="006450DE">
            <w:pPr>
              <w:tabs>
                <w:tab w:val="left" w:pos="284"/>
                <w:tab w:val="left" w:pos="709"/>
                <w:tab w:val="left" w:pos="851"/>
                <w:tab w:val="left" w:pos="1134"/>
              </w:tabs>
              <w:spacing w:line="288" w:lineRule="auto"/>
              <w:ind w:firstLine="0"/>
              <w:jc w:val="center"/>
              <w:rPr>
                <w:rFonts w:cs="Calibri"/>
                <w:b/>
                <w:bCs/>
                <w:color w:val="3C491E" w:themeColor="accent5" w:themeShade="40"/>
                <w:sz w:val="44"/>
                <w:szCs w:val="44"/>
              </w:rPr>
            </w:pPr>
            <w:r w:rsidRPr="006450DE">
              <w:rPr>
                <w:rFonts w:cs="Calibri"/>
                <w:b/>
                <w:noProof/>
                <w:color w:val="3C491E" w:themeColor="accent5" w:themeShade="40"/>
                <w:sz w:val="44"/>
                <w:szCs w:val="44"/>
              </w:rPr>
              <w:drawing>
                <wp:inline distT="0" distB="0" distL="0" distR="0" wp14:anchorId="5088239A" wp14:editId="097E0846">
                  <wp:extent cx="914400" cy="914400"/>
                  <wp:effectExtent l="0" t="0" r="0" b="0"/>
                  <wp:docPr id="17" name="Grafika 65" descr="Znaczek 5 kontur"/>
                  <wp:cNvGraphicFramePr/>
                  <a:graphic xmlns:a="http://schemas.openxmlformats.org/drawingml/2006/main">
                    <a:graphicData uri="http://schemas.openxmlformats.org/drawingml/2006/picture">
                      <pic:pic xmlns:pic="http://schemas.openxmlformats.org/drawingml/2006/picture">
                        <pic:nvPicPr>
                          <pic:cNvPr id="436215450" name="Grafika 65" descr="Znaczek 5 kontur"/>
                          <pic:cNvPicPr>
                            <a:picLocks noChangeAspect="1"/>
                          </pic:cNvPicPr>
                        </pic:nvPicPr>
                        <pic:blipFill>
                          <a:blip r:embed="rId167">
                            <a:extLst>
                              <a:ext uri="{96DAC541-7B7A-43D3-8B79-37D633B846F1}">
                                <asvg:svgBlip xmlns:asvg="http://schemas.microsoft.com/office/drawing/2016/SVG/main" r:embed="rId168"/>
                              </a:ext>
                            </a:extLst>
                          </a:blip>
                          <a:stretch>
                            <a:fillRect/>
                          </a:stretch>
                        </pic:blipFill>
                        <pic:spPr>
                          <a:xfrm>
                            <a:off x="0" y="0"/>
                            <a:ext cx="914400" cy="914400"/>
                          </a:xfrm>
                          <a:prstGeom prst="rect">
                            <a:avLst/>
                          </a:prstGeom>
                        </pic:spPr>
                      </pic:pic>
                    </a:graphicData>
                  </a:graphic>
                </wp:inline>
              </w:drawing>
            </w:r>
          </w:p>
        </w:tc>
        <w:tc>
          <w:tcPr>
            <w:tcW w:w="7139" w:type="dxa"/>
            <w:vAlign w:val="center"/>
            <w:hideMark/>
          </w:tcPr>
          <w:p w14:paraId="584FB7A2" w14:textId="5116DC09" w:rsidR="006450DE" w:rsidRPr="006A00CA" w:rsidRDefault="006A00CA" w:rsidP="006450DE">
            <w:pPr>
              <w:tabs>
                <w:tab w:val="left" w:pos="284"/>
                <w:tab w:val="left" w:pos="709"/>
                <w:tab w:val="left" w:pos="851"/>
                <w:tab w:val="left" w:pos="1134"/>
              </w:tabs>
              <w:spacing w:line="288" w:lineRule="auto"/>
              <w:ind w:firstLine="0"/>
              <w:rPr>
                <w:rFonts w:cs="Calibri"/>
                <w:color w:val="auto"/>
                <w:sz w:val="28"/>
                <w:szCs w:val="28"/>
              </w:rPr>
            </w:pPr>
            <w:r w:rsidRPr="006A00CA">
              <w:rPr>
                <w:b/>
                <w:bCs/>
                <w:sz w:val="28"/>
                <w:szCs w:val="28"/>
              </w:rPr>
              <w:t>BEZPIECZEŃSTWO</w:t>
            </w:r>
            <w:r w:rsidRPr="006A00CA">
              <w:rPr>
                <w:sz w:val="28"/>
                <w:szCs w:val="28"/>
              </w:rPr>
              <w:t>: wzmocnienie służb ratowniczych i usług publicznych, zarządzanie kryzysowy</w:t>
            </w:r>
          </w:p>
        </w:tc>
      </w:tr>
      <w:tr w:rsidR="006450DE" w:rsidRPr="006450DE" w14:paraId="1900FC4A" w14:textId="77777777" w:rsidTr="006450DE">
        <w:trPr>
          <w:trHeight w:val="1871"/>
        </w:trPr>
        <w:tc>
          <w:tcPr>
            <w:tcW w:w="1871" w:type="dxa"/>
            <w:vAlign w:val="center"/>
            <w:hideMark/>
          </w:tcPr>
          <w:p w14:paraId="36A5097D" w14:textId="77777777" w:rsidR="006450DE" w:rsidRPr="006450DE" w:rsidRDefault="006450DE" w:rsidP="006450DE">
            <w:pPr>
              <w:tabs>
                <w:tab w:val="left" w:pos="284"/>
                <w:tab w:val="left" w:pos="709"/>
                <w:tab w:val="left" w:pos="851"/>
                <w:tab w:val="left" w:pos="1134"/>
              </w:tabs>
              <w:spacing w:line="288" w:lineRule="auto"/>
              <w:ind w:firstLine="0"/>
              <w:jc w:val="center"/>
              <w:rPr>
                <w:rFonts w:cs="Calibri"/>
                <w:b/>
                <w:bCs/>
                <w:color w:val="3C491E" w:themeColor="accent5" w:themeShade="40"/>
                <w:sz w:val="44"/>
                <w:szCs w:val="44"/>
              </w:rPr>
            </w:pPr>
            <w:r w:rsidRPr="006450DE">
              <w:rPr>
                <w:rFonts w:cs="Calibri"/>
                <w:b/>
                <w:noProof/>
                <w:color w:val="3C491E" w:themeColor="accent5" w:themeShade="40"/>
                <w:sz w:val="44"/>
                <w:szCs w:val="44"/>
              </w:rPr>
              <w:drawing>
                <wp:inline distT="0" distB="0" distL="0" distR="0" wp14:anchorId="27C151F1" wp14:editId="3989C612">
                  <wp:extent cx="914400" cy="914400"/>
                  <wp:effectExtent l="0" t="0" r="0" b="0"/>
                  <wp:docPr id="18" name="Grafika 66" descr="Znaczek 6 kontur"/>
                  <wp:cNvGraphicFramePr/>
                  <a:graphic xmlns:a="http://schemas.openxmlformats.org/drawingml/2006/main">
                    <a:graphicData uri="http://schemas.openxmlformats.org/drawingml/2006/picture">
                      <pic:pic xmlns:pic="http://schemas.openxmlformats.org/drawingml/2006/picture">
                        <pic:nvPicPr>
                          <pic:cNvPr id="1553463222" name="Grafika 66" descr="Znaczek 6 kontur"/>
                          <pic:cNvPicPr>
                            <a:picLocks noChangeAspect="1"/>
                          </pic:cNvPicPr>
                        </pic:nvPicPr>
                        <pic:blipFill>
                          <a:blip r:embed="rId169">
                            <a:extLst>
                              <a:ext uri="{96DAC541-7B7A-43D3-8B79-37D633B846F1}">
                                <asvg:svgBlip xmlns:asvg="http://schemas.microsoft.com/office/drawing/2016/SVG/main" r:embed="rId170"/>
                              </a:ext>
                            </a:extLst>
                          </a:blip>
                          <a:stretch>
                            <a:fillRect/>
                          </a:stretch>
                        </pic:blipFill>
                        <pic:spPr>
                          <a:xfrm>
                            <a:off x="0" y="0"/>
                            <a:ext cx="914400" cy="914400"/>
                          </a:xfrm>
                          <a:prstGeom prst="rect">
                            <a:avLst/>
                          </a:prstGeom>
                        </pic:spPr>
                      </pic:pic>
                    </a:graphicData>
                  </a:graphic>
                </wp:inline>
              </w:drawing>
            </w:r>
          </w:p>
        </w:tc>
        <w:tc>
          <w:tcPr>
            <w:tcW w:w="7139" w:type="dxa"/>
            <w:vAlign w:val="center"/>
            <w:hideMark/>
          </w:tcPr>
          <w:p w14:paraId="7469C6EA" w14:textId="09426EA6" w:rsidR="006450DE" w:rsidRPr="006A00CA" w:rsidRDefault="006A00CA" w:rsidP="006450DE">
            <w:pPr>
              <w:tabs>
                <w:tab w:val="left" w:pos="284"/>
                <w:tab w:val="left" w:pos="709"/>
                <w:tab w:val="left" w:pos="851"/>
                <w:tab w:val="left" w:pos="1134"/>
              </w:tabs>
              <w:spacing w:line="288" w:lineRule="auto"/>
              <w:ind w:firstLine="0"/>
              <w:rPr>
                <w:rFonts w:cs="Calibri"/>
                <w:color w:val="auto"/>
                <w:sz w:val="28"/>
                <w:szCs w:val="28"/>
              </w:rPr>
            </w:pPr>
            <w:r w:rsidRPr="006A00CA">
              <w:rPr>
                <w:b/>
                <w:bCs/>
                <w:sz w:val="28"/>
                <w:szCs w:val="28"/>
              </w:rPr>
              <w:t>EDUKACJA</w:t>
            </w:r>
            <w:r w:rsidRPr="006A00CA">
              <w:rPr>
                <w:sz w:val="28"/>
                <w:szCs w:val="28"/>
              </w:rPr>
              <w:t>: angażowanie społeczeństwa w działania związanie z ochroną środowiska i klimatu</w:t>
            </w:r>
          </w:p>
        </w:tc>
      </w:tr>
    </w:tbl>
    <w:p w14:paraId="4D72FE9B" w14:textId="77777777" w:rsidR="00D61656" w:rsidRPr="00655FC7" w:rsidRDefault="00D61656" w:rsidP="00D61656">
      <w:pPr>
        <w:tabs>
          <w:tab w:val="left" w:pos="284"/>
          <w:tab w:val="left" w:pos="709"/>
          <w:tab w:val="left" w:pos="851"/>
          <w:tab w:val="left" w:pos="1134"/>
        </w:tabs>
        <w:spacing w:line="288" w:lineRule="auto"/>
        <w:contextualSpacing/>
        <w:rPr>
          <w:rFonts w:cstheme="minorHAnsi"/>
          <w:color w:val="auto"/>
        </w:rPr>
      </w:pPr>
    </w:p>
    <w:p w14:paraId="4F9E549A" w14:textId="77777777" w:rsidR="00D61656" w:rsidRPr="00655FC7" w:rsidRDefault="00D61656" w:rsidP="00D61656">
      <w:pPr>
        <w:tabs>
          <w:tab w:val="left" w:pos="284"/>
          <w:tab w:val="left" w:pos="709"/>
          <w:tab w:val="left" w:pos="851"/>
          <w:tab w:val="left" w:pos="1134"/>
        </w:tabs>
        <w:spacing w:line="288" w:lineRule="auto"/>
        <w:contextualSpacing/>
        <w:rPr>
          <w:rFonts w:cstheme="minorHAnsi"/>
        </w:rPr>
        <w:sectPr w:rsidR="00D61656" w:rsidRPr="00655FC7" w:rsidSect="006A4AE9">
          <w:pgSz w:w="11906" w:h="16838"/>
          <w:pgMar w:top="1418" w:right="1418" w:bottom="1418" w:left="1418" w:header="709" w:footer="709" w:gutter="0"/>
          <w:cols w:space="708"/>
          <w:docGrid w:linePitch="360"/>
        </w:sectPr>
      </w:pPr>
    </w:p>
    <w:p w14:paraId="6AF08CD3" w14:textId="69748736" w:rsidR="006C4D8A" w:rsidRPr="00655FC7" w:rsidRDefault="00C9079C" w:rsidP="00B62479">
      <w:pPr>
        <w:pStyle w:val="Nagwek2"/>
      </w:pPr>
      <w:bookmarkStart w:id="253" w:name="_Toc143596948"/>
      <w:bookmarkStart w:id="254" w:name="_Toc177732083"/>
      <w:r w:rsidRPr="00655FC7">
        <w:lastRenderedPageBreak/>
        <w:t xml:space="preserve">Charakterystyka </w:t>
      </w:r>
      <w:r w:rsidR="00880211">
        <w:t>obszarów</w:t>
      </w:r>
      <w:r w:rsidRPr="00655FC7">
        <w:t xml:space="preserve"> </w:t>
      </w:r>
      <w:bookmarkEnd w:id="253"/>
      <w:r w:rsidR="00321494">
        <w:t xml:space="preserve">i </w:t>
      </w:r>
      <w:r w:rsidR="00E50B0C">
        <w:t xml:space="preserve">wybór </w:t>
      </w:r>
      <w:r w:rsidR="00321494">
        <w:t xml:space="preserve">działań </w:t>
      </w:r>
      <w:r w:rsidR="00880211">
        <w:t>adaptacyjnych</w:t>
      </w:r>
      <w:bookmarkEnd w:id="254"/>
    </w:p>
    <w:p w14:paraId="7C9571E1" w14:textId="2ED9245B" w:rsidR="00471FE8" w:rsidRPr="00655FC7" w:rsidRDefault="00880211" w:rsidP="009959C2">
      <w:pPr>
        <w:pStyle w:val="Nagwek3"/>
      </w:pPr>
      <w:bookmarkStart w:id="255" w:name="_Toc177732084"/>
      <w:r>
        <w:t>Zieleń</w:t>
      </w:r>
      <w:bookmarkEnd w:id="255"/>
    </w:p>
    <w:tbl>
      <w:tblPr>
        <w:tblStyle w:val="Tabela-Siatka"/>
        <w:tblW w:w="0" w:type="auto"/>
        <w:tblLook w:val="04A0" w:firstRow="1" w:lastRow="0" w:firstColumn="1" w:lastColumn="0" w:noHBand="0" w:noVBand="1"/>
      </w:tblPr>
      <w:tblGrid>
        <w:gridCol w:w="1668"/>
        <w:gridCol w:w="7402"/>
      </w:tblGrid>
      <w:tr w:rsidR="006450DE" w14:paraId="3EB6333E" w14:textId="77777777" w:rsidTr="00E77E16">
        <w:trPr>
          <w:trHeight w:val="1037"/>
        </w:trPr>
        <w:tc>
          <w:tcPr>
            <w:tcW w:w="1668" w:type="dxa"/>
            <w:tcBorders>
              <w:top w:val="nil"/>
              <w:left w:val="nil"/>
              <w:bottom w:val="single" w:sz="24" w:space="0" w:color="FFFFFF" w:themeColor="background1"/>
              <w:right w:val="single" w:sz="24" w:space="0" w:color="FFFFFF" w:themeColor="background1"/>
            </w:tcBorders>
            <w:shd w:val="clear" w:color="auto" w:fill="C3E098" w:themeFill="accent1" w:themeFillTint="66"/>
          </w:tcPr>
          <w:p w14:paraId="26CB9D00" w14:textId="339FAB90" w:rsidR="006450DE" w:rsidRDefault="006450DE" w:rsidP="007C2025">
            <w:pPr>
              <w:ind w:firstLine="0"/>
              <w:rPr>
                <w:rFonts w:eastAsia="Calibri" w:cstheme="minorHAnsi"/>
                <w:color w:val="auto"/>
              </w:rPr>
            </w:pPr>
            <w:r>
              <w:rPr>
                <w:rFonts w:eastAsia="Calibri" w:cstheme="minorHAnsi"/>
                <w:noProof/>
                <w:color w:val="auto"/>
              </w:rPr>
              <w:drawing>
                <wp:inline distT="0" distB="0" distL="0" distR="0" wp14:anchorId="0F857B2C" wp14:editId="2DE6E87C">
                  <wp:extent cx="914400" cy="914400"/>
                  <wp:effectExtent l="0" t="0" r="0" b="0"/>
                  <wp:docPr id="1979492450" name="Grafika 65" descr="Znaczek 1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492450" name="Grafika 1979492450" descr="Znaczek 1 z wypełnieniem pełnym"/>
                          <pic:cNvPicPr/>
                        </pic:nvPicPr>
                        <pic:blipFill>
                          <a:blip r:embed="rId171">
                            <a:extLst>
                              <a:ext uri="{96DAC541-7B7A-43D3-8B79-37D633B846F1}">
                                <asvg:svgBlip xmlns:asvg="http://schemas.microsoft.com/office/drawing/2016/SVG/main" r:embed="rId172"/>
                              </a:ext>
                            </a:extLst>
                          </a:blip>
                          <a:stretch>
                            <a:fillRect/>
                          </a:stretch>
                        </pic:blipFill>
                        <pic:spPr>
                          <a:xfrm>
                            <a:off x="0" y="0"/>
                            <a:ext cx="914400" cy="914400"/>
                          </a:xfrm>
                          <a:prstGeom prst="rect">
                            <a:avLst/>
                          </a:prstGeom>
                        </pic:spPr>
                      </pic:pic>
                    </a:graphicData>
                  </a:graphic>
                </wp:inline>
              </w:drawing>
            </w:r>
          </w:p>
        </w:tc>
        <w:tc>
          <w:tcPr>
            <w:tcW w:w="7544" w:type="dxa"/>
            <w:tcBorders>
              <w:top w:val="nil"/>
              <w:left w:val="single" w:sz="24" w:space="0" w:color="FFFFFF" w:themeColor="background1"/>
              <w:bottom w:val="single" w:sz="24" w:space="0" w:color="FFFFFF" w:themeColor="background1"/>
              <w:right w:val="nil"/>
            </w:tcBorders>
            <w:shd w:val="clear" w:color="auto" w:fill="C3E098" w:themeFill="accent1" w:themeFillTint="66"/>
            <w:vAlign w:val="center"/>
          </w:tcPr>
          <w:p w14:paraId="6C52C757" w14:textId="6BB84F99" w:rsidR="006450DE" w:rsidRPr="003602EA" w:rsidRDefault="003602EA" w:rsidP="00E85B62">
            <w:pPr>
              <w:ind w:firstLine="0"/>
              <w:jc w:val="left"/>
              <w:rPr>
                <w:rFonts w:eastAsia="Calibri" w:cstheme="minorHAnsi"/>
                <w:b/>
                <w:bCs/>
                <w:color w:val="auto"/>
                <w:sz w:val="36"/>
                <w:szCs w:val="36"/>
              </w:rPr>
            </w:pPr>
            <w:r>
              <w:rPr>
                <w:rFonts w:eastAsia="Calibri" w:cstheme="minorHAnsi"/>
                <w:b/>
                <w:bCs/>
                <w:color w:val="auto"/>
                <w:sz w:val="36"/>
                <w:szCs w:val="36"/>
              </w:rPr>
              <w:t>ZIELEŃ: r</w:t>
            </w:r>
            <w:r w:rsidRPr="003602EA">
              <w:rPr>
                <w:rFonts w:eastAsia="Calibri" w:cstheme="minorHAnsi"/>
                <w:b/>
                <w:bCs/>
                <w:color w:val="auto"/>
                <w:sz w:val="36"/>
                <w:szCs w:val="36"/>
              </w:rPr>
              <w:t xml:space="preserve">ozwój i ochrona </w:t>
            </w:r>
            <w:r>
              <w:rPr>
                <w:rFonts w:eastAsia="Calibri" w:cstheme="minorHAnsi"/>
                <w:b/>
                <w:bCs/>
                <w:color w:val="auto"/>
                <w:sz w:val="36"/>
                <w:szCs w:val="36"/>
              </w:rPr>
              <w:t>terenów zielonych i drzew, zapewnienie odpowiedniego rozwoju ekosystemów</w:t>
            </w:r>
          </w:p>
        </w:tc>
      </w:tr>
      <w:tr w:rsidR="006450DE" w14:paraId="4555AAD8" w14:textId="77777777" w:rsidTr="00983D8C">
        <w:trPr>
          <w:trHeight w:val="3167"/>
        </w:trPr>
        <w:tc>
          <w:tcPr>
            <w:tcW w:w="9212"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2F6EA" w:themeFill="accent6" w:themeFillTint="33"/>
          </w:tcPr>
          <w:p w14:paraId="4E6C5FF6" w14:textId="77777777" w:rsidR="00E85B62" w:rsidRPr="00BF24F3" w:rsidRDefault="00E85B62">
            <w:pPr>
              <w:pStyle w:val="Akapitzlist"/>
              <w:numPr>
                <w:ilvl w:val="0"/>
                <w:numId w:val="87"/>
              </w:numPr>
              <w:spacing w:before="240" w:line="360" w:lineRule="auto"/>
              <w:rPr>
                <w:rFonts w:eastAsia="Calibri" w:cstheme="minorHAnsi"/>
                <w:color w:val="auto"/>
                <w:sz w:val="24"/>
                <w:szCs w:val="24"/>
              </w:rPr>
            </w:pPr>
            <w:r w:rsidRPr="00BF24F3">
              <w:rPr>
                <w:rFonts w:eastAsia="Calibri" w:cstheme="minorHAnsi"/>
                <w:color w:val="auto"/>
                <w:sz w:val="24"/>
                <w:szCs w:val="24"/>
              </w:rPr>
              <w:t>Zachowanie zieleni istniejącej i rozwój nowej</w:t>
            </w:r>
          </w:p>
          <w:p w14:paraId="2EAA41B3" w14:textId="77777777" w:rsidR="00E85B62" w:rsidRPr="00BF24F3" w:rsidRDefault="00E85B62">
            <w:pPr>
              <w:pStyle w:val="Akapitzlist"/>
              <w:numPr>
                <w:ilvl w:val="0"/>
                <w:numId w:val="87"/>
              </w:numPr>
              <w:spacing w:line="360" w:lineRule="auto"/>
              <w:rPr>
                <w:rFonts w:eastAsia="Calibri" w:cstheme="minorHAnsi"/>
                <w:color w:val="auto"/>
                <w:sz w:val="24"/>
                <w:szCs w:val="24"/>
              </w:rPr>
            </w:pPr>
            <w:r w:rsidRPr="00BF24F3">
              <w:rPr>
                <w:rFonts w:eastAsia="Calibri" w:cstheme="minorHAnsi"/>
                <w:color w:val="auto"/>
                <w:sz w:val="24"/>
                <w:szCs w:val="24"/>
              </w:rPr>
              <w:t>Zapewnienie zadrzewień przy obiekcie sportowym</w:t>
            </w:r>
          </w:p>
          <w:p w14:paraId="54A747FE" w14:textId="77777777" w:rsidR="00E85B62" w:rsidRPr="00BF24F3" w:rsidRDefault="00E85B62">
            <w:pPr>
              <w:pStyle w:val="Akapitzlist"/>
              <w:numPr>
                <w:ilvl w:val="0"/>
                <w:numId w:val="87"/>
              </w:numPr>
              <w:spacing w:line="360" w:lineRule="auto"/>
              <w:rPr>
                <w:rFonts w:eastAsia="Calibri" w:cstheme="minorHAnsi"/>
                <w:color w:val="auto"/>
                <w:sz w:val="24"/>
                <w:szCs w:val="24"/>
              </w:rPr>
            </w:pPr>
            <w:r w:rsidRPr="00BF24F3">
              <w:rPr>
                <w:rFonts w:eastAsia="Calibri" w:cstheme="minorHAnsi"/>
                <w:color w:val="auto"/>
                <w:sz w:val="24"/>
                <w:szCs w:val="24"/>
              </w:rPr>
              <w:t>Rewitalizacja skweru przy rynku</w:t>
            </w:r>
          </w:p>
          <w:p w14:paraId="3081BE8E" w14:textId="77777777" w:rsidR="00E85B62" w:rsidRPr="00BF24F3" w:rsidRDefault="00E85B62">
            <w:pPr>
              <w:pStyle w:val="Akapitzlist"/>
              <w:numPr>
                <w:ilvl w:val="0"/>
                <w:numId w:val="87"/>
              </w:numPr>
              <w:spacing w:line="360" w:lineRule="auto"/>
              <w:rPr>
                <w:rFonts w:eastAsia="Calibri" w:cstheme="minorHAnsi"/>
                <w:color w:val="auto"/>
                <w:sz w:val="24"/>
                <w:szCs w:val="24"/>
              </w:rPr>
            </w:pPr>
            <w:r w:rsidRPr="00BF24F3">
              <w:rPr>
                <w:rFonts w:eastAsia="Calibri" w:cstheme="minorHAnsi"/>
                <w:color w:val="auto"/>
                <w:sz w:val="24"/>
                <w:szCs w:val="24"/>
              </w:rPr>
              <w:t>Rozwój zieleni nieuporządkowanej</w:t>
            </w:r>
          </w:p>
          <w:p w14:paraId="7C781AE9" w14:textId="77777777" w:rsidR="00E85B62" w:rsidRPr="00BF24F3" w:rsidRDefault="00E85B62">
            <w:pPr>
              <w:pStyle w:val="Akapitzlist"/>
              <w:numPr>
                <w:ilvl w:val="0"/>
                <w:numId w:val="87"/>
              </w:numPr>
              <w:spacing w:line="360" w:lineRule="auto"/>
              <w:rPr>
                <w:rFonts w:eastAsia="Calibri" w:cstheme="minorHAnsi"/>
                <w:color w:val="auto"/>
                <w:sz w:val="24"/>
                <w:szCs w:val="24"/>
              </w:rPr>
            </w:pPr>
            <w:r w:rsidRPr="00BF24F3">
              <w:rPr>
                <w:rFonts w:eastAsia="Calibri" w:cstheme="minorHAnsi"/>
                <w:color w:val="auto"/>
                <w:sz w:val="24"/>
                <w:szCs w:val="24"/>
              </w:rPr>
              <w:t>Odpowiedni dobór roślin odpornych</w:t>
            </w:r>
          </w:p>
          <w:p w14:paraId="26AD47DE" w14:textId="77777777" w:rsidR="00E85B62" w:rsidRPr="00BF24F3" w:rsidRDefault="00E85B62">
            <w:pPr>
              <w:pStyle w:val="Akapitzlist"/>
              <w:numPr>
                <w:ilvl w:val="0"/>
                <w:numId w:val="87"/>
              </w:numPr>
              <w:spacing w:line="360" w:lineRule="auto"/>
              <w:rPr>
                <w:rFonts w:eastAsia="Calibri" w:cstheme="minorHAnsi"/>
                <w:color w:val="auto"/>
                <w:sz w:val="24"/>
                <w:szCs w:val="24"/>
              </w:rPr>
            </w:pPr>
            <w:r w:rsidRPr="00BF24F3">
              <w:rPr>
                <w:rFonts w:eastAsia="Calibri" w:cstheme="minorHAnsi"/>
                <w:color w:val="auto"/>
                <w:sz w:val="24"/>
                <w:szCs w:val="24"/>
              </w:rPr>
              <w:t>Ochrona drzew wysokich</w:t>
            </w:r>
          </w:p>
          <w:p w14:paraId="60AAE6CA" w14:textId="77777777" w:rsidR="00E85B62" w:rsidRPr="00BF24F3" w:rsidRDefault="00E85B62">
            <w:pPr>
              <w:pStyle w:val="Akapitzlist"/>
              <w:numPr>
                <w:ilvl w:val="0"/>
                <w:numId w:val="87"/>
              </w:numPr>
              <w:spacing w:line="360" w:lineRule="auto"/>
              <w:rPr>
                <w:rFonts w:eastAsia="Calibri" w:cstheme="minorHAnsi"/>
                <w:color w:val="auto"/>
                <w:sz w:val="24"/>
                <w:szCs w:val="24"/>
              </w:rPr>
            </w:pPr>
            <w:r w:rsidRPr="00BF24F3">
              <w:rPr>
                <w:rFonts w:eastAsia="Calibri" w:cstheme="minorHAnsi"/>
                <w:color w:val="auto"/>
                <w:sz w:val="24"/>
                <w:szCs w:val="24"/>
              </w:rPr>
              <w:t>Ochrona zieleni przy projektach budowy</w:t>
            </w:r>
          </w:p>
          <w:p w14:paraId="1764B6BE" w14:textId="77777777" w:rsidR="00E85B62" w:rsidRPr="00BF24F3" w:rsidRDefault="00E85B62">
            <w:pPr>
              <w:pStyle w:val="Akapitzlist"/>
              <w:numPr>
                <w:ilvl w:val="0"/>
                <w:numId w:val="87"/>
              </w:numPr>
              <w:spacing w:line="360" w:lineRule="auto"/>
              <w:rPr>
                <w:rFonts w:eastAsia="Calibri" w:cstheme="minorHAnsi"/>
                <w:color w:val="auto"/>
                <w:sz w:val="24"/>
                <w:szCs w:val="24"/>
              </w:rPr>
            </w:pPr>
            <w:r w:rsidRPr="00BF24F3">
              <w:rPr>
                <w:rFonts w:eastAsia="Calibri" w:cstheme="minorHAnsi"/>
                <w:color w:val="auto"/>
                <w:sz w:val="24"/>
                <w:szCs w:val="24"/>
              </w:rPr>
              <w:t>Przeciwdziałanie rozprzestrzenianiu się IGO</w:t>
            </w:r>
          </w:p>
          <w:p w14:paraId="0DC344F5" w14:textId="77777777" w:rsidR="00E85B62" w:rsidRPr="00BF24F3" w:rsidRDefault="00E85B62">
            <w:pPr>
              <w:pStyle w:val="Akapitzlist"/>
              <w:numPr>
                <w:ilvl w:val="0"/>
                <w:numId w:val="87"/>
              </w:numPr>
              <w:spacing w:line="360" w:lineRule="auto"/>
              <w:rPr>
                <w:rFonts w:eastAsia="Calibri" w:cstheme="minorHAnsi"/>
                <w:color w:val="auto"/>
                <w:sz w:val="24"/>
                <w:szCs w:val="24"/>
              </w:rPr>
            </w:pPr>
            <w:r w:rsidRPr="00BF24F3">
              <w:rPr>
                <w:rFonts w:eastAsia="Calibri" w:cstheme="minorHAnsi"/>
                <w:color w:val="auto"/>
                <w:sz w:val="24"/>
                <w:szCs w:val="24"/>
              </w:rPr>
              <w:t>Prawidłowa pielęgnacja zieleni</w:t>
            </w:r>
          </w:p>
          <w:p w14:paraId="05D48742" w14:textId="17392BBF" w:rsidR="006450DE" w:rsidRPr="006450DE" w:rsidRDefault="00E85B62">
            <w:pPr>
              <w:pStyle w:val="Akapitzlist"/>
              <w:numPr>
                <w:ilvl w:val="0"/>
                <w:numId w:val="87"/>
              </w:numPr>
              <w:spacing w:line="360" w:lineRule="auto"/>
              <w:rPr>
                <w:rFonts w:eastAsia="Calibri" w:cstheme="minorHAnsi"/>
                <w:color w:val="auto"/>
              </w:rPr>
            </w:pPr>
            <w:r w:rsidRPr="00BF24F3">
              <w:rPr>
                <w:rFonts w:eastAsia="Calibri" w:cstheme="minorHAnsi"/>
                <w:color w:val="auto"/>
                <w:sz w:val="24"/>
                <w:szCs w:val="24"/>
              </w:rPr>
              <w:t>Ochrona zieleni na obszarach rolniczych</w:t>
            </w:r>
          </w:p>
        </w:tc>
      </w:tr>
    </w:tbl>
    <w:p w14:paraId="7F0DE208" w14:textId="77777777" w:rsidR="00D8680A" w:rsidRPr="00655FC7" w:rsidRDefault="00D8680A" w:rsidP="006C4D8A">
      <w:pPr>
        <w:ind w:firstLine="0"/>
        <w:contextualSpacing/>
        <w:rPr>
          <w:rFonts w:eastAsia="Calibri" w:cstheme="minorHAnsi"/>
          <w:color w:val="auto"/>
        </w:rPr>
      </w:pPr>
    </w:p>
    <w:p w14:paraId="47FD9800" w14:textId="3187202F" w:rsidR="000D1BFF" w:rsidRDefault="00E13B2E" w:rsidP="009959C2">
      <w:pPr>
        <w:pStyle w:val="Nagwek4"/>
        <w:rPr>
          <w:rFonts w:eastAsia="Calibri"/>
        </w:rPr>
      </w:pPr>
      <w:r>
        <w:rPr>
          <w:rFonts w:eastAsia="Calibri"/>
        </w:rPr>
        <w:t>Zachowanie zieleni istniejącej i rozwój nowej</w:t>
      </w:r>
    </w:p>
    <w:p w14:paraId="29576D5F" w14:textId="4A579784" w:rsidR="006C4D8A" w:rsidRPr="00655FC7" w:rsidRDefault="006C4D8A" w:rsidP="009959C2">
      <w:r w:rsidRPr="00655FC7">
        <w:t xml:space="preserve">Ochrona </w:t>
      </w:r>
      <w:r w:rsidR="00321494">
        <w:t>obszarów zieleni i ich ekosystemów</w:t>
      </w:r>
      <w:r w:rsidRPr="00655FC7">
        <w:t xml:space="preserve"> jest jednym z najważ</w:t>
      </w:r>
      <w:r w:rsidR="000000A7" w:rsidRPr="00655FC7">
        <w:t>niejszych elementów mitygacji i </w:t>
      </w:r>
      <w:r w:rsidRPr="00655FC7">
        <w:t xml:space="preserve">adaptacji do zmian klimatu. </w:t>
      </w:r>
      <w:r w:rsidR="009A5D13" w:rsidRPr="00655FC7">
        <w:t>Tereny zielone odgrywają</w:t>
      </w:r>
      <w:r w:rsidRPr="00655FC7">
        <w:t xml:space="preserve"> ważną rolę w</w:t>
      </w:r>
      <w:r w:rsidR="00321494">
        <w:t xml:space="preserve"> </w:t>
      </w:r>
      <w:r w:rsidRPr="00655FC7">
        <w:t xml:space="preserve">regulacji klimatu. Postępująca utrata różnorodności biologicznej i degradacja ekosystemów </w:t>
      </w:r>
      <w:r w:rsidR="00E3035C" w:rsidRPr="00655FC7">
        <w:t>zmniejszają</w:t>
      </w:r>
      <w:r w:rsidRPr="00655FC7">
        <w:t xml:space="preserve"> ich zdolność pełnienia podstawowych funkcji do tego stopnia (np. funkcji regulacyjnych tj. sekwestracja dwutlenku węgla), że grozi nam osiągnięcie nieodwracalnych punktów krytycznych. </w:t>
      </w:r>
      <w:r w:rsidR="00321494">
        <w:t>Działania, które są możliwe do podjęcia w ramach tej grupy to</w:t>
      </w:r>
      <w:r w:rsidRPr="00655FC7">
        <w:t>:</w:t>
      </w:r>
    </w:p>
    <w:p w14:paraId="48A7DCB8" w14:textId="53E7A18C" w:rsidR="00321494" w:rsidRDefault="00321494">
      <w:pPr>
        <w:pStyle w:val="Akapitzlist"/>
        <w:numPr>
          <w:ilvl w:val="0"/>
          <w:numId w:val="34"/>
        </w:numPr>
        <w:rPr>
          <w:rFonts w:eastAsia="Calibri" w:cstheme="minorHAnsi"/>
          <w:color w:val="auto"/>
        </w:rPr>
      </w:pPr>
      <w:r w:rsidRPr="00655FC7">
        <w:rPr>
          <w:rFonts w:eastAsia="Calibri" w:cstheme="minorHAnsi"/>
          <w:color w:val="auto"/>
        </w:rPr>
        <w:t xml:space="preserve">tworzenie nowych obszarów </w:t>
      </w:r>
      <w:r w:rsidR="00AE2A83">
        <w:rPr>
          <w:rFonts w:eastAsia="Calibri" w:cstheme="minorHAnsi"/>
          <w:color w:val="auto"/>
        </w:rPr>
        <w:t>zieleni</w:t>
      </w:r>
      <w:r w:rsidRPr="00655FC7">
        <w:rPr>
          <w:rFonts w:eastAsia="Calibri" w:cstheme="minorHAnsi"/>
          <w:color w:val="auto"/>
        </w:rPr>
        <w:t>,</w:t>
      </w:r>
    </w:p>
    <w:p w14:paraId="013EC831" w14:textId="1D5D7522" w:rsidR="00AE2A83" w:rsidRPr="00655FC7" w:rsidRDefault="00AE2A83">
      <w:pPr>
        <w:pStyle w:val="Akapitzlist"/>
        <w:numPr>
          <w:ilvl w:val="0"/>
          <w:numId w:val="34"/>
        </w:numPr>
        <w:rPr>
          <w:rFonts w:eastAsia="Calibri" w:cstheme="minorHAnsi"/>
          <w:color w:val="auto"/>
        </w:rPr>
      </w:pPr>
      <w:r>
        <w:rPr>
          <w:rFonts w:eastAsia="Calibri" w:cstheme="minorHAnsi"/>
          <w:color w:val="auto"/>
        </w:rPr>
        <w:t>nasadzenie zieleni na terenie miasta,</w:t>
      </w:r>
    </w:p>
    <w:p w14:paraId="6ACB6139" w14:textId="77777777" w:rsidR="00321494" w:rsidRPr="00655FC7" w:rsidRDefault="00321494">
      <w:pPr>
        <w:pStyle w:val="Akapitzlist"/>
        <w:numPr>
          <w:ilvl w:val="0"/>
          <w:numId w:val="34"/>
        </w:numPr>
        <w:autoSpaceDE w:val="0"/>
        <w:autoSpaceDN w:val="0"/>
        <w:adjustRightInd w:val="0"/>
        <w:rPr>
          <w:rFonts w:cstheme="minorHAnsi"/>
          <w:color w:val="000000"/>
        </w:rPr>
      </w:pPr>
      <w:r w:rsidRPr="00655FC7">
        <w:rPr>
          <w:rFonts w:cstheme="minorHAnsi"/>
          <w:color w:val="000000"/>
        </w:rPr>
        <w:t>tworzenie i przystosowywanie miejsc ochrony różnorodności,</w:t>
      </w:r>
    </w:p>
    <w:p w14:paraId="481D1D60" w14:textId="77777777" w:rsidR="006C4D8A" w:rsidRPr="00655FC7" w:rsidRDefault="006C4D8A">
      <w:pPr>
        <w:pStyle w:val="Akapitzlist"/>
        <w:numPr>
          <w:ilvl w:val="0"/>
          <w:numId w:val="34"/>
        </w:numPr>
        <w:rPr>
          <w:rFonts w:eastAsia="Calibri" w:cstheme="minorHAnsi"/>
          <w:color w:val="auto"/>
        </w:rPr>
      </w:pPr>
      <w:r w:rsidRPr="00655FC7">
        <w:rPr>
          <w:rFonts w:eastAsia="Calibri" w:cstheme="minorHAnsi"/>
          <w:color w:val="auto"/>
        </w:rPr>
        <w:t>zwiększenie świadomości społeczeństwa o ekosystemach, ich roli oraz świadczonych przez nie usługach, działania edukacyjne,</w:t>
      </w:r>
    </w:p>
    <w:p w14:paraId="1C2551F7" w14:textId="11186CE3" w:rsidR="006C4D8A" w:rsidRPr="00655FC7" w:rsidRDefault="006C4D8A">
      <w:pPr>
        <w:pStyle w:val="Akapitzlist"/>
        <w:numPr>
          <w:ilvl w:val="0"/>
          <w:numId w:val="34"/>
        </w:numPr>
        <w:rPr>
          <w:rFonts w:eastAsia="Calibri" w:cstheme="minorHAnsi"/>
          <w:color w:val="auto"/>
        </w:rPr>
      </w:pPr>
      <w:r w:rsidRPr="00655FC7">
        <w:rPr>
          <w:rFonts w:eastAsia="Calibri" w:cstheme="minorHAnsi"/>
          <w:color w:val="auto"/>
        </w:rPr>
        <w:t>utrzymywanie drożności korytarzy ekologicznych,</w:t>
      </w:r>
    </w:p>
    <w:p w14:paraId="5E2FFE11" w14:textId="77777777" w:rsidR="009A5D13" w:rsidRPr="00655FC7" w:rsidRDefault="006C4D8A">
      <w:pPr>
        <w:pStyle w:val="Akapitzlist"/>
        <w:numPr>
          <w:ilvl w:val="0"/>
          <w:numId w:val="34"/>
        </w:numPr>
        <w:rPr>
          <w:rFonts w:eastAsia="Calibri" w:cstheme="minorHAnsi"/>
          <w:color w:val="auto"/>
        </w:rPr>
      </w:pPr>
      <w:r w:rsidRPr="00655FC7">
        <w:rPr>
          <w:rFonts w:eastAsia="Calibri" w:cstheme="minorHAnsi"/>
          <w:color w:val="auto"/>
        </w:rPr>
        <w:t xml:space="preserve">zalesianie, </w:t>
      </w:r>
    </w:p>
    <w:p w14:paraId="4824486E" w14:textId="3289F49F" w:rsidR="009A5D13" w:rsidRPr="00655FC7" w:rsidRDefault="009A5D13">
      <w:pPr>
        <w:pStyle w:val="Akapitzlist"/>
        <w:numPr>
          <w:ilvl w:val="0"/>
          <w:numId w:val="34"/>
        </w:numPr>
        <w:rPr>
          <w:rFonts w:eastAsia="Calibri" w:cstheme="minorHAnsi"/>
          <w:color w:val="auto"/>
        </w:rPr>
      </w:pPr>
      <w:r w:rsidRPr="00655FC7">
        <w:rPr>
          <w:rFonts w:eastAsia="Calibri" w:cstheme="minorHAnsi"/>
          <w:color w:val="auto"/>
        </w:rPr>
        <w:t>ekorozwój w zakresie inżynierii ekologicznej oraz zarządzania środowiskiem,</w:t>
      </w:r>
    </w:p>
    <w:p w14:paraId="53A9DA36" w14:textId="72D81C31" w:rsidR="009A5D13" w:rsidRPr="00655FC7" w:rsidRDefault="009A5D13">
      <w:pPr>
        <w:pStyle w:val="Akapitzlist"/>
        <w:numPr>
          <w:ilvl w:val="0"/>
          <w:numId w:val="34"/>
        </w:numPr>
        <w:rPr>
          <w:rFonts w:eastAsia="Calibri" w:cstheme="minorHAnsi"/>
          <w:color w:val="auto"/>
        </w:rPr>
      </w:pPr>
      <w:r w:rsidRPr="00655FC7">
        <w:rPr>
          <w:rFonts w:eastAsia="Calibri" w:cstheme="minorHAnsi"/>
          <w:color w:val="auto"/>
        </w:rPr>
        <w:t>mapowanie ekosystemów i stanu</w:t>
      </w:r>
      <w:r w:rsidR="00B30663">
        <w:rPr>
          <w:rFonts w:eastAsia="Calibri" w:cstheme="minorHAnsi"/>
          <w:color w:val="auto"/>
        </w:rPr>
        <w:t>,</w:t>
      </w:r>
      <w:r w:rsidRPr="00655FC7">
        <w:rPr>
          <w:rFonts w:eastAsia="Calibri" w:cstheme="minorHAnsi"/>
          <w:color w:val="auto"/>
        </w:rPr>
        <w:t xml:space="preserve"> w jakim się znajdują,</w:t>
      </w:r>
    </w:p>
    <w:p w14:paraId="5EC61EBC" w14:textId="7232C45D" w:rsidR="006C4D8A" w:rsidRPr="00655FC7" w:rsidRDefault="006C4D8A">
      <w:pPr>
        <w:pStyle w:val="Akapitzlist"/>
        <w:numPr>
          <w:ilvl w:val="0"/>
          <w:numId w:val="34"/>
        </w:numPr>
        <w:rPr>
          <w:rFonts w:eastAsia="Calibri" w:cstheme="minorHAnsi"/>
          <w:color w:val="auto"/>
        </w:rPr>
      </w:pPr>
      <w:r w:rsidRPr="00655FC7">
        <w:rPr>
          <w:rFonts w:eastAsia="Calibri" w:cstheme="minorHAnsi"/>
          <w:color w:val="auto"/>
        </w:rPr>
        <w:t>renaturalizacja cieków i zbiorników wodnych,</w:t>
      </w:r>
    </w:p>
    <w:p w14:paraId="7196005D" w14:textId="15DC5066" w:rsidR="006C4D8A" w:rsidRPr="00655FC7" w:rsidRDefault="006C4D8A">
      <w:pPr>
        <w:pStyle w:val="Akapitzlist"/>
        <w:numPr>
          <w:ilvl w:val="0"/>
          <w:numId w:val="34"/>
        </w:numPr>
        <w:rPr>
          <w:rFonts w:eastAsia="Calibri" w:cstheme="minorHAnsi"/>
          <w:color w:val="auto"/>
        </w:rPr>
      </w:pPr>
      <w:r w:rsidRPr="00655FC7">
        <w:rPr>
          <w:rFonts w:eastAsia="Calibri" w:cstheme="minorHAnsi"/>
          <w:color w:val="auto"/>
        </w:rPr>
        <w:t xml:space="preserve">ochrona bioróżnorodności w miastach i terenach zurbanizowanych np. poprzez rozwój zielonej i błękitnej infrastruktury, wykorzystanie rozwiązań </w:t>
      </w:r>
      <w:r w:rsidR="00B62479">
        <w:rPr>
          <w:rFonts w:eastAsia="Calibri" w:cstheme="minorHAnsi"/>
          <w:color w:val="auto"/>
        </w:rPr>
        <w:t>opartych na przyrodzie</w:t>
      </w:r>
      <w:r w:rsidRPr="00655FC7">
        <w:rPr>
          <w:rFonts w:eastAsia="Calibri" w:cstheme="minorHAnsi"/>
          <w:color w:val="auto"/>
        </w:rPr>
        <w:t>.</w:t>
      </w:r>
    </w:p>
    <w:p w14:paraId="2298E979" w14:textId="77777777" w:rsidR="006C4D8A" w:rsidRDefault="006C4D8A" w:rsidP="006C4D8A">
      <w:pPr>
        <w:ind w:firstLine="0"/>
        <w:rPr>
          <w:rFonts w:eastAsia="Calibri" w:cstheme="minorHAnsi"/>
          <w:color w:val="auto"/>
        </w:rPr>
      </w:pPr>
    </w:p>
    <w:p w14:paraId="25CDB686" w14:textId="77777777" w:rsidR="00491157" w:rsidRDefault="00DC5C34" w:rsidP="00DC5C34">
      <w:pPr>
        <w:ind w:firstLine="0"/>
        <w:rPr>
          <w:rFonts w:eastAsia="Calibri" w:cstheme="minorHAnsi"/>
          <w:color w:val="auto"/>
        </w:rPr>
        <w:sectPr w:rsidR="00491157" w:rsidSect="006A4AE9">
          <w:pgSz w:w="11906" w:h="16838"/>
          <w:pgMar w:top="1418" w:right="1418" w:bottom="1418" w:left="1418" w:header="709" w:footer="709" w:gutter="0"/>
          <w:cols w:space="708"/>
          <w:docGrid w:linePitch="360"/>
        </w:sectPr>
      </w:pPr>
      <w:r w:rsidRPr="00DC5C34">
        <w:rPr>
          <w:rFonts w:eastAsia="Calibri" w:cstheme="minorHAnsi"/>
          <w:color w:val="auto"/>
        </w:rPr>
        <w:lastRenderedPageBreak/>
        <w:t>W przypadku małych powierzchni warto wprowadzić także koncepcję zielonej akupunktury. Polega ona na wprowadzaniu zieleni na niewielkich terenach (do 0,2 ha), tak aby uzyskać efekt poprawy estetyki, jakości życia, komfortu termicznego, a także wzmocnienia usług ekosystemowych na terenie miast i</w:t>
      </w:r>
      <w:r>
        <w:rPr>
          <w:rFonts w:eastAsia="Calibri" w:cstheme="minorHAnsi"/>
          <w:color w:val="auto"/>
        </w:rPr>
        <w:t> </w:t>
      </w:r>
      <w:r w:rsidRPr="00DC5C34">
        <w:rPr>
          <w:rFonts w:eastAsia="Calibri" w:cstheme="minorHAnsi"/>
          <w:color w:val="auto"/>
        </w:rPr>
        <w:t>gmin. Warunkiem uzyskania tego efektu jest duża liczba tych punktów, podobnie jak w medycznej akupunkturze. Przykłady działań akupunkturowych – zielonych punktów to</w:t>
      </w:r>
      <w:r>
        <w:rPr>
          <w:rFonts w:eastAsia="Calibri" w:cstheme="minorHAnsi"/>
          <w:color w:val="auto"/>
        </w:rPr>
        <w:t>:</w:t>
      </w:r>
    </w:p>
    <w:p w14:paraId="39F77251" w14:textId="0450AA6B" w:rsidR="00DC5C34" w:rsidRDefault="00DC5C34" w:rsidP="00DC5C34">
      <w:pPr>
        <w:ind w:firstLine="0"/>
        <w:rPr>
          <w:rFonts w:eastAsia="Calibri" w:cstheme="minorHAnsi"/>
          <w:color w:val="auto"/>
        </w:rPr>
      </w:pPr>
      <w:r w:rsidRPr="00DC5C34">
        <w:rPr>
          <w:rFonts w:eastAsia="Calibri" w:cstheme="minorHAnsi"/>
          <w:color w:val="auto"/>
        </w:rPr>
        <w:t>•</w:t>
      </w:r>
      <w:r w:rsidRPr="00DC5C34">
        <w:rPr>
          <w:rFonts w:eastAsia="Calibri" w:cstheme="minorHAnsi"/>
          <w:color w:val="auto"/>
        </w:rPr>
        <w:tab/>
        <w:t>nasadzenia</w:t>
      </w:r>
      <w:r w:rsidR="00491157">
        <w:rPr>
          <w:rFonts w:eastAsia="Calibri" w:cstheme="minorHAnsi"/>
          <w:color w:val="auto"/>
        </w:rPr>
        <w:t xml:space="preserve"> d</w:t>
      </w:r>
      <w:r w:rsidRPr="00DC5C34">
        <w:rPr>
          <w:rFonts w:eastAsia="Calibri" w:cstheme="minorHAnsi"/>
          <w:color w:val="auto"/>
        </w:rPr>
        <w:t>rzew, krzewów,</w:t>
      </w:r>
    </w:p>
    <w:p w14:paraId="1626FBFB" w14:textId="4C298B71" w:rsidR="00DC5C34" w:rsidRPr="00DC5C34" w:rsidRDefault="00DC5C34">
      <w:pPr>
        <w:pStyle w:val="Akapitzlist"/>
        <w:numPr>
          <w:ilvl w:val="0"/>
          <w:numId w:val="93"/>
        </w:numPr>
        <w:ind w:left="709" w:hanging="709"/>
        <w:rPr>
          <w:rFonts w:eastAsia="Calibri" w:cstheme="minorHAnsi"/>
          <w:color w:val="auto"/>
        </w:rPr>
      </w:pPr>
      <w:r w:rsidRPr="00DC5C34">
        <w:rPr>
          <w:rFonts w:eastAsia="Calibri" w:cstheme="minorHAnsi"/>
          <w:color w:val="auto"/>
        </w:rPr>
        <w:t>parki kieszonkowe,</w:t>
      </w:r>
    </w:p>
    <w:p w14:paraId="135CE37D" w14:textId="1CD122D8" w:rsidR="00DC5C34" w:rsidRDefault="00DC5C34" w:rsidP="00DC5C34">
      <w:pPr>
        <w:ind w:firstLine="0"/>
        <w:rPr>
          <w:rFonts w:eastAsia="Calibri" w:cstheme="minorHAnsi"/>
          <w:color w:val="auto"/>
        </w:rPr>
      </w:pPr>
      <w:r w:rsidRPr="00DC5C34">
        <w:rPr>
          <w:rFonts w:eastAsia="Calibri" w:cstheme="minorHAnsi"/>
          <w:color w:val="auto"/>
        </w:rPr>
        <w:t>•</w:t>
      </w:r>
      <w:r w:rsidRPr="00DC5C34">
        <w:rPr>
          <w:rFonts w:eastAsia="Calibri" w:cstheme="minorHAnsi"/>
          <w:color w:val="auto"/>
        </w:rPr>
        <w:tab/>
        <w:t>zielone fasady,</w:t>
      </w:r>
    </w:p>
    <w:p w14:paraId="709D7CF6" w14:textId="6E2B6F62" w:rsidR="00DC5C34" w:rsidRPr="00DC5C34" w:rsidRDefault="00DC5C34" w:rsidP="00DC5C34">
      <w:pPr>
        <w:ind w:firstLine="0"/>
        <w:rPr>
          <w:rFonts w:eastAsia="Calibri" w:cstheme="minorHAnsi"/>
          <w:color w:val="auto"/>
        </w:rPr>
      </w:pPr>
      <w:r w:rsidRPr="00DC5C34">
        <w:rPr>
          <w:rFonts w:eastAsia="Calibri" w:cstheme="minorHAnsi"/>
          <w:color w:val="auto"/>
        </w:rPr>
        <w:t>•</w:t>
      </w:r>
      <w:r w:rsidRPr="00DC5C34">
        <w:rPr>
          <w:rFonts w:eastAsia="Calibri" w:cstheme="minorHAnsi"/>
          <w:color w:val="auto"/>
        </w:rPr>
        <w:tab/>
        <w:t>ogród edukacyjny,</w:t>
      </w:r>
    </w:p>
    <w:p w14:paraId="43A9D031" w14:textId="64A4AEC2" w:rsidR="00DC5C34" w:rsidRDefault="00DC5C34" w:rsidP="00DC5C34">
      <w:pPr>
        <w:ind w:firstLine="0"/>
        <w:rPr>
          <w:rFonts w:eastAsia="Calibri" w:cstheme="minorHAnsi"/>
          <w:color w:val="auto"/>
        </w:rPr>
      </w:pPr>
      <w:r w:rsidRPr="00DC5C34">
        <w:rPr>
          <w:rFonts w:eastAsia="Calibri" w:cstheme="minorHAnsi"/>
          <w:color w:val="auto"/>
        </w:rPr>
        <w:t>•</w:t>
      </w:r>
      <w:r w:rsidRPr="00DC5C34">
        <w:rPr>
          <w:rFonts w:eastAsia="Calibri" w:cstheme="minorHAnsi"/>
          <w:color w:val="auto"/>
        </w:rPr>
        <w:tab/>
        <w:t>łąki kwietne,</w:t>
      </w:r>
    </w:p>
    <w:p w14:paraId="64CFCCB8" w14:textId="6D8FE0A3" w:rsidR="00DC5C34" w:rsidRPr="00DC5C34" w:rsidRDefault="00DC5C34" w:rsidP="00DC5C34">
      <w:pPr>
        <w:ind w:firstLine="0"/>
        <w:rPr>
          <w:rFonts w:eastAsia="Calibri" w:cstheme="minorHAnsi"/>
          <w:color w:val="auto"/>
        </w:rPr>
      </w:pPr>
      <w:r w:rsidRPr="00DC5C34">
        <w:rPr>
          <w:rFonts w:eastAsia="Calibri" w:cstheme="minorHAnsi"/>
          <w:color w:val="auto"/>
        </w:rPr>
        <w:t>•</w:t>
      </w:r>
      <w:r w:rsidRPr="00DC5C34">
        <w:rPr>
          <w:rFonts w:eastAsia="Calibri" w:cstheme="minorHAnsi"/>
          <w:color w:val="auto"/>
        </w:rPr>
        <w:tab/>
        <w:t>ogród deszczowy,</w:t>
      </w:r>
    </w:p>
    <w:p w14:paraId="0FBA30B6" w14:textId="77777777" w:rsidR="00DC5C34" w:rsidRDefault="00DC5C34" w:rsidP="00DC5C34">
      <w:pPr>
        <w:ind w:firstLine="0"/>
        <w:rPr>
          <w:rFonts w:eastAsia="Calibri" w:cstheme="minorHAnsi"/>
          <w:color w:val="auto"/>
        </w:rPr>
      </w:pPr>
      <w:r w:rsidRPr="00DC5C34">
        <w:rPr>
          <w:rFonts w:eastAsia="Calibri" w:cstheme="minorHAnsi"/>
          <w:color w:val="auto"/>
        </w:rPr>
        <w:t>•</w:t>
      </w:r>
      <w:r w:rsidRPr="00DC5C34">
        <w:rPr>
          <w:rFonts w:eastAsia="Calibri" w:cstheme="minorHAnsi"/>
          <w:color w:val="auto"/>
        </w:rPr>
        <w:tab/>
        <w:t>kwietniki,</w:t>
      </w:r>
    </w:p>
    <w:p w14:paraId="12EDA9A7" w14:textId="10A84814" w:rsidR="00DC5C34" w:rsidRPr="00DC5C34" w:rsidRDefault="00DC5C34" w:rsidP="00DC5C34">
      <w:pPr>
        <w:ind w:firstLine="0"/>
        <w:rPr>
          <w:rFonts w:eastAsia="Calibri" w:cstheme="minorHAnsi"/>
          <w:color w:val="auto"/>
        </w:rPr>
      </w:pPr>
      <w:r w:rsidRPr="00DC5C34">
        <w:rPr>
          <w:rFonts w:eastAsia="Calibri" w:cstheme="minorHAnsi"/>
          <w:color w:val="auto"/>
        </w:rPr>
        <w:t>•</w:t>
      </w:r>
      <w:r w:rsidRPr="00DC5C34">
        <w:rPr>
          <w:rFonts w:eastAsia="Calibri" w:cstheme="minorHAnsi"/>
          <w:color w:val="auto"/>
        </w:rPr>
        <w:tab/>
        <w:t>żywopłot</w:t>
      </w:r>
      <w:r>
        <w:rPr>
          <w:rFonts w:eastAsia="Calibri" w:cstheme="minorHAnsi"/>
          <w:color w:val="auto"/>
        </w:rPr>
        <w:t>,</w:t>
      </w:r>
    </w:p>
    <w:p w14:paraId="6BA27CD9" w14:textId="77777777" w:rsidR="00491157" w:rsidRDefault="00DC5C34" w:rsidP="00DC5C34">
      <w:pPr>
        <w:ind w:firstLine="0"/>
        <w:rPr>
          <w:rFonts w:eastAsia="Calibri" w:cstheme="minorHAnsi"/>
          <w:color w:val="auto"/>
        </w:rPr>
        <w:sectPr w:rsidR="00491157" w:rsidSect="00491157">
          <w:type w:val="continuous"/>
          <w:pgSz w:w="11906" w:h="16838"/>
          <w:pgMar w:top="1418" w:right="1418" w:bottom="1418" w:left="1418" w:header="709" w:footer="709" w:gutter="0"/>
          <w:cols w:num="2" w:space="708"/>
          <w:docGrid w:linePitch="360"/>
        </w:sectPr>
      </w:pPr>
      <w:r w:rsidRPr="00DC5C34">
        <w:rPr>
          <w:rFonts w:eastAsia="Calibri" w:cstheme="minorHAnsi"/>
          <w:color w:val="auto"/>
        </w:rPr>
        <w:t>•</w:t>
      </w:r>
      <w:r w:rsidRPr="00DC5C34">
        <w:rPr>
          <w:rFonts w:eastAsia="Calibri" w:cstheme="minorHAnsi"/>
          <w:color w:val="auto"/>
        </w:rPr>
        <w:tab/>
        <w:t>roślinność spontaniczna</w:t>
      </w:r>
    </w:p>
    <w:p w14:paraId="1BF943A8" w14:textId="77777777" w:rsidR="00491157" w:rsidRDefault="00491157" w:rsidP="00DC5C34">
      <w:pPr>
        <w:ind w:firstLine="0"/>
        <w:rPr>
          <w:rFonts w:eastAsia="Calibri" w:cstheme="minorHAnsi"/>
          <w:color w:val="auto"/>
        </w:rPr>
        <w:sectPr w:rsidR="00491157" w:rsidSect="00491157">
          <w:type w:val="continuous"/>
          <w:pgSz w:w="11906" w:h="16838"/>
          <w:pgMar w:top="1418" w:right="1418" w:bottom="1418" w:left="1418" w:header="709" w:footer="709" w:gutter="0"/>
          <w:cols w:space="708"/>
          <w:docGrid w:linePitch="360"/>
        </w:sectPr>
      </w:pPr>
    </w:p>
    <w:p w14:paraId="130A79AE" w14:textId="1D56BC02" w:rsidR="00B61ECA" w:rsidRPr="008F2B93" w:rsidRDefault="00B61ECA" w:rsidP="009959C2">
      <w:pPr>
        <w:pStyle w:val="Nagwek4"/>
        <w:rPr>
          <w:rFonts w:eastAsia="Calibri"/>
        </w:rPr>
      </w:pPr>
      <w:r w:rsidRPr="008F2B93">
        <w:rPr>
          <w:rFonts w:eastAsia="Calibri"/>
        </w:rPr>
        <w:t>Zapewnienie zadrzewień przy obiekcie sportowym</w:t>
      </w:r>
    </w:p>
    <w:p w14:paraId="5B8E5154" w14:textId="53ED94BC" w:rsidR="00B61ECA" w:rsidRDefault="00B13B38" w:rsidP="00B61ECA">
      <w:pPr>
        <w:rPr>
          <w:lang w:eastAsia="pl-PL"/>
        </w:rPr>
      </w:pPr>
      <w:r w:rsidRPr="008F2B93">
        <w:rPr>
          <w:lang w:eastAsia="pl-PL"/>
        </w:rPr>
        <w:t xml:space="preserve">obiekt sportowy zlokalizowany </w:t>
      </w:r>
      <w:r w:rsidR="000E268F" w:rsidRPr="008F2B93">
        <w:rPr>
          <w:lang w:eastAsia="pl-PL"/>
        </w:rPr>
        <w:t xml:space="preserve">przekształcony został ze starej żwirowni i </w:t>
      </w:r>
      <w:r w:rsidRPr="008F2B93">
        <w:rPr>
          <w:lang w:eastAsia="pl-PL"/>
        </w:rPr>
        <w:t xml:space="preserve">zapewnia mieszkańcom </w:t>
      </w:r>
      <w:r w:rsidR="000E268F" w:rsidRPr="008F2B93">
        <w:rPr>
          <w:lang w:eastAsia="pl-PL"/>
        </w:rPr>
        <w:t>miejsce rekreacji. Obiekt sportowy obejmuje boisko). Obiekt zlokalizowany</w:t>
      </w:r>
      <w:r w:rsidR="000E268F">
        <w:rPr>
          <w:lang w:eastAsia="pl-PL"/>
        </w:rPr>
        <w:t xml:space="preserve"> jest jednak na otwartej przestrzeni, nieosłoniętej od strony południowej oraz zachodniej. W przypadku słonecznej pogody temperatura na obiekcie uniemożliwia podejmowanie aktywności fizycznej. Uprawianie sportu w warunkach wysokiej temperatury i nasłonecznienia może stanowić bezpośrednie zagrożenie</w:t>
      </w:r>
      <w:r w:rsidR="0074367C">
        <w:rPr>
          <w:lang w:eastAsia="pl-PL"/>
        </w:rPr>
        <w:t xml:space="preserve"> dla zdrowia i</w:t>
      </w:r>
      <w:r w:rsidR="000E268F">
        <w:rPr>
          <w:lang w:eastAsia="pl-PL"/>
        </w:rPr>
        <w:t xml:space="preserve"> życia dla człowieka. </w:t>
      </w:r>
    </w:p>
    <w:p w14:paraId="7C841DA6" w14:textId="510079BF" w:rsidR="000E268F" w:rsidRDefault="0074367C" w:rsidP="00B61ECA">
      <w:pPr>
        <w:rPr>
          <w:lang w:eastAsia="pl-PL"/>
        </w:rPr>
      </w:pPr>
      <w:r>
        <w:rPr>
          <w:lang w:eastAsia="pl-PL"/>
        </w:rPr>
        <w:t>W odpowiedzi na ten problem, proponuje się zasadzenie w sąsiedztwie obiektu drzew szybkorosnących, które w dłuższej perspektywie cień dla korzystających. Działanie to zwiększa również powierzchnię terenów zieleni oraz poprawia jakość powietrza, gdyż drzewa działają jako naturalne filtratory. Efektem będzie utworzenie atrakcyjnej przestrzeni dla mieszkańców.</w:t>
      </w:r>
    </w:p>
    <w:p w14:paraId="5D5FE9A4" w14:textId="77777777" w:rsidR="0074367C" w:rsidRPr="00B61ECA" w:rsidRDefault="0074367C" w:rsidP="00B61ECA">
      <w:pPr>
        <w:rPr>
          <w:lang w:eastAsia="pl-PL"/>
        </w:rPr>
      </w:pPr>
    </w:p>
    <w:p w14:paraId="0BAFF77E" w14:textId="25A8F07D" w:rsidR="000A05BD" w:rsidRPr="008A62D4" w:rsidRDefault="00B13B38" w:rsidP="009959C2">
      <w:pPr>
        <w:pStyle w:val="Nagwek4"/>
        <w:rPr>
          <w:rFonts w:eastAsia="Calibri"/>
          <w:strike/>
        </w:rPr>
      </w:pPr>
      <w:r>
        <w:t>Rewitalizacja</w:t>
      </w:r>
      <w:r w:rsidR="008A62D4">
        <w:t xml:space="preserve"> skweru przy rynku</w:t>
      </w:r>
    </w:p>
    <w:p w14:paraId="200A2B0B" w14:textId="72372661" w:rsidR="007670E5" w:rsidRDefault="000757D1" w:rsidP="000757D1">
      <w:r>
        <w:t xml:space="preserve">Skwer przy rynku stanowi teren zielony z nielicznymi drzewami i krzewami. Nie jest to przestrzeń wizualnie estetyczna, ani atrakcyjna dla społeczności lokalnej. Brakuje podstawowej infrastruktury rekreacyjno-wypoczynkowej (ławki, wiaty, alejki itp.). Przemieszczanie się w obrębie skweru odbywa się po wydeptanych ścieżkach gruntowych, nieprzystosowanych dla osób ze szczególnymi potrzebami </w:t>
      </w:r>
      <w:r w:rsidRPr="000757D1">
        <w:t>Zakres niniejszego przedsięwzięcia dotyczy uporządkowania istniejącej zieleni, montażu zielonej ściany (oddzielającej skwer od drogi wojewódzkiej) i pomnika pamięci. Dodatkowo planowane jest wyznaczenie alejek, ich utwardzenie oraz montaż ławek.</w:t>
      </w:r>
    </w:p>
    <w:p w14:paraId="2F256C1C" w14:textId="68553AFB" w:rsidR="00051478" w:rsidRDefault="00C53BD3" w:rsidP="00201FA5">
      <w:r w:rsidRPr="00C53BD3">
        <w:t>Lokalizacja</w:t>
      </w:r>
      <w:r>
        <w:t xml:space="preserve"> działania</w:t>
      </w:r>
      <w:r w:rsidRPr="00C53BD3">
        <w:t>: dz. nr 1249/2, 1247/11</w:t>
      </w:r>
      <w:r>
        <w:t>, obręb Tarnogród</w:t>
      </w:r>
      <w:r w:rsidRPr="00C53BD3">
        <w:t xml:space="preserve">. </w:t>
      </w:r>
      <w:r w:rsidR="00201FA5">
        <w:t>Zadanie</w:t>
      </w:r>
      <w:r w:rsidR="00DC5C34">
        <w:t xml:space="preserve"> to</w:t>
      </w:r>
      <w:r w:rsidR="00201FA5">
        <w:t xml:space="preserve"> wyznaczone zostało w </w:t>
      </w:r>
      <w:r w:rsidR="007670E5">
        <w:t>Gminnym programie rewitalizacji dla Gminy Tarnogród na lata 2024-2030.</w:t>
      </w:r>
    </w:p>
    <w:p w14:paraId="53334DA9" w14:textId="77777777" w:rsidR="000757D1" w:rsidRPr="00655FC7" w:rsidRDefault="000757D1" w:rsidP="00201FA5"/>
    <w:p w14:paraId="66C5AB0C" w14:textId="2C2469AB" w:rsidR="008A62D4" w:rsidRPr="008A62D4" w:rsidRDefault="008A62D4" w:rsidP="008A62D4">
      <w:pPr>
        <w:pStyle w:val="Nagwek4"/>
        <w:rPr>
          <w:rFonts w:eastAsia="Calibri"/>
        </w:rPr>
      </w:pPr>
      <w:r>
        <w:t>Rozwój zieleni nieuporządkowanej</w:t>
      </w:r>
    </w:p>
    <w:p w14:paraId="483FD070" w14:textId="77777777" w:rsidR="008A62D4" w:rsidRPr="00655FC7" w:rsidRDefault="008A62D4" w:rsidP="008A62D4">
      <w:pPr>
        <w:tabs>
          <w:tab w:val="left" w:pos="3119"/>
        </w:tabs>
        <w:contextualSpacing/>
        <w:rPr>
          <w:rFonts w:cstheme="minorHAnsi"/>
          <w:color w:val="auto"/>
        </w:rPr>
      </w:pPr>
      <w:r w:rsidRPr="00655FC7">
        <w:rPr>
          <w:rFonts w:cstheme="minorHAnsi"/>
          <w:color w:val="auto"/>
        </w:rPr>
        <w:t>Wartym przytoczenia terminem w niniejszej grupie adaptacyjnej jest tzw</w:t>
      </w:r>
      <w:r w:rsidRPr="00AA1001">
        <w:rPr>
          <w:rFonts w:cstheme="minorHAnsi"/>
          <w:color w:val="auto"/>
        </w:rPr>
        <w:t>. czwarta przyroda. Termin wprowadzony do nauki przez niemieckiego badacza, prof. Ingo Kowarika. Oznacza roślinność</w:t>
      </w:r>
      <w:r w:rsidRPr="00655FC7">
        <w:rPr>
          <w:rFonts w:cstheme="minorHAnsi"/>
          <w:color w:val="auto"/>
        </w:rPr>
        <w:t xml:space="preserve"> rozwijającą się samoistnie, w sposób niekontrolowany, bez ingerencji człowieka na opuszczonych, nawet najbardziej zniszczonych terenach</w:t>
      </w:r>
      <w:r w:rsidRPr="00655FC7">
        <w:rPr>
          <w:rStyle w:val="Odwoanieprzypisudolnego"/>
          <w:rFonts w:cstheme="minorHAnsi"/>
          <w:color w:val="auto"/>
        </w:rPr>
        <w:footnoteReference w:id="35"/>
      </w:r>
      <w:r w:rsidRPr="00655FC7">
        <w:rPr>
          <w:rFonts w:cstheme="minorHAnsi"/>
          <w:color w:val="auto"/>
        </w:rPr>
        <w:t>. Przykładem czwartej przyrody może być sztuczny zbiornik wodny w Krakowie na Zakrzówku powstały po zalaniu starego kamieniołomu wapienia (gdzie nieużytek poprzemysłowy w części został objęty ochroną jako użytek ekologiczny).</w:t>
      </w:r>
    </w:p>
    <w:p w14:paraId="532C33CD" w14:textId="77777777" w:rsidR="008A62D4" w:rsidRPr="00655FC7" w:rsidRDefault="008A62D4" w:rsidP="008A62D4">
      <w:pPr>
        <w:tabs>
          <w:tab w:val="left" w:pos="3119"/>
        </w:tabs>
        <w:contextualSpacing/>
        <w:rPr>
          <w:rFonts w:cstheme="minorHAnsi"/>
          <w:color w:val="auto"/>
        </w:rPr>
      </w:pPr>
    </w:p>
    <w:p w14:paraId="73BCEFFF" w14:textId="5AAFF15A" w:rsidR="001A643F" w:rsidRPr="00655FC7" w:rsidRDefault="008A62D4" w:rsidP="009959C2">
      <w:pPr>
        <w:pStyle w:val="Nagwek4"/>
        <w:rPr>
          <w:rFonts w:eastAsiaTheme="minorEastAsia"/>
        </w:rPr>
      </w:pPr>
      <w:r>
        <w:lastRenderedPageBreak/>
        <w:t>Odpowiedni dobór roślin odpornych</w:t>
      </w:r>
    </w:p>
    <w:p w14:paraId="3EFE0C4E" w14:textId="6AD54017" w:rsidR="00A43BF2" w:rsidRDefault="00CA0A78" w:rsidP="00A43BF2">
      <w:pPr>
        <w:contextualSpacing/>
        <w:rPr>
          <w:rFonts w:eastAsia="Calibri" w:cstheme="minorHAnsi"/>
          <w:color w:val="auto"/>
        </w:rPr>
      </w:pPr>
      <w:r>
        <w:rPr>
          <w:rFonts w:eastAsia="Calibri" w:cstheme="minorHAnsi"/>
          <w:color w:val="auto"/>
        </w:rPr>
        <w:t xml:space="preserve">W przypadku utworzenia nowych obszarów zieleni oraz rozwoju już istniejących, należy pamiętać o odpowiednim doborze roślin. Priorytetowo powinny być wybierane gatunki rodzime, wieloletnie oraz odporne na </w:t>
      </w:r>
      <w:r w:rsidR="00245FB2">
        <w:rPr>
          <w:rFonts w:eastAsia="Calibri" w:cstheme="minorHAnsi"/>
          <w:color w:val="auto"/>
        </w:rPr>
        <w:t>ekstremalne</w:t>
      </w:r>
      <w:r>
        <w:rPr>
          <w:rFonts w:eastAsia="Calibri" w:cstheme="minorHAnsi"/>
          <w:color w:val="auto"/>
        </w:rPr>
        <w:t xml:space="preserve"> warunki atmosferyczne.</w:t>
      </w:r>
      <w:r w:rsidR="00245FB2">
        <w:rPr>
          <w:rFonts w:eastAsia="Calibri" w:cstheme="minorHAnsi"/>
          <w:color w:val="auto"/>
        </w:rPr>
        <w:t xml:space="preserve"> W przypadku negatywnych zmian klimatu, należy wybierać w długoletniej perspektywie rośliny, które znosić będą coraz wyższą temperaturę oraz długie okresy upalne i bezdeszczowe.</w:t>
      </w:r>
    </w:p>
    <w:p w14:paraId="1943D4AC" w14:textId="6A333566" w:rsidR="00A03C1C" w:rsidRDefault="00A03C1C" w:rsidP="00A43BF2">
      <w:pPr>
        <w:contextualSpacing/>
        <w:rPr>
          <w:rFonts w:eastAsia="Calibri" w:cstheme="minorHAnsi"/>
          <w:color w:val="auto"/>
        </w:rPr>
      </w:pPr>
      <w:r>
        <w:rPr>
          <w:rFonts w:eastAsia="Calibri" w:cstheme="minorHAnsi"/>
          <w:color w:val="auto"/>
        </w:rPr>
        <w:t>Pomocne w doborze roślin mogą być lokalne atlasy roślin, czy zalecenia dot. utrzymania zieleni w miastach w województwie.</w:t>
      </w:r>
    </w:p>
    <w:p w14:paraId="5C7A64AE" w14:textId="1D82C452" w:rsidR="00CA0A78" w:rsidRDefault="00A03C1C" w:rsidP="00A43BF2">
      <w:pPr>
        <w:contextualSpacing/>
        <w:rPr>
          <w:rFonts w:eastAsia="Calibri" w:cstheme="minorHAnsi"/>
          <w:color w:val="auto"/>
        </w:rPr>
      </w:pPr>
      <w:r>
        <w:rPr>
          <w:rFonts w:eastAsia="Calibri" w:cstheme="minorHAnsi"/>
          <w:color w:val="auto"/>
        </w:rPr>
        <w:t>Dobór roślin odpornych zapewni długowieczność funkcjonowania ekosystemów, ograniczy konieczność ich pielęgnacji, dzięki czemu mieszkańcy będą mogli korzystać z zalet zieleni miejskiej.</w:t>
      </w:r>
    </w:p>
    <w:p w14:paraId="1FCA5952" w14:textId="77777777" w:rsidR="00A03C1C" w:rsidRPr="00655FC7" w:rsidRDefault="00A03C1C" w:rsidP="00A43BF2">
      <w:pPr>
        <w:contextualSpacing/>
        <w:rPr>
          <w:rFonts w:eastAsia="Calibri" w:cstheme="minorHAnsi"/>
          <w:color w:val="auto"/>
        </w:rPr>
      </w:pPr>
    </w:p>
    <w:p w14:paraId="667E4023" w14:textId="3778F619" w:rsidR="000A05BD" w:rsidRPr="00655FC7" w:rsidRDefault="000A05BD" w:rsidP="007C2025">
      <w:pPr>
        <w:pStyle w:val="Nagwek4"/>
      </w:pPr>
      <w:r w:rsidRPr="00655FC7">
        <w:t>Ochrona drzew</w:t>
      </w:r>
      <w:r w:rsidR="00B61ECA">
        <w:t xml:space="preserve"> wysokich</w:t>
      </w:r>
    </w:p>
    <w:p w14:paraId="41547152" w14:textId="5DC4EB28" w:rsidR="00391DD9" w:rsidRPr="00655FC7" w:rsidRDefault="00A45D16" w:rsidP="00391DD9">
      <w:pPr>
        <w:tabs>
          <w:tab w:val="left" w:pos="3119"/>
        </w:tabs>
        <w:rPr>
          <w:rFonts w:cstheme="minorHAnsi"/>
          <w:color w:val="auto"/>
        </w:rPr>
      </w:pPr>
      <w:r w:rsidRPr="00655FC7">
        <w:rPr>
          <w:rFonts w:cstheme="minorHAnsi"/>
          <w:color w:val="auto"/>
        </w:rPr>
        <w:t>Wśród najważniejszych elementów zieleni należy wymienić drzewa</w:t>
      </w:r>
      <w:r w:rsidR="00391DD9" w:rsidRPr="00655FC7">
        <w:rPr>
          <w:rFonts w:cstheme="minorHAnsi"/>
          <w:color w:val="auto"/>
        </w:rPr>
        <w:t>. Ich obecność warunkuje utrzymanie jakości życia oraz dostarczanie ludziom całego wachlarza usług. Właściwa praktyka gospodarowania drzewami tworzącymi zieloną infrastrukturę pozwoli optymalizować korzyści jakie społeczeństwo</w:t>
      </w:r>
      <w:r w:rsidR="000A05BD" w:rsidRPr="00655FC7">
        <w:rPr>
          <w:rFonts w:cstheme="minorHAnsi"/>
          <w:color w:val="auto"/>
        </w:rPr>
        <w:t xml:space="preserve"> i przyroda mogą czerpać z tego </w:t>
      </w:r>
      <w:r w:rsidR="00391DD9" w:rsidRPr="00655FC7">
        <w:rPr>
          <w:rFonts w:cstheme="minorHAnsi"/>
          <w:color w:val="auto"/>
        </w:rPr>
        <w:t>elementu krajobrazu</w:t>
      </w:r>
      <w:r w:rsidR="00391DD9" w:rsidRPr="00655FC7">
        <w:rPr>
          <w:rFonts w:cstheme="minorHAnsi"/>
          <w:color w:val="auto"/>
          <w:vertAlign w:val="superscript"/>
        </w:rPr>
        <w:footnoteReference w:id="36"/>
      </w:r>
      <w:r w:rsidR="00391DD9" w:rsidRPr="00655FC7">
        <w:rPr>
          <w:rFonts w:cstheme="minorHAnsi"/>
          <w:color w:val="auto"/>
        </w:rPr>
        <w:t xml:space="preserve">. Projekt LIFE „Drzewa dla zielonej infrastruktury Europy” wypracował standardy ochrony drzew (dostępne na stronie </w:t>
      </w:r>
      <w:hyperlink r:id="rId173" w:history="1">
        <w:r w:rsidR="00391DD9" w:rsidRPr="00655FC7">
          <w:rPr>
            <w:rFonts w:cstheme="minorHAnsi"/>
            <w:color w:val="auto"/>
            <w:u w:val="single"/>
          </w:rPr>
          <w:t>https://www.gov.pl/web/nfosigw/standardy-ochrony-drzew</w:t>
        </w:r>
      </w:hyperlink>
      <w:r w:rsidR="00391DD9" w:rsidRPr="00655FC7">
        <w:rPr>
          <w:rFonts w:cstheme="minorHAnsi"/>
          <w:color w:val="auto"/>
        </w:rPr>
        <w:t xml:space="preserve">). </w:t>
      </w:r>
    </w:p>
    <w:p w14:paraId="04F9807D" w14:textId="77777777" w:rsidR="00391DD9" w:rsidRPr="00655FC7" w:rsidRDefault="00391DD9" w:rsidP="006C4D8A">
      <w:pPr>
        <w:ind w:firstLine="0"/>
        <w:rPr>
          <w:rFonts w:eastAsia="Calibri" w:cstheme="minorHAnsi"/>
          <w:color w:val="auto"/>
        </w:rPr>
      </w:pPr>
    </w:p>
    <w:p w14:paraId="5AEBB64D" w14:textId="02D02EE7" w:rsidR="00B04E04" w:rsidRPr="00655FC7" w:rsidRDefault="00CC1789" w:rsidP="001A643F">
      <w:pPr>
        <w:tabs>
          <w:tab w:val="left" w:pos="3119"/>
        </w:tabs>
        <w:rPr>
          <w:rFonts w:cstheme="minorHAnsi"/>
          <w:color w:val="auto"/>
        </w:rPr>
      </w:pPr>
      <w:r w:rsidRPr="00655FC7">
        <w:rPr>
          <w:rFonts w:cstheme="minorHAnsi"/>
          <w:color w:val="auto"/>
        </w:rPr>
        <w:t>Ważną kwestią jest zapobieganie zagrożeniom powodowanym przez wywracające i</w:t>
      </w:r>
      <w:r w:rsidR="00A03C1C">
        <w:rPr>
          <w:rFonts w:cstheme="minorHAnsi"/>
          <w:color w:val="auto"/>
        </w:rPr>
        <w:t xml:space="preserve"> </w:t>
      </w:r>
      <w:r w:rsidRPr="00655FC7">
        <w:rPr>
          <w:rFonts w:cstheme="minorHAnsi"/>
          <w:color w:val="auto"/>
        </w:rPr>
        <w:t>łamiące się drzewa. W pierwszej kolejności ważne są oczywiście działania pielęgnacyjne i</w:t>
      </w:r>
      <w:r w:rsidR="00F40D5A">
        <w:rPr>
          <w:rFonts w:cstheme="minorHAnsi"/>
          <w:color w:val="auto"/>
        </w:rPr>
        <w:t xml:space="preserve"> </w:t>
      </w:r>
      <w:r w:rsidRPr="00655FC7">
        <w:rPr>
          <w:rFonts w:cstheme="minorHAnsi"/>
          <w:color w:val="auto"/>
        </w:rPr>
        <w:t>utrzymujące dobrą kondycj</w:t>
      </w:r>
      <w:r w:rsidR="00FB2EA8" w:rsidRPr="00655FC7">
        <w:rPr>
          <w:rFonts w:cstheme="minorHAnsi"/>
          <w:color w:val="auto"/>
        </w:rPr>
        <w:t>ę</w:t>
      </w:r>
      <w:r w:rsidRPr="00655FC7">
        <w:rPr>
          <w:rFonts w:cstheme="minorHAnsi"/>
          <w:color w:val="auto"/>
        </w:rPr>
        <w:t xml:space="preserve"> drzew zaprezentowane m.in. </w:t>
      </w:r>
      <w:r w:rsidR="00AC5301" w:rsidRPr="00655FC7">
        <w:rPr>
          <w:rFonts w:cstheme="minorHAnsi"/>
          <w:color w:val="auto"/>
        </w:rPr>
        <w:t>w Standardach</w:t>
      </w:r>
      <w:r w:rsidRPr="00655FC7">
        <w:rPr>
          <w:rFonts w:cstheme="minorHAnsi"/>
          <w:i/>
          <w:color w:val="auto"/>
        </w:rPr>
        <w:t xml:space="preserve"> </w:t>
      </w:r>
      <w:r w:rsidRPr="00F40D5A">
        <w:rPr>
          <w:rFonts w:cstheme="minorHAnsi"/>
          <w:iCs/>
          <w:color w:val="auto"/>
        </w:rPr>
        <w:t>ochrony drzew opracowanych w ramach projektu</w:t>
      </w:r>
      <w:r w:rsidRPr="00655FC7">
        <w:rPr>
          <w:rFonts w:cstheme="minorHAnsi"/>
          <w:i/>
          <w:color w:val="auto"/>
        </w:rPr>
        <w:t xml:space="preserve"> „Drzewa dla zielonej infrastruktury Europy</w:t>
      </w:r>
      <w:r w:rsidR="00B04E04" w:rsidRPr="00655FC7">
        <w:rPr>
          <w:rFonts w:cstheme="minorHAnsi"/>
          <w:i/>
          <w:color w:val="auto"/>
        </w:rPr>
        <w:t>”</w:t>
      </w:r>
      <w:r w:rsidRPr="00655FC7">
        <w:rPr>
          <w:rFonts w:cstheme="minorHAnsi"/>
          <w:i/>
          <w:color w:val="auto"/>
        </w:rPr>
        <w:t xml:space="preserve">. </w:t>
      </w:r>
      <w:r w:rsidR="00B04E04" w:rsidRPr="00655FC7">
        <w:rPr>
          <w:rFonts w:cstheme="minorHAnsi"/>
          <w:color w:val="auto"/>
        </w:rPr>
        <w:t xml:space="preserve">Standardy ochrony i pielęgnacji drzew powinny zostać zredagowane i opracowane dla badanego obszaru tworząc </w:t>
      </w:r>
      <w:r w:rsidR="00B04E04" w:rsidRPr="00655FC7">
        <w:rPr>
          <w:rFonts w:cstheme="minorHAnsi"/>
          <w:b/>
          <w:color w:val="auto"/>
        </w:rPr>
        <w:t>dokument programowy</w:t>
      </w:r>
      <w:r w:rsidR="00B04E04" w:rsidRPr="00655FC7">
        <w:rPr>
          <w:rFonts w:cstheme="minorHAnsi"/>
          <w:color w:val="auto"/>
        </w:rPr>
        <w:t xml:space="preserve"> dla jednostek miejskich.</w:t>
      </w:r>
    </w:p>
    <w:p w14:paraId="463519B3" w14:textId="77777777" w:rsidR="00B04E04" w:rsidRPr="00655FC7" w:rsidRDefault="00B04E04" w:rsidP="001A643F">
      <w:pPr>
        <w:tabs>
          <w:tab w:val="left" w:pos="3119"/>
        </w:tabs>
        <w:rPr>
          <w:rFonts w:cstheme="minorHAnsi"/>
          <w:color w:val="auto"/>
        </w:rPr>
      </w:pPr>
    </w:p>
    <w:p w14:paraId="7E806943" w14:textId="1FBD8F74" w:rsidR="00CC1789" w:rsidRPr="00655FC7" w:rsidRDefault="00CC1789" w:rsidP="001A643F">
      <w:pPr>
        <w:tabs>
          <w:tab w:val="left" w:pos="3119"/>
        </w:tabs>
        <w:rPr>
          <w:rFonts w:cstheme="minorHAnsi"/>
          <w:color w:val="auto"/>
        </w:rPr>
      </w:pPr>
      <w:r w:rsidRPr="00655FC7">
        <w:rPr>
          <w:rFonts w:cstheme="minorHAnsi"/>
          <w:color w:val="auto"/>
        </w:rPr>
        <w:t>Wa</w:t>
      </w:r>
      <w:r w:rsidR="00B04E04" w:rsidRPr="00655FC7">
        <w:rPr>
          <w:rFonts w:cstheme="minorHAnsi"/>
          <w:color w:val="auto"/>
        </w:rPr>
        <w:t xml:space="preserve">żnym działaniem jest także stworzenie i rozwój </w:t>
      </w:r>
      <w:r w:rsidR="00B04E04" w:rsidRPr="00655FC7">
        <w:rPr>
          <w:rFonts w:cstheme="minorHAnsi"/>
          <w:b/>
          <w:color w:val="auto"/>
        </w:rPr>
        <w:t>monitoringu drzew</w:t>
      </w:r>
      <w:r w:rsidR="00B04E04" w:rsidRPr="00655FC7">
        <w:rPr>
          <w:rFonts w:cstheme="minorHAnsi"/>
          <w:color w:val="auto"/>
        </w:rPr>
        <w:t xml:space="preserve"> miejskich. Bieżąca ocena kondycji i wytrzymałości mechanicznej drzew z uwzględnieniem aspektu bezpieczeństwa przyjmuje najczęściej metody wizualne:</w:t>
      </w:r>
    </w:p>
    <w:p w14:paraId="6C8E22B0" w14:textId="539FD2CC" w:rsidR="00B04E04" w:rsidRPr="00655FC7" w:rsidRDefault="00B04E04">
      <w:pPr>
        <w:pStyle w:val="Akapitzlist"/>
        <w:numPr>
          <w:ilvl w:val="0"/>
          <w:numId w:val="25"/>
        </w:numPr>
        <w:tabs>
          <w:tab w:val="left" w:pos="3119"/>
        </w:tabs>
        <w:rPr>
          <w:rFonts w:cstheme="minorHAnsi"/>
          <w:color w:val="auto"/>
        </w:rPr>
      </w:pPr>
      <w:r w:rsidRPr="00655FC7">
        <w:rPr>
          <w:rFonts w:cstheme="minorHAnsi"/>
          <w:color w:val="auto"/>
        </w:rPr>
        <w:t>metody oceny statyki drzew bazujące na zasadach biomechaniki,</w:t>
      </w:r>
    </w:p>
    <w:p w14:paraId="76A25AFC" w14:textId="6D597FAC" w:rsidR="00B04E04" w:rsidRPr="00655FC7" w:rsidRDefault="00404FA7">
      <w:pPr>
        <w:pStyle w:val="Akapitzlist"/>
        <w:numPr>
          <w:ilvl w:val="0"/>
          <w:numId w:val="25"/>
        </w:numPr>
        <w:tabs>
          <w:tab w:val="left" w:pos="3119"/>
        </w:tabs>
        <w:rPr>
          <w:rFonts w:cstheme="minorHAnsi"/>
          <w:color w:val="auto"/>
        </w:rPr>
      </w:pPr>
      <w:r w:rsidRPr="00655FC7">
        <w:rPr>
          <w:rFonts w:cstheme="minorHAnsi"/>
          <w:color w:val="auto"/>
        </w:rPr>
        <w:t>metody oparte na ocenie jakościowej zewnętrznych objawów i wad strukturalnych przyczyniających się do złamania bądź wywrócenia drzewa</w:t>
      </w:r>
      <w:r w:rsidR="00B04E04" w:rsidRPr="00655FC7">
        <w:rPr>
          <w:rFonts w:cstheme="minorHAnsi"/>
          <w:color w:val="auto"/>
        </w:rPr>
        <w:t>,</w:t>
      </w:r>
    </w:p>
    <w:p w14:paraId="3566B01B" w14:textId="63191B70" w:rsidR="00B04E04" w:rsidRPr="00655FC7" w:rsidRDefault="00B04E04">
      <w:pPr>
        <w:pStyle w:val="Akapitzlist"/>
        <w:numPr>
          <w:ilvl w:val="0"/>
          <w:numId w:val="25"/>
        </w:numPr>
        <w:tabs>
          <w:tab w:val="left" w:pos="3119"/>
        </w:tabs>
        <w:rPr>
          <w:rFonts w:cstheme="minorHAnsi"/>
          <w:color w:val="auto"/>
        </w:rPr>
      </w:pPr>
      <w:r w:rsidRPr="00655FC7">
        <w:rPr>
          <w:rFonts w:cstheme="minorHAnsi"/>
          <w:color w:val="auto"/>
        </w:rPr>
        <w:t>metody oceny ryzyka wypadku spowodowanego przez upadające drzewa, uwzględniające bezpieczeństwo ludzi i ich mienia</w:t>
      </w:r>
      <w:r w:rsidRPr="00655FC7">
        <w:rPr>
          <w:rStyle w:val="Odwoanieprzypisudolnego"/>
          <w:rFonts w:cstheme="minorHAnsi"/>
          <w:color w:val="auto"/>
        </w:rPr>
        <w:footnoteReference w:id="37"/>
      </w:r>
      <w:r w:rsidRPr="00655FC7">
        <w:rPr>
          <w:rFonts w:cstheme="minorHAnsi"/>
          <w:color w:val="auto"/>
        </w:rPr>
        <w:t>.</w:t>
      </w:r>
    </w:p>
    <w:p w14:paraId="1F533C82" w14:textId="77777777" w:rsidR="00CC1789" w:rsidRPr="00655FC7" w:rsidRDefault="00CC1789" w:rsidP="001A643F">
      <w:pPr>
        <w:tabs>
          <w:tab w:val="left" w:pos="3119"/>
        </w:tabs>
        <w:rPr>
          <w:rFonts w:cstheme="minorHAnsi"/>
          <w:color w:val="auto"/>
        </w:rPr>
      </w:pPr>
    </w:p>
    <w:p w14:paraId="4C7B4C1D" w14:textId="1A7F9CB3" w:rsidR="00B61ECA" w:rsidRDefault="00B61ECA" w:rsidP="007C2025">
      <w:pPr>
        <w:pStyle w:val="Nagwek4"/>
      </w:pPr>
      <w:r>
        <w:t>Ochrona zieleni przy projektach budowy</w:t>
      </w:r>
    </w:p>
    <w:p w14:paraId="3EA93171" w14:textId="7401A85C" w:rsidR="00B61ECA" w:rsidRDefault="00F40D5A" w:rsidP="00B61ECA">
      <w:pPr>
        <w:rPr>
          <w:lang w:eastAsia="pl-PL"/>
        </w:rPr>
      </w:pPr>
      <w:r>
        <w:rPr>
          <w:lang w:eastAsia="pl-PL"/>
        </w:rPr>
        <w:t xml:space="preserve">Rozwój infrastruktury w mieście często brany jest pod uwagę jako wyznacznik </w:t>
      </w:r>
      <w:r w:rsidR="00A72692">
        <w:rPr>
          <w:lang w:eastAsia="pl-PL"/>
        </w:rPr>
        <w:t xml:space="preserve">wzrostu gospodarczego. Przy podejmowaniu wszelkich prac należy jednak brać pod uwagę obszary zieleni. Strefy miejskie pozbawione zieleni lub ubogie w nią przestają być atrakcyjne dla mieszkańców. Skutecznie zniechęca to również do korzystania z dóbr infrastruktury. W przypadku planowania przestrzennego każdorazowo należy rozważyć możliwość zachowania jak największego obszaru zieleni. </w:t>
      </w:r>
      <w:r w:rsidR="00A72692">
        <w:rPr>
          <w:lang w:eastAsia="pl-PL"/>
        </w:rPr>
        <w:lastRenderedPageBreak/>
        <w:t xml:space="preserve">Roślinom należy zapewnić dostęp do podłoża oraz </w:t>
      </w:r>
      <w:r w:rsidR="008427B1">
        <w:rPr>
          <w:lang w:eastAsia="pl-PL"/>
        </w:rPr>
        <w:t>możliwość infiltracji wody. Należy unikać np. sadzenia drzew w donicach, uniemożliwiając im możliwość wzrostu.</w:t>
      </w:r>
    </w:p>
    <w:p w14:paraId="0F24B20C" w14:textId="2D1D0A81" w:rsidR="008427B1" w:rsidRDefault="008427B1" w:rsidP="00B61ECA">
      <w:pPr>
        <w:rPr>
          <w:lang w:eastAsia="pl-PL"/>
        </w:rPr>
      </w:pPr>
      <w:r>
        <w:rPr>
          <w:lang w:eastAsia="pl-PL"/>
        </w:rPr>
        <w:t>Przemienianie obszarów niezabetonowanych na obszary zabetonowane wzmaga zjawiska miejskiej wyspy ciepła oraz powodzi i podtopień.</w:t>
      </w:r>
    </w:p>
    <w:p w14:paraId="0C127B24" w14:textId="77777777" w:rsidR="008427B1" w:rsidRPr="00B61ECA" w:rsidRDefault="008427B1" w:rsidP="00B61ECA">
      <w:pPr>
        <w:rPr>
          <w:lang w:eastAsia="pl-PL"/>
        </w:rPr>
      </w:pPr>
    </w:p>
    <w:p w14:paraId="19FE87C1" w14:textId="4A7EF1D0" w:rsidR="000A05BD" w:rsidRPr="00655FC7" w:rsidRDefault="00B61ECA" w:rsidP="007C2025">
      <w:pPr>
        <w:pStyle w:val="Nagwek4"/>
      </w:pPr>
      <w:r>
        <w:t>Przeciwdziałanie rozprzestrzenianiu się inwazyjnych gatunków obcych</w:t>
      </w:r>
    </w:p>
    <w:p w14:paraId="1C5DAAB0" w14:textId="47392E41" w:rsidR="00B04E04" w:rsidRDefault="008D3F08" w:rsidP="007A6745">
      <w:pPr>
        <w:tabs>
          <w:tab w:val="left" w:pos="3119"/>
        </w:tabs>
        <w:rPr>
          <w:rFonts w:cstheme="minorHAnsi"/>
          <w:color w:val="auto"/>
        </w:rPr>
      </w:pPr>
      <w:r w:rsidRPr="00655FC7">
        <w:rPr>
          <w:rFonts w:cstheme="minorHAnsi"/>
          <w:color w:val="auto"/>
        </w:rPr>
        <w:t xml:space="preserve">Bardzo istotne wobec zachodzących zmian klimatu na terenie będzie wdrożenie działań z zakresu </w:t>
      </w:r>
      <w:r w:rsidRPr="008427B1">
        <w:rPr>
          <w:rFonts w:cstheme="minorHAnsi"/>
          <w:bCs/>
          <w:color w:val="auto"/>
        </w:rPr>
        <w:t>przeciwdziałania rozprzestrzenianiu się inwazyjnych gatunków obcych w przyrodzie.</w:t>
      </w:r>
      <w:r w:rsidR="007A6745" w:rsidRPr="00655FC7">
        <w:rPr>
          <w:rFonts w:cstheme="minorHAnsi"/>
          <w:color w:val="auto"/>
        </w:rPr>
        <w:t xml:space="preserve"> Ustawa z dnia 11</w:t>
      </w:r>
      <w:r w:rsidR="002B3A6C">
        <w:rPr>
          <w:rFonts w:cstheme="minorHAnsi"/>
          <w:color w:val="auto"/>
        </w:rPr>
        <w:t> </w:t>
      </w:r>
      <w:r w:rsidR="007A6745" w:rsidRPr="00655FC7">
        <w:rPr>
          <w:rFonts w:cstheme="minorHAnsi"/>
          <w:color w:val="auto"/>
        </w:rPr>
        <w:t xml:space="preserve">sierpnia 2021 r. o gatunkach obcych (Dz. U. </w:t>
      </w:r>
      <w:r w:rsidR="008427B1">
        <w:rPr>
          <w:rFonts w:cstheme="minorHAnsi"/>
          <w:color w:val="auto"/>
        </w:rPr>
        <w:t>2023</w:t>
      </w:r>
      <w:r w:rsidR="007A6745" w:rsidRPr="00655FC7">
        <w:rPr>
          <w:rFonts w:cstheme="minorHAnsi"/>
          <w:color w:val="auto"/>
        </w:rPr>
        <w:t xml:space="preserve"> r. poz. </w:t>
      </w:r>
      <w:r w:rsidR="008427B1">
        <w:rPr>
          <w:rFonts w:cstheme="minorHAnsi"/>
          <w:color w:val="auto"/>
        </w:rPr>
        <w:t>1589</w:t>
      </w:r>
      <w:r w:rsidR="007A6745" w:rsidRPr="00655FC7">
        <w:rPr>
          <w:rFonts w:cstheme="minorHAnsi"/>
          <w:color w:val="auto"/>
        </w:rPr>
        <w:t>) proponuje szereg rozwiązań mających przyczynić się do eliminacji lub zminimalizowania negatywnego wpływu gatunków obcych na rodzimą przyrodę, usługi ekosystemowe, gospodarkę oraz ludzkie zdrowie. Określa ona podmioty właściwe do podejmowania działań zaradczych wobec IGO stanowiących zagrożenie dla Unii i</w:t>
      </w:r>
      <w:r w:rsidR="00706A82" w:rsidRPr="00655FC7">
        <w:rPr>
          <w:rFonts w:cstheme="minorHAnsi"/>
          <w:color w:val="auto"/>
        </w:rPr>
        <w:t xml:space="preserve"> </w:t>
      </w:r>
      <w:r w:rsidR="007A6745" w:rsidRPr="00655FC7">
        <w:rPr>
          <w:rFonts w:cstheme="minorHAnsi"/>
          <w:color w:val="auto"/>
        </w:rPr>
        <w:t>dla Polski, a także sposób przekazywania informacji o</w:t>
      </w:r>
      <w:r w:rsidR="002B3A6C">
        <w:rPr>
          <w:rFonts w:cstheme="minorHAnsi"/>
          <w:color w:val="auto"/>
        </w:rPr>
        <w:t xml:space="preserve"> </w:t>
      </w:r>
      <w:r w:rsidR="007A6745" w:rsidRPr="00655FC7">
        <w:rPr>
          <w:rFonts w:cstheme="minorHAnsi"/>
          <w:color w:val="auto"/>
        </w:rPr>
        <w:t>nowych stanowiskach tych gatunków.</w:t>
      </w:r>
    </w:p>
    <w:p w14:paraId="4174D514" w14:textId="77777777" w:rsidR="00FA7B27" w:rsidRPr="00655FC7" w:rsidRDefault="00FA7B27" w:rsidP="007A6745">
      <w:pPr>
        <w:tabs>
          <w:tab w:val="left" w:pos="3119"/>
        </w:tabs>
        <w:rPr>
          <w:rFonts w:cstheme="minorHAnsi"/>
          <w:color w:val="auto"/>
        </w:rPr>
      </w:pPr>
    </w:p>
    <w:p w14:paraId="333DEE13" w14:textId="3B8D57E9" w:rsidR="00C85822" w:rsidRPr="00655FC7" w:rsidRDefault="000A05BD" w:rsidP="007C2025">
      <w:pPr>
        <w:pStyle w:val="Nagwek4"/>
        <w:rPr>
          <w:rFonts w:eastAsia="Calibri"/>
        </w:rPr>
      </w:pPr>
      <w:r w:rsidRPr="00655FC7">
        <w:rPr>
          <w:rFonts w:eastAsia="Calibri"/>
        </w:rPr>
        <w:t>Pielęgnacja i utrzymanie terenów zielonych</w:t>
      </w:r>
    </w:p>
    <w:p w14:paraId="40565E3C" w14:textId="0F8121A1" w:rsidR="008940E1" w:rsidRPr="00655FC7" w:rsidRDefault="00C85822" w:rsidP="0043703B">
      <w:pPr>
        <w:rPr>
          <w:rFonts w:eastAsia="Calibri" w:cstheme="minorHAnsi"/>
          <w:color w:val="auto"/>
        </w:rPr>
      </w:pPr>
      <w:r w:rsidRPr="00655FC7">
        <w:rPr>
          <w:rFonts w:eastAsia="Calibri" w:cstheme="minorHAnsi"/>
          <w:color w:val="auto"/>
        </w:rPr>
        <w:t>Istotna jest także odpowiednia pielęgnacja terenów zielonych wspierająca rozwój bioróżnorodności:</w:t>
      </w:r>
    </w:p>
    <w:p w14:paraId="67F3CC2B" w14:textId="05703537" w:rsidR="00C85822" w:rsidRPr="00655FC7" w:rsidRDefault="00C85822">
      <w:pPr>
        <w:pStyle w:val="Akapitzlist"/>
        <w:numPr>
          <w:ilvl w:val="0"/>
          <w:numId w:val="24"/>
        </w:numPr>
        <w:rPr>
          <w:rFonts w:eastAsia="Calibri" w:cstheme="minorHAnsi"/>
          <w:color w:val="auto"/>
        </w:rPr>
      </w:pPr>
      <w:r w:rsidRPr="00655FC7">
        <w:rPr>
          <w:rFonts w:eastAsia="Calibri" w:cstheme="minorHAnsi"/>
          <w:color w:val="auto"/>
        </w:rPr>
        <w:t>koszenie terenów zielonych z jak najmniejszą intensywnością (docelowo dwa razy w roku),</w:t>
      </w:r>
    </w:p>
    <w:p w14:paraId="68201402" w14:textId="69118DA5" w:rsidR="00C85822" w:rsidRPr="00655FC7" w:rsidRDefault="00C85822">
      <w:pPr>
        <w:pStyle w:val="Akapitzlist"/>
        <w:numPr>
          <w:ilvl w:val="0"/>
          <w:numId w:val="24"/>
        </w:numPr>
        <w:rPr>
          <w:rFonts w:eastAsia="Calibri" w:cstheme="minorHAnsi"/>
          <w:color w:val="auto"/>
        </w:rPr>
      </w:pPr>
      <w:r w:rsidRPr="00655FC7">
        <w:rPr>
          <w:rFonts w:eastAsia="Calibri" w:cstheme="minorHAnsi"/>
          <w:color w:val="auto"/>
        </w:rPr>
        <w:t>opóźnienie pierwszego koszenia (najwcześniej po 1 czerwca),</w:t>
      </w:r>
    </w:p>
    <w:p w14:paraId="265A162D" w14:textId="1BE9A66E" w:rsidR="00C85822" w:rsidRPr="00655FC7" w:rsidRDefault="00C85822">
      <w:pPr>
        <w:pStyle w:val="Akapitzlist"/>
        <w:numPr>
          <w:ilvl w:val="0"/>
          <w:numId w:val="24"/>
        </w:numPr>
        <w:rPr>
          <w:rFonts w:eastAsia="Calibri" w:cstheme="minorHAnsi"/>
          <w:color w:val="auto"/>
        </w:rPr>
      </w:pPr>
      <w:r w:rsidRPr="00655FC7">
        <w:rPr>
          <w:rFonts w:eastAsia="Calibri" w:cstheme="minorHAnsi"/>
          <w:color w:val="auto"/>
        </w:rPr>
        <w:t>zróżnicowanie koszenia, by owady nie traciły bazy żywieniowej (koszenie nie powinno być przeprowadzane na raz na całym obszarze, powinno być realizowane w różnym czasie i</w:t>
      </w:r>
      <w:r w:rsidR="00796398" w:rsidRPr="00655FC7">
        <w:rPr>
          <w:rFonts w:eastAsia="Calibri" w:cstheme="minorHAnsi"/>
          <w:color w:val="auto"/>
        </w:rPr>
        <w:t> </w:t>
      </w:r>
      <w:r w:rsidRPr="00655FC7">
        <w:rPr>
          <w:rFonts w:eastAsia="Calibri" w:cstheme="minorHAnsi"/>
          <w:color w:val="auto"/>
        </w:rPr>
        <w:t>w</w:t>
      </w:r>
      <w:r w:rsidR="00C56DC2" w:rsidRPr="00655FC7">
        <w:rPr>
          <w:rFonts w:eastAsia="Calibri" w:cstheme="minorHAnsi"/>
          <w:color w:val="auto"/>
        </w:rPr>
        <w:t> </w:t>
      </w:r>
      <w:r w:rsidRPr="00655FC7">
        <w:rPr>
          <w:rFonts w:eastAsia="Calibri" w:cstheme="minorHAnsi"/>
          <w:color w:val="auto"/>
        </w:rPr>
        <w:t>różnych miejscach),</w:t>
      </w:r>
    </w:p>
    <w:p w14:paraId="3CB64471" w14:textId="5DDB407F" w:rsidR="00C85822" w:rsidRPr="00655FC7" w:rsidRDefault="00C85822">
      <w:pPr>
        <w:pStyle w:val="Akapitzlist"/>
        <w:numPr>
          <w:ilvl w:val="0"/>
          <w:numId w:val="24"/>
        </w:numPr>
        <w:rPr>
          <w:rFonts w:eastAsia="Calibri" w:cstheme="minorHAnsi"/>
          <w:color w:val="auto"/>
        </w:rPr>
      </w:pPr>
      <w:r w:rsidRPr="00655FC7">
        <w:rPr>
          <w:rFonts w:eastAsia="Calibri" w:cstheme="minorHAnsi"/>
          <w:color w:val="auto"/>
        </w:rPr>
        <w:t>koszenie łąk kwietnych (jeśli w ich skład wchodzą rośliny jednoroczne) dopiero po przekwitnięciu i wysianiu roślin,</w:t>
      </w:r>
    </w:p>
    <w:p w14:paraId="333D9DCB" w14:textId="1732FEC5" w:rsidR="00C85822" w:rsidRPr="00655FC7" w:rsidRDefault="00C85822">
      <w:pPr>
        <w:pStyle w:val="Akapitzlist"/>
        <w:numPr>
          <w:ilvl w:val="0"/>
          <w:numId w:val="24"/>
        </w:numPr>
        <w:rPr>
          <w:rFonts w:eastAsia="Calibri" w:cstheme="minorHAnsi"/>
          <w:color w:val="auto"/>
        </w:rPr>
      </w:pPr>
      <w:r w:rsidRPr="00655FC7">
        <w:rPr>
          <w:rFonts w:eastAsia="Calibri" w:cstheme="minorHAnsi"/>
          <w:color w:val="auto"/>
        </w:rPr>
        <w:t>pozostawianie na terenach zielni martwej materii organicznej (pni drzew etc.),</w:t>
      </w:r>
    </w:p>
    <w:p w14:paraId="5C86BF9E" w14:textId="3665266C" w:rsidR="006718AD" w:rsidRPr="00655FC7" w:rsidRDefault="006718AD">
      <w:pPr>
        <w:pStyle w:val="Akapitzlist"/>
        <w:numPr>
          <w:ilvl w:val="0"/>
          <w:numId w:val="24"/>
        </w:numPr>
        <w:rPr>
          <w:rFonts w:eastAsia="Calibri" w:cstheme="minorHAnsi"/>
          <w:color w:val="auto"/>
        </w:rPr>
      </w:pPr>
      <w:r w:rsidRPr="00655FC7">
        <w:rPr>
          <w:rFonts w:eastAsia="Calibri" w:cstheme="minorHAnsi"/>
          <w:color w:val="auto"/>
        </w:rPr>
        <w:t>ograniczenie grabienia liści jesienią,</w:t>
      </w:r>
    </w:p>
    <w:p w14:paraId="6BAAEC2A" w14:textId="38FAB2EB" w:rsidR="00C85822" w:rsidRPr="00655FC7" w:rsidRDefault="00C85822">
      <w:pPr>
        <w:pStyle w:val="Akapitzlist"/>
        <w:numPr>
          <w:ilvl w:val="0"/>
          <w:numId w:val="24"/>
        </w:numPr>
        <w:rPr>
          <w:rFonts w:eastAsia="Calibri" w:cstheme="minorHAnsi"/>
          <w:color w:val="auto"/>
        </w:rPr>
      </w:pPr>
      <w:r w:rsidRPr="00655FC7">
        <w:rPr>
          <w:rFonts w:eastAsia="Calibri" w:cstheme="minorHAnsi"/>
          <w:color w:val="auto"/>
        </w:rPr>
        <w:t>kompostowanie powierzchniowe w parkach</w:t>
      </w:r>
      <w:r w:rsidR="006718AD" w:rsidRPr="00655FC7">
        <w:rPr>
          <w:rFonts w:eastAsia="Calibri" w:cstheme="minorHAnsi"/>
          <w:color w:val="auto"/>
        </w:rPr>
        <w:t xml:space="preserve"> (pozostawianie liści pod grupami drzew i</w:t>
      </w:r>
      <w:r w:rsidR="00C56DC2" w:rsidRPr="00655FC7">
        <w:rPr>
          <w:rFonts w:eastAsia="Calibri" w:cstheme="minorHAnsi"/>
          <w:color w:val="auto"/>
        </w:rPr>
        <w:t> </w:t>
      </w:r>
      <w:r w:rsidR="006718AD" w:rsidRPr="00655FC7">
        <w:rPr>
          <w:rFonts w:eastAsia="Calibri" w:cstheme="minorHAnsi"/>
          <w:color w:val="auto"/>
        </w:rPr>
        <w:t>krzewów).</w:t>
      </w:r>
    </w:p>
    <w:p w14:paraId="13AC693F" w14:textId="77777777" w:rsidR="000A05BD" w:rsidRPr="00655FC7" w:rsidRDefault="000A05BD" w:rsidP="0043703B">
      <w:pPr>
        <w:rPr>
          <w:rFonts w:eastAsia="Calibri" w:cstheme="minorHAnsi"/>
          <w:color w:val="auto"/>
        </w:rPr>
      </w:pPr>
    </w:p>
    <w:p w14:paraId="7ABD791A" w14:textId="19CE5F53" w:rsidR="008A62D4" w:rsidRPr="00655FC7" w:rsidRDefault="008A62D4" w:rsidP="008A62D4">
      <w:pPr>
        <w:pStyle w:val="Nagwek4"/>
        <w:rPr>
          <w:rFonts w:eastAsia="Calibri"/>
        </w:rPr>
      </w:pPr>
      <w:r>
        <w:rPr>
          <w:rFonts w:eastAsia="Calibri"/>
        </w:rPr>
        <w:t>Ochrona zieleni na obszarach rolniczych</w:t>
      </w:r>
    </w:p>
    <w:p w14:paraId="2C36432C" w14:textId="30388B6B" w:rsidR="002B3A6C" w:rsidRPr="002B3A6C" w:rsidRDefault="002B3A6C" w:rsidP="002B3A6C">
      <w:pPr>
        <w:tabs>
          <w:tab w:val="left" w:pos="3119"/>
        </w:tabs>
        <w:rPr>
          <w:rFonts w:cstheme="minorHAnsi"/>
          <w:color w:val="auto"/>
        </w:rPr>
      </w:pPr>
      <w:r w:rsidRPr="002B3A6C">
        <w:rPr>
          <w:rFonts w:cstheme="minorHAnsi"/>
          <w:color w:val="auto"/>
        </w:rPr>
        <w:t>Ze względu na znaczny udział terenów rolnych na omawianym obszarze, należy również wprowadzić działania adaptacyjne z zakresu rolnictwa</w:t>
      </w:r>
      <w:r>
        <w:rPr>
          <w:rFonts w:cstheme="minorHAnsi"/>
          <w:color w:val="auto"/>
        </w:rPr>
        <w:t>.</w:t>
      </w:r>
      <w:r w:rsidRPr="002B3A6C">
        <w:rPr>
          <w:rFonts w:cstheme="minorHAnsi"/>
          <w:color w:val="auto"/>
        </w:rPr>
        <w:t xml:space="preserve"> Postęp agrotechniczny doprowadza do zniszczenia wielu siedlisk naturalnych (przekształcane są zagajniki, pasy zadrzewień śródpolnych oraz tereny podmokłe.</w:t>
      </w:r>
      <w:r>
        <w:rPr>
          <w:rFonts w:cstheme="minorHAnsi"/>
          <w:color w:val="auto"/>
        </w:rPr>
        <w:t xml:space="preserve"> Należy podjąć działania z zakresu utrzymania tych obszarów w krajobrazie rolniczym, co </w:t>
      </w:r>
      <w:r w:rsidR="00853110">
        <w:rPr>
          <w:rFonts w:cstheme="minorHAnsi"/>
          <w:color w:val="auto"/>
        </w:rPr>
        <w:t>wspiera zachowanie bioróżnorodności, zapewniając bardziej</w:t>
      </w:r>
      <w:r w:rsidRPr="002B3A6C">
        <w:rPr>
          <w:rFonts w:cstheme="minorHAnsi"/>
          <w:color w:val="auto"/>
        </w:rPr>
        <w:t xml:space="preserve"> złożony i odporny na zmiany klimatu ekosystem. Bardziej różnorodny biologicznie obszar zapewnia:</w:t>
      </w:r>
    </w:p>
    <w:p w14:paraId="38BBB139" w14:textId="390DE400" w:rsidR="002B3A6C" w:rsidRPr="002B3A6C" w:rsidRDefault="002B3A6C">
      <w:pPr>
        <w:pStyle w:val="Akapitzlist"/>
        <w:numPr>
          <w:ilvl w:val="0"/>
          <w:numId w:val="93"/>
        </w:numPr>
        <w:tabs>
          <w:tab w:val="left" w:pos="3119"/>
        </w:tabs>
        <w:rPr>
          <w:rFonts w:cstheme="minorHAnsi"/>
          <w:color w:val="auto"/>
        </w:rPr>
      </w:pPr>
      <w:r w:rsidRPr="002B3A6C">
        <w:rPr>
          <w:rFonts w:cstheme="minorHAnsi"/>
          <w:color w:val="auto"/>
        </w:rPr>
        <w:t>wyższą żyzność gleby i produktywność ekosystemów rolniczych,</w:t>
      </w:r>
    </w:p>
    <w:p w14:paraId="138AA111" w14:textId="7E2BFEED" w:rsidR="002B3A6C" w:rsidRPr="002B3A6C" w:rsidRDefault="002B3A6C">
      <w:pPr>
        <w:pStyle w:val="Akapitzlist"/>
        <w:numPr>
          <w:ilvl w:val="0"/>
          <w:numId w:val="93"/>
        </w:numPr>
        <w:tabs>
          <w:tab w:val="left" w:pos="3119"/>
        </w:tabs>
        <w:rPr>
          <w:rFonts w:cstheme="minorHAnsi"/>
          <w:color w:val="auto"/>
        </w:rPr>
      </w:pPr>
      <w:r w:rsidRPr="002B3A6C">
        <w:rPr>
          <w:rFonts w:cstheme="minorHAnsi"/>
          <w:color w:val="auto"/>
        </w:rPr>
        <w:t>biologiczną ochronę roślin,</w:t>
      </w:r>
    </w:p>
    <w:p w14:paraId="4851B5FC" w14:textId="7B836818" w:rsidR="002B3A6C" w:rsidRPr="002B3A6C" w:rsidRDefault="002B3A6C">
      <w:pPr>
        <w:pStyle w:val="Akapitzlist"/>
        <w:numPr>
          <w:ilvl w:val="0"/>
          <w:numId w:val="93"/>
        </w:numPr>
        <w:tabs>
          <w:tab w:val="left" w:pos="3119"/>
        </w:tabs>
        <w:rPr>
          <w:rFonts w:cstheme="minorHAnsi"/>
          <w:color w:val="auto"/>
        </w:rPr>
      </w:pPr>
      <w:r w:rsidRPr="002B3A6C">
        <w:rPr>
          <w:rFonts w:cstheme="minorHAnsi"/>
          <w:color w:val="auto"/>
        </w:rPr>
        <w:t>zapylenie roślin uprawnych,</w:t>
      </w:r>
    </w:p>
    <w:p w14:paraId="01BF4FDB" w14:textId="5F499D0F" w:rsidR="002B3A6C" w:rsidRPr="002B3A6C" w:rsidRDefault="002B3A6C">
      <w:pPr>
        <w:pStyle w:val="Akapitzlist"/>
        <w:numPr>
          <w:ilvl w:val="0"/>
          <w:numId w:val="93"/>
        </w:numPr>
        <w:tabs>
          <w:tab w:val="left" w:pos="3119"/>
        </w:tabs>
        <w:rPr>
          <w:rFonts w:cstheme="minorHAnsi"/>
          <w:color w:val="auto"/>
        </w:rPr>
      </w:pPr>
      <w:r w:rsidRPr="002B3A6C">
        <w:rPr>
          <w:rFonts w:cstheme="minorHAnsi"/>
          <w:color w:val="auto"/>
        </w:rPr>
        <w:t>ochronę gleb przed erozją,</w:t>
      </w:r>
    </w:p>
    <w:p w14:paraId="236726BA" w14:textId="6B785849" w:rsidR="002B3A6C" w:rsidRPr="002B3A6C" w:rsidRDefault="002B3A6C">
      <w:pPr>
        <w:pStyle w:val="Akapitzlist"/>
        <w:numPr>
          <w:ilvl w:val="0"/>
          <w:numId w:val="93"/>
        </w:numPr>
        <w:tabs>
          <w:tab w:val="left" w:pos="3119"/>
        </w:tabs>
        <w:rPr>
          <w:rFonts w:cstheme="minorHAnsi"/>
          <w:color w:val="auto"/>
        </w:rPr>
      </w:pPr>
      <w:r w:rsidRPr="002B3A6C">
        <w:rPr>
          <w:rFonts w:cstheme="minorHAnsi"/>
          <w:color w:val="auto"/>
        </w:rPr>
        <w:t>kontrolę nad prawidłowym obiegiem wody w przyrodzie.</w:t>
      </w:r>
    </w:p>
    <w:p w14:paraId="76CD4C6E" w14:textId="2E1C4B5C" w:rsidR="002B3A6C" w:rsidRDefault="002B3A6C" w:rsidP="00853110">
      <w:pPr>
        <w:tabs>
          <w:tab w:val="left" w:pos="3119"/>
        </w:tabs>
        <w:rPr>
          <w:rFonts w:cstheme="minorHAnsi"/>
          <w:color w:val="auto"/>
        </w:rPr>
      </w:pPr>
      <w:r w:rsidRPr="002B3A6C">
        <w:rPr>
          <w:rFonts w:cstheme="minorHAnsi"/>
          <w:color w:val="auto"/>
        </w:rPr>
        <w:t>Intensywność z jaką korzystamy z zasobów środowiska powoduje zniszczenie gleb i zwiększa zużycie wody</w:t>
      </w:r>
      <w:r w:rsidR="00853110">
        <w:rPr>
          <w:rFonts w:cstheme="minorHAnsi"/>
          <w:color w:val="auto"/>
        </w:rPr>
        <w:t>.</w:t>
      </w:r>
      <w:r>
        <w:rPr>
          <w:rFonts w:cstheme="minorHAnsi"/>
          <w:color w:val="auto"/>
        </w:rPr>
        <w:br w:type="page"/>
      </w:r>
    </w:p>
    <w:p w14:paraId="76A1F297" w14:textId="2637D281" w:rsidR="00DA62B7" w:rsidRPr="00655FC7" w:rsidRDefault="00880211" w:rsidP="007C2025">
      <w:pPr>
        <w:pStyle w:val="Nagwek3"/>
      </w:pPr>
      <w:bookmarkStart w:id="256" w:name="_Toc124770323"/>
      <w:bookmarkStart w:id="257" w:name="_Toc124770325"/>
      <w:bookmarkStart w:id="258" w:name="_Toc177732085"/>
      <w:bookmarkEnd w:id="256"/>
      <w:bookmarkEnd w:id="257"/>
      <w:r>
        <w:lastRenderedPageBreak/>
        <w:t>Retencja</w:t>
      </w:r>
      <w:bookmarkEnd w:id="258"/>
    </w:p>
    <w:tbl>
      <w:tblPr>
        <w:tblStyle w:val="Tabela-Siatka"/>
        <w:tblW w:w="0" w:type="auto"/>
        <w:tblLook w:val="04A0" w:firstRow="1" w:lastRow="0" w:firstColumn="1" w:lastColumn="0" w:noHBand="0" w:noVBand="1"/>
      </w:tblPr>
      <w:tblGrid>
        <w:gridCol w:w="1668"/>
        <w:gridCol w:w="7402"/>
      </w:tblGrid>
      <w:tr w:rsidR="00FA7B27" w14:paraId="4E743025" w14:textId="77777777" w:rsidTr="001E5985">
        <w:trPr>
          <w:trHeight w:val="1037"/>
        </w:trPr>
        <w:tc>
          <w:tcPr>
            <w:tcW w:w="1668" w:type="dxa"/>
            <w:tcBorders>
              <w:top w:val="nil"/>
              <w:left w:val="nil"/>
              <w:bottom w:val="single" w:sz="24" w:space="0" w:color="FFFFFF" w:themeColor="background1"/>
              <w:right w:val="single" w:sz="24" w:space="0" w:color="FFFFFF" w:themeColor="background1"/>
            </w:tcBorders>
            <w:shd w:val="clear" w:color="auto" w:fill="C3E098" w:themeFill="accent1" w:themeFillTint="66"/>
          </w:tcPr>
          <w:p w14:paraId="2274E644" w14:textId="77777777" w:rsidR="00FA7B27" w:rsidRDefault="00FA7B27" w:rsidP="001E5985">
            <w:pPr>
              <w:ind w:firstLine="0"/>
              <w:rPr>
                <w:rFonts w:eastAsia="Calibri" w:cstheme="minorHAnsi"/>
                <w:color w:val="auto"/>
              </w:rPr>
            </w:pPr>
            <w:r>
              <w:rPr>
                <w:rFonts w:eastAsia="Calibri" w:cstheme="minorHAnsi"/>
                <w:noProof/>
                <w:color w:val="auto"/>
              </w:rPr>
              <w:drawing>
                <wp:inline distT="0" distB="0" distL="0" distR="0" wp14:anchorId="2812853F" wp14:editId="0F317282">
                  <wp:extent cx="914400" cy="914400"/>
                  <wp:effectExtent l="0" t="0" r="0" b="0"/>
                  <wp:docPr id="1280289558" name="Grafika 65" descr="Znaczek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289558" name="Grafika 65" descr="Znaczek z wypełnieniem pełnym"/>
                          <pic:cNvPicPr/>
                        </pic:nvPicPr>
                        <pic:blipFill>
                          <a:blip r:embed="rId174">
                            <a:extLst>
                              <a:ext uri="{96DAC541-7B7A-43D3-8B79-37D633B846F1}">
                                <asvg:svgBlip xmlns:asvg="http://schemas.microsoft.com/office/drawing/2016/SVG/main" r:embed="rId175"/>
                              </a:ext>
                            </a:extLst>
                          </a:blip>
                          <a:stretch>
                            <a:fillRect/>
                          </a:stretch>
                        </pic:blipFill>
                        <pic:spPr>
                          <a:xfrm>
                            <a:off x="0" y="0"/>
                            <a:ext cx="914400" cy="914400"/>
                          </a:xfrm>
                          <a:prstGeom prst="rect">
                            <a:avLst/>
                          </a:prstGeom>
                        </pic:spPr>
                      </pic:pic>
                    </a:graphicData>
                  </a:graphic>
                </wp:inline>
              </w:drawing>
            </w:r>
          </w:p>
        </w:tc>
        <w:tc>
          <w:tcPr>
            <w:tcW w:w="7544" w:type="dxa"/>
            <w:tcBorders>
              <w:top w:val="nil"/>
              <w:left w:val="single" w:sz="24" w:space="0" w:color="FFFFFF" w:themeColor="background1"/>
              <w:bottom w:val="single" w:sz="24" w:space="0" w:color="FFFFFF" w:themeColor="background1"/>
              <w:right w:val="nil"/>
            </w:tcBorders>
            <w:shd w:val="clear" w:color="auto" w:fill="C3E098" w:themeFill="accent1" w:themeFillTint="66"/>
            <w:vAlign w:val="center"/>
          </w:tcPr>
          <w:p w14:paraId="79B27660" w14:textId="750A043C" w:rsidR="00FA7B27" w:rsidRPr="003602EA" w:rsidRDefault="00FA7B27" w:rsidP="001E5985">
            <w:pPr>
              <w:ind w:firstLine="0"/>
              <w:jc w:val="left"/>
              <w:rPr>
                <w:rFonts w:eastAsia="Calibri" w:cstheme="minorHAnsi"/>
                <w:b/>
                <w:bCs/>
                <w:color w:val="auto"/>
                <w:sz w:val="36"/>
                <w:szCs w:val="36"/>
              </w:rPr>
            </w:pPr>
            <w:r>
              <w:rPr>
                <w:rFonts w:eastAsia="Calibri" w:cstheme="minorHAnsi"/>
                <w:b/>
                <w:bCs/>
                <w:color w:val="auto"/>
                <w:sz w:val="36"/>
                <w:szCs w:val="36"/>
              </w:rPr>
              <w:t xml:space="preserve">RETENCJA: </w:t>
            </w:r>
            <w:r w:rsidR="00BC3DFC">
              <w:rPr>
                <w:rFonts w:eastAsia="Calibri" w:cstheme="minorHAnsi"/>
                <w:b/>
                <w:bCs/>
                <w:color w:val="auto"/>
                <w:sz w:val="36"/>
                <w:szCs w:val="36"/>
              </w:rPr>
              <w:t>budowa obiektów retencyjnych i wsparcie małej retencji, ograniczenie zużycia wody</w:t>
            </w:r>
          </w:p>
        </w:tc>
      </w:tr>
      <w:tr w:rsidR="00FA7B27" w14:paraId="168C868D" w14:textId="77777777" w:rsidTr="001E5985">
        <w:trPr>
          <w:trHeight w:val="3167"/>
        </w:trPr>
        <w:tc>
          <w:tcPr>
            <w:tcW w:w="9212"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2F6EA" w:themeFill="accent6" w:themeFillTint="33"/>
          </w:tcPr>
          <w:p w14:paraId="67771401" w14:textId="77777777" w:rsidR="00FA7B27" w:rsidRPr="00FA7B27" w:rsidRDefault="00FA7B27">
            <w:pPr>
              <w:pStyle w:val="Akapitzlist"/>
              <w:numPr>
                <w:ilvl w:val="0"/>
                <w:numId w:val="88"/>
              </w:numPr>
              <w:spacing w:before="240" w:line="360" w:lineRule="auto"/>
              <w:rPr>
                <w:rFonts w:eastAsia="Calibri" w:cstheme="minorHAnsi"/>
                <w:color w:val="auto"/>
                <w:sz w:val="24"/>
                <w:szCs w:val="24"/>
              </w:rPr>
            </w:pPr>
            <w:bookmarkStart w:id="259" w:name="_Hlk174008207"/>
            <w:r w:rsidRPr="00FA7B27">
              <w:rPr>
                <w:rFonts w:eastAsia="Calibri" w:cstheme="minorHAnsi"/>
                <w:color w:val="auto"/>
                <w:sz w:val="24"/>
                <w:szCs w:val="24"/>
              </w:rPr>
              <w:t>Budowa trzech zbiorników retencyjnych</w:t>
            </w:r>
          </w:p>
          <w:p w14:paraId="5E474806" w14:textId="77777777" w:rsidR="00FA7B27" w:rsidRPr="00FA7B27" w:rsidRDefault="00FA7B27">
            <w:pPr>
              <w:pStyle w:val="Akapitzlist"/>
              <w:numPr>
                <w:ilvl w:val="0"/>
                <w:numId w:val="88"/>
              </w:numPr>
              <w:spacing w:before="240" w:line="360" w:lineRule="auto"/>
              <w:rPr>
                <w:rFonts w:eastAsia="Calibri" w:cstheme="minorHAnsi"/>
                <w:color w:val="auto"/>
                <w:sz w:val="24"/>
                <w:szCs w:val="24"/>
              </w:rPr>
            </w:pPr>
            <w:r w:rsidRPr="00FA7B27">
              <w:rPr>
                <w:rFonts w:eastAsia="Calibri" w:cstheme="minorHAnsi"/>
                <w:color w:val="auto"/>
                <w:sz w:val="24"/>
                <w:szCs w:val="24"/>
              </w:rPr>
              <w:t>Poprawa funkcjonowania gospodarki wodno-ściekowej</w:t>
            </w:r>
          </w:p>
          <w:p w14:paraId="6FA2E9F7" w14:textId="77777777" w:rsidR="00FA7B27" w:rsidRPr="00FA7B27" w:rsidRDefault="00FA7B27">
            <w:pPr>
              <w:pStyle w:val="Akapitzlist"/>
              <w:numPr>
                <w:ilvl w:val="0"/>
                <w:numId w:val="88"/>
              </w:numPr>
              <w:spacing w:before="240" w:line="360" w:lineRule="auto"/>
              <w:rPr>
                <w:rFonts w:eastAsia="Calibri" w:cstheme="minorHAnsi"/>
                <w:color w:val="auto"/>
                <w:sz w:val="24"/>
                <w:szCs w:val="24"/>
              </w:rPr>
            </w:pPr>
            <w:r w:rsidRPr="00FA7B27">
              <w:rPr>
                <w:rFonts w:eastAsia="Calibri" w:cstheme="minorHAnsi"/>
                <w:color w:val="auto"/>
                <w:sz w:val="24"/>
                <w:szCs w:val="24"/>
              </w:rPr>
              <w:t>Renaturalizacja cieków oraz zbiorników wodnych</w:t>
            </w:r>
          </w:p>
          <w:p w14:paraId="57F69620" w14:textId="77777777" w:rsidR="00FA7B27" w:rsidRPr="00FA7B27" w:rsidRDefault="00FA7B27">
            <w:pPr>
              <w:pStyle w:val="Akapitzlist"/>
              <w:numPr>
                <w:ilvl w:val="0"/>
                <w:numId w:val="88"/>
              </w:numPr>
              <w:spacing w:before="240" w:line="360" w:lineRule="auto"/>
              <w:rPr>
                <w:rFonts w:eastAsia="Calibri" w:cstheme="minorHAnsi"/>
                <w:color w:val="auto"/>
                <w:sz w:val="24"/>
                <w:szCs w:val="24"/>
              </w:rPr>
            </w:pPr>
            <w:r w:rsidRPr="00FA7B27">
              <w:rPr>
                <w:rFonts w:eastAsia="Calibri" w:cstheme="minorHAnsi"/>
                <w:color w:val="auto"/>
                <w:sz w:val="24"/>
                <w:szCs w:val="24"/>
              </w:rPr>
              <w:t>Wsparcie obiektów małej retencji</w:t>
            </w:r>
          </w:p>
          <w:p w14:paraId="29EA2AF5" w14:textId="77777777" w:rsidR="00FA7B27" w:rsidRPr="00FA7B27" w:rsidRDefault="00FA7B27">
            <w:pPr>
              <w:pStyle w:val="Akapitzlist"/>
              <w:numPr>
                <w:ilvl w:val="0"/>
                <w:numId w:val="88"/>
              </w:numPr>
              <w:spacing w:before="240" w:line="360" w:lineRule="auto"/>
              <w:rPr>
                <w:rFonts w:eastAsia="Calibri" w:cstheme="minorHAnsi"/>
                <w:color w:val="auto"/>
                <w:sz w:val="24"/>
                <w:szCs w:val="24"/>
              </w:rPr>
            </w:pPr>
            <w:r w:rsidRPr="00FA7B27">
              <w:rPr>
                <w:rFonts w:eastAsia="Calibri" w:cstheme="minorHAnsi"/>
                <w:color w:val="auto"/>
                <w:sz w:val="24"/>
                <w:szCs w:val="24"/>
              </w:rPr>
              <w:t>Błękitno-zielona infrastruktura i rozwiązania bazujące na przyrodzie</w:t>
            </w:r>
          </w:p>
          <w:p w14:paraId="177ED0F9" w14:textId="77777777" w:rsidR="00FA7B27" w:rsidRDefault="00FA7B27">
            <w:pPr>
              <w:pStyle w:val="Akapitzlist"/>
              <w:numPr>
                <w:ilvl w:val="0"/>
                <w:numId w:val="88"/>
              </w:numPr>
              <w:spacing w:before="240" w:line="360" w:lineRule="auto"/>
              <w:rPr>
                <w:rFonts w:eastAsia="Calibri" w:cstheme="minorHAnsi"/>
                <w:color w:val="auto"/>
                <w:sz w:val="24"/>
                <w:szCs w:val="24"/>
              </w:rPr>
            </w:pPr>
            <w:r w:rsidRPr="00FA7B27">
              <w:rPr>
                <w:rFonts w:eastAsia="Calibri" w:cstheme="minorHAnsi"/>
                <w:color w:val="auto"/>
                <w:sz w:val="24"/>
                <w:szCs w:val="24"/>
              </w:rPr>
              <w:t>Rozwój zieleni miejskiej zatrzymującej wodę</w:t>
            </w:r>
          </w:p>
          <w:p w14:paraId="4344017B" w14:textId="5F001875" w:rsidR="00686061" w:rsidRPr="00FA7B27" w:rsidRDefault="00686061">
            <w:pPr>
              <w:pStyle w:val="Akapitzlist"/>
              <w:numPr>
                <w:ilvl w:val="0"/>
                <w:numId w:val="88"/>
              </w:numPr>
              <w:spacing w:before="240" w:line="360" w:lineRule="auto"/>
              <w:rPr>
                <w:rFonts w:eastAsia="Calibri" w:cstheme="minorHAnsi"/>
                <w:color w:val="auto"/>
                <w:sz w:val="24"/>
                <w:szCs w:val="24"/>
              </w:rPr>
            </w:pPr>
            <w:r w:rsidRPr="00686061">
              <w:rPr>
                <w:rFonts w:eastAsia="Calibri" w:cstheme="minorHAnsi"/>
                <w:color w:val="auto"/>
                <w:sz w:val="24"/>
                <w:szCs w:val="24"/>
              </w:rPr>
              <w:t xml:space="preserve">Przebudowa placu za budynkiem </w:t>
            </w:r>
            <w:r>
              <w:rPr>
                <w:rFonts w:eastAsia="Calibri" w:cstheme="minorHAnsi"/>
                <w:color w:val="auto"/>
                <w:sz w:val="24"/>
                <w:szCs w:val="24"/>
              </w:rPr>
              <w:t>UM</w:t>
            </w:r>
            <w:r w:rsidRPr="00686061">
              <w:rPr>
                <w:rFonts w:eastAsia="Calibri" w:cstheme="minorHAnsi"/>
                <w:color w:val="auto"/>
                <w:sz w:val="24"/>
                <w:szCs w:val="24"/>
              </w:rPr>
              <w:t xml:space="preserve"> z zastosowaniem nawierzchni przepuszczalnej</w:t>
            </w:r>
          </w:p>
          <w:p w14:paraId="77239D5F" w14:textId="77777777" w:rsidR="00FA7B27" w:rsidRPr="00FA7B27" w:rsidRDefault="00FA7B27">
            <w:pPr>
              <w:pStyle w:val="Akapitzlist"/>
              <w:numPr>
                <w:ilvl w:val="0"/>
                <w:numId w:val="88"/>
              </w:numPr>
              <w:spacing w:before="240" w:line="360" w:lineRule="auto"/>
              <w:rPr>
                <w:rFonts w:eastAsia="Calibri" w:cstheme="minorHAnsi"/>
                <w:color w:val="auto"/>
                <w:sz w:val="24"/>
                <w:szCs w:val="24"/>
              </w:rPr>
            </w:pPr>
            <w:r w:rsidRPr="00FA7B27">
              <w:rPr>
                <w:rFonts w:eastAsia="Calibri" w:cstheme="minorHAnsi"/>
                <w:color w:val="auto"/>
                <w:sz w:val="24"/>
                <w:szCs w:val="24"/>
              </w:rPr>
              <w:t>System magazynowania wody deszczowej na obiektach publicznych</w:t>
            </w:r>
          </w:p>
          <w:p w14:paraId="2C593934" w14:textId="77777777" w:rsidR="00FA7B27" w:rsidRPr="00FA7B27" w:rsidRDefault="00FA7B27">
            <w:pPr>
              <w:pStyle w:val="Akapitzlist"/>
              <w:numPr>
                <w:ilvl w:val="0"/>
                <w:numId w:val="88"/>
              </w:numPr>
              <w:spacing w:before="240" w:line="360" w:lineRule="auto"/>
              <w:rPr>
                <w:rFonts w:eastAsia="Calibri" w:cstheme="minorHAnsi"/>
                <w:color w:val="auto"/>
                <w:sz w:val="24"/>
                <w:szCs w:val="24"/>
              </w:rPr>
            </w:pPr>
            <w:r w:rsidRPr="00FA7B27">
              <w:rPr>
                <w:rFonts w:eastAsia="Calibri" w:cstheme="minorHAnsi"/>
                <w:color w:val="auto"/>
                <w:sz w:val="24"/>
                <w:szCs w:val="24"/>
              </w:rPr>
              <w:t>Wymiana wodomierzy na przystosowane do odczytu radiowego</w:t>
            </w:r>
          </w:p>
          <w:p w14:paraId="5C7F3120" w14:textId="556F3E76" w:rsidR="00FA7B27" w:rsidRPr="006450DE" w:rsidRDefault="00FA7B27">
            <w:pPr>
              <w:pStyle w:val="Akapitzlist"/>
              <w:numPr>
                <w:ilvl w:val="0"/>
                <w:numId w:val="88"/>
              </w:numPr>
              <w:spacing w:line="360" w:lineRule="auto"/>
              <w:rPr>
                <w:rFonts w:eastAsia="Calibri" w:cstheme="minorHAnsi"/>
                <w:color w:val="auto"/>
              </w:rPr>
            </w:pPr>
            <w:r w:rsidRPr="00FA7B27">
              <w:rPr>
                <w:rFonts w:eastAsia="Calibri" w:cstheme="minorHAnsi"/>
                <w:color w:val="auto"/>
                <w:sz w:val="24"/>
                <w:szCs w:val="24"/>
              </w:rPr>
              <w:t>Rozbudowa sieci kanalizacji deszczowej</w:t>
            </w:r>
            <w:bookmarkEnd w:id="259"/>
          </w:p>
        </w:tc>
      </w:tr>
    </w:tbl>
    <w:p w14:paraId="3D62EA2F" w14:textId="77777777" w:rsidR="00DA62B7" w:rsidRPr="00655FC7" w:rsidRDefault="00DA62B7" w:rsidP="00C7522D">
      <w:pPr>
        <w:tabs>
          <w:tab w:val="left" w:pos="3119"/>
        </w:tabs>
        <w:rPr>
          <w:rFonts w:cstheme="minorHAnsi"/>
          <w:color w:val="auto"/>
        </w:rPr>
      </w:pPr>
    </w:p>
    <w:p w14:paraId="7AD256FD" w14:textId="21AD78BD" w:rsidR="00853110" w:rsidRDefault="00853110" w:rsidP="00853110">
      <w:pPr>
        <w:pStyle w:val="Nagwek4"/>
      </w:pPr>
      <w:r>
        <w:t>Budowa trzech zbiorników retencyjnych</w:t>
      </w:r>
    </w:p>
    <w:p w14:paraId="675B874F" w14:textId="293B2A4C" w:rsidR="00FC4992" w:rsidRDefault="004C012E" w:rsidP="00D52112">
      <w:pPr>
        <w:rPr>
          <w:rFonts w:eastAsia="Calibri" w:cstheme="minorHAnsi"/>
          <w:color w:val="auto"/>
        </w:rPr>
      </w:pPr>
      <w:r>
        <w:rPr>
          <w:rFonts w:eastAsia="Calibri" w:cstheme="minorHAnsi"/>
          <w:color w:val="auto"/>
        </w:rPr>
        <w:t>Najistotniejszą</w:t>
      </w:r>
      <w:r w:rsidR="00D52112" w:rsidRPr="00655FC7">
        <w:rPr>
          <w:rFonts w:eastAsia="Calibri" w:cstheme="minorHAnsi"/>
          <w:color w:val="auto"/>
        </w:rPr>
        <w:t xml:space="preserve"> kwestią </w:t>
      </w:r>
      <w:r>
        <w:rPr>
          <w:rFonts w:eastAsia="Calibri" w:cstheme="minorHAnsi"/>
          <w:color w:val="auto"/>
        </w:rPr>
        <w:t>na obszarze miasta jest</w:t>
      </w:r>
      <w:r w:rsidR="00D52112" w:rsidRPr="00655FC7">
        <w:rPr>
          <w:rFonts w:eastAsia="Calibri" w:cstheme="minorHAnsi"/>
          <w:color w:val="auto"/>
        </w:rPr>
        <w:t xml:space="preserve"> retencja wód opadowych. Zbieranie i</w:t>
      </w:r>
      <w:r w:rsidR="00FC4992">
        <w:rPr>
          <w:rFonts w:eastAsia="Calibri" w:cstheme="minorHAnsi"/>
          <w:color w:val="auto"/>
        </w:rPr>
        <w:t> </w:t>
      </w:r>
      <w:r w:rsidR="00D52112" w:rsidRPr="00655FC7">
        <w:rPr>
          <w:rFonts w:eastAsia="Calibri" w:cstheme="minorHAnsi"/>
          <w:color w:val="auto"/>
        </w:rPr>
        <w:t>wykorzystywanie wody deszczowej z</w:t>
      </w:r>
      <w:r w:rsidR="00FC4992">
        <w:rPr>
          <w:rFonts w:eastAsia="Calibri" w:cstheme="minorHAnsi"/>
          <w:color w:val="auto"/>
        </w:rPr>
        <w:t xml:space="preserve"> </w:t>
      </w:r>
      <w:r w:rsidR="00D52112" w:rsidRPr="00655FC7">
        <w:rPr>
          <w:rFonts w:eastAsia="Calibri" w:cstheme="minorHAnsi"/>
          <w:color w:val="auto"/>
        </w:rPr>
        <w:t>jednej strony pozwala zaoszczędzić cenną wodę pitną,</w:t>
      </w:r>
      <w:r w:rsidR="00737181">
        <w:rPr>
          <w:rFonts w:eastAsia="Calibri" w:cstheme="minorHAnsi"/>
          <w:color w:val="auto"/>
        </w:rPr>
        <w:br/>
      </w:r>
      <w:r w:rsidR="00D52112" w:rsidRPr="00655FC7">
        <w:rPr>
          <w:rFonts w:eastAsia="Calibri" w:cstheme="minorHAnsi"/>
          <w:color w:val="auto"/>
        </w:rPr>
        <w:t>a z drugiej</w:t>
      </w:r>
      <w:r w:rsidR="00737181">
        <w:rPr>
          <w:rFonts w:eastAsia="Calibri" w:cstheme="minorHAnsi"/>
          <w:color w:val="auto"/>
        </w:rPr>
        <w:t>,</w:t>
      </w:r>
      <w:r w:rsidR="00D52112" w:rsidRPr="00655FC7">
        <w:rPr>
          <w:rFonts w:eastAsia="Calibri" w:cstheme="minorHAnsi"/>
          <w:color w:val="auto"/>
        </w:rPr>
        <w:t xml:space="preserve"> pomaga rozwiązać problem odprowadzania wody opadowej z powierzchni zlewni, przeciwdziałając powodziom i</w:t>
      </w:r>
      <w:r w:rsidR="00737181">
        <w:rPr>
          <w:rFonts w:eastAsia="Calibri" w:cstheme="minorHAnsi"/>
          <w:color w:val="auto"/>
        </w:rPr>
        <w:t xml:space="preserve"> </w:t>
      </w:r>
      <w:r w:rsidR="00D52112" w:rsidRPr="00655FC7">
        <w:rPr>
          <w:rFonts w:eastAsia="Calibri" w:cstheme="minorHAnsi"/>
          <w:color w:val="auto"/>
        </w:rPr>
        <w:t xml:space="preserve">podtopieniom. </w:t>
      </w:r>
    </w:p>
    <w:p w14:paraId="464CEE8D" w14:textId="6CB5AFDF" w:rsidR="00D52112" w:rsidRPr="00655FC7" w:rsidRDefault="00D52112" w:rsidP="00D52112">
      <w:r w:rsidRPr="00655FC7">
        <w:t>Retencjonowanie wód przynosi wiele korzyści zarówno środowiskowych jak i</w:t>
      </w:r>
      <w:r w:rsidR="00737181">
        <w:t xml:space="preserve"> </w:t>
      </w:r>
      <w:r w:rsidRPr="00655FC7">
        <w:t>gospodarczych, między innymi:</w:t>
      </w:r>
    </w:p>
    <w:p w14:paraId="10685FD5" w14:textId="77777777" w:rsidR="00D52112" w:rsidRPr="00655FC7" w:rsidRDefault="00D52112">
      <w:pPr>
        <w:pStyle w:val="Akapitzlist"/>
        <w:numPr>
          <w:ilvl w:val="0"/>
          <w:numId w:val="7"/>
        </w:numPr>
        <w:spacing w:after="200"/>
        <w:ind w:left="714" w:hanging="357"/>
        <w:rPr>
          <w:rFonts w:cstheme="minorHAnsi"/>
          <w:color w:val="auto"/>
        </w:rPr>
      </w:pPr>
      <w:r w:rsidRPr="00655FC7">
        <w:rPr>
          <w:rFonts w:cstheme="minorHAnsi"/>
          <w:color w:val="auto"/>
        </w:rPr>
        <w:t>zwiększenie ochrony przed powodzią,</w:t>
      </w:r>
    </w:p>
    <w:p w14:paraId="0F31223C" w14:textId="77777777" w:rsidR="00D52112" w:rsidRPr="00655FC7" w:rsidRDefault="00D52112">
      <w:pPr>
        <w:pStyle w:val="Akapitzlist"/>
        <w:numPr>
          <w:ilvl w:val="0"/>
          <w:numId w:val="7"/>
        </w:numPr>
        <w:spacing w:after="200"/>
        <w:ind w:left="714" w:hanging="357"/>
        <w:rPr>
          <w:rFonts w:cstheme="minorHAnsi"/>
          <w:color w:val="auto"/>
        </w:rPr>
      </w:pPr>
      <w:r w:rsidRPr="00655FC7">
        <w:rPr>
          <w:rFonts w:cstheme="minorHAnsi"/>
          <w:color w:val="auto"/>
        </w:rPr>
        <w:t>zwiększenie zasobów wód powierzchniowych i gruntowych, prowadząc tym samym do przeciwdziała skutkom suszy,</w:t>
      </w:r>
    </w:p>
    <w:p w14:paraId="6AFAFF95" w14:textId="77777777" w:rsidR="00D52112" w:rsidRPr="00655FC7" w:rsidRDefault="00D52112">
      <w:pPr>
        <w:pStyle w:val="Akapitzlist"/>
        <w:numPr>
          <w:ilvl w:val="0"/>
          <w:numId w:val="7"/>
        </w:numPr>
        <w:spacing w:after="200"/>
        <w:ind w:left="714" w:hanging="357"/>
        <w:rPr>
          <w:rFonts w:cstheme="minorHAnsi"/>
          <w:color w:val="auto"/>
        </w:rPr>
      </w:pPr>
      <w:r w:rsidRPr="00655FC7">
        <w:rPr>
          <w:rFonts w:cstheme="minorHAnsi"/>
          <w:color w:val="auto"/>
        </w:rPr>
        <w:t>wzrost ochrony przeciwpożarowej,</w:t>
      </w:r>
    </w:p>
    <w:p w14:paraId="3A2BE247" w14:textId="77777777" w:rsidR="00D52112" w:rsidRPr="00655FC7" w:rsidRDefault="00D52112">
      <w:pPr>
        <w:pStyle w:val="Akapitzlist"/>
        <w:numPr>
          <w:ilvl w:val="0"/>
          <w:numId w:val="7"/>
        </w:numPr>
        <w:spacing w:after="200"/>
        <w:ind w:left="714" w:hanging="357"/>
        <w:rPr>
          <w:rFonts w:cstheme="minorHAnsi"/>
          <w:color w:val="auto"/>
        </w:rPr>
      </w:pPr>
      <w:r w:rsidRPr="00655FC7">
        <w:rPr>
          <w:rFonts w:cstheme="minorHAnsi"/>
          <w:color w:val="auto"/>
        </w:rPr>
        <w:t>wzrost plonów w rolnictwie,</w:t>
      </w:r>
    </w:p>
    <w:p w14:paraId="40948E0B" w14:textId="77777777" w:rsidR="00D52112" w:rsidRPr="00655FC7" w:rsidRDefault="00D52112">
      <w:pPr>
        <w:pStyle w:val="Akapitzlist"/>
        <w:numPr>
          <w:ilvl w:val="0"/>
          <w:numId w:val="7"/>
        </w:numPr>
        <w:spacing w:after="200"/>
        <w:ind w:left="714" w:hanging="357"/>
        <w:rPr>
          <w:rFonts w:cstheme="minorHAnsi"/>
          <w:color w:val="auto"/>
        </w:rPr>
      </w:pPr>
      <w:r w:rsidRPr="00655FC7">
        <w:rPr>
          <w:rFonts w:cstheme="minorHAnsi"/>
          <w:color w:val="auto"/>
        </w:rPr>
        <w:t>rozwój hodowli ryb i ptactwa wodnego,</w:t>
      </w:r>
    </w:p>
    <w:p w14:paraId="1E1A0414" w14:textId="77777777" w:rsidR="00D52112" w:rsidRPr="00655FC7" w:rsidRDefault="00D52112">
      <w:pPr>
        <w:pStyle w:val="Akapitzlist"/>
        <w:numPr>
          <w:ilvl w:val="0"/>
          <w:numId w:val="7"/>
        </w:numPr>
        <w:spacing w:after="200"/>
        <w:ind w:left="714" w:hanging="357"/>
        <w:rPr>
          <w:rFonts w:cstheme="minorHAnsi"/>
          <w:color w:val="auto"/>
        </w:rPr>
      </w:pPr>
      <w:r w:rsidRPr="00655FC7">
        <w:rPr>
          <w:rFonts w:cstheme="minorHAnsi"/>
          <w:color w:val="auto"/>
        </w:rPr>
        <w:t>zachowanie i odtworzenie naturalnych walorów środowiskowych,</w:t>
      </w:r>
    </w:p>
    <w:p w14:paraId="671B4310" w14:textId="77777777" w:rsidR="00D52112" w:rsidRPr="00655FC7" w:rsidRDefault="00D52112">
      <w:pPr>
        <w:pStyle w:val="Akapitzlist"/>
        <w:numPr>
          <w:ilvl w:val="0"/>
          <w:numId w:val="7"/>
        </w:numPr>
        <w:spacing w:after="200"/>
        <w:ind w:left="714" w:hanging="357"/>
        <w:rPr>
          <w:rFonts w:cstheme="minorHAnsi"/>
          <w:color w:val="auto"/>
        </w:rPr>
      </w:pPr>
      <w:r w:rsidRPr="00655FC7">
        <w:rPr>
          <w:rFonts w:cstheme="minorHAnsi"/>
          <w:color w:val="auto"/>
        </w:rPr>
        <w:t>poprawa mikroklimatu i poprawa czystości wód,</w:t>
      </w:r>
    </w:p>
    <w:p w14:paraId="1BE8A7D0" w14:textId="77777777" w:rsidR="00D52112" w:rsidRPr="00655FC7" w:rsidRDefault="00D52112">
      <w:pPr>
        <w:pStyle w:val="Akapitzlist"/>
        <w:numPr>
          <w:ilvl w:val="0"/>
          <w:numId w:val="7"/>
        </w:numPr>
        <w:ind w:left="714" w:hanging="357"/>
        <w:rPr>
          <w:rFonts w:cstheme="minorHAnsi"/>
          <w:color w:val="auto"/>
        </w:rPr>
      </w:pPr>
      <w:r w:rsidRPr="00655FC7">
        <w:rPr>
          <w:rFonts w:cstheme="minorHAnsi"/>
          <w:color w:val="auto"/>
        </w:rPr>
        <w:t>rozwój turystyki i rekreacji</w:t>
      </w:r>
      <w:r w:rsidRPr="00655FC7">
        <w:rPr>
          <w:rStyle w:val="Odwoanieprzypisudolnego"/>
          <w:rFonts w:cstheme="minorHAnsi"/>
          <w:color w:val="auto"/>
        </w:rPr>
        <w:footnoteReference w:id="38"/>
      </w:r>
      <w:r w:rsidRPr="00655FC7">
        <w:rPr>
          <w:rFonts w:cstheme="minorHAnsi"/>
          <w:color w:val="auto"/>
        </w:rPr>
        <w:t>.</w:t>
      </w:r>
    </w:p>
    <w:p w14:paraId="76B5DB4B" w14:textId="77777777" w:rsidR="00D52112" w:rsidRDefault="00D52112" w:rsidP="00D52112">
      <w:pPr>
        <w:rPr>
          <w:lang w:eastAsia="pl-PL"/>
        </w:rPr>
      </w:pPr>
    </w:p>
    <w:p w14:paraId="18FF781F" w14:textId="1110819C" w:rsidR="00737181" w:rsidRPr="005B7539" w:rsidRDefault="00922C39" w:rsidP="00D52112">
      <w:pPr>
        <w:rPr>
          <w:lang w:eastAsia="pl-PL"/>
        </w:rPr>
      </w:pPr>
      <w:r>
        <w:rPr>
          <w:lang w:eastAsia="pl-PL"/>
        </w:rPr>
        <w:t>Miasto planuje budowę trzech zbiorników retencyjnych w następujących lokalizacjach:</w:t>
      </w:r>
      <w:r w:rsidRPr="00922C39">
        <w:t xml:space="preserve"> </w:t>
      </w:r>
      <w:r w:rsidR="00A82C90">
        <w:t xml:space="preserve">ul. </w:t>
      </w:r>
      <w:r w:rsidRPr="00922C39">
        <w:rPr>
          <w:lang w:eastAsia="pl-PL"/>
        </w:rPr>
        <w:t xml:space="preserve">Przedmieście Płuskie Wschód, </w:t>
      </w:r>
      <w:r w:rsidR="00A82C90">
        <w:rPr>
          <w:lang w:eastAsia="pl-PL"/>
        </w:rPr>
        <w:t xml:space="preserve">ul. </w:t>
      </w:r>
      <w:r w:rsidRPr="00922C39">
        <w:rPr>
          <w:lang w:eastAsia="pl-PL"/>
        </w:rPr>
        <w:t xml:space="preserve">Przedmieście Płuskie Zachód, </w:t>
      </w:r>
      <w:r w:rsidR="00A82C90">
        <w:rPr>
          <w:lang w:eastAsia="pl-PL"/>
        </w:rPr>
        <w:t xml:space="preserve">ul. </w:t>
      </w:r>
      <w:r w:rsidRPr="00922C39">
        <w:rPr>
          <w:lang w:eastAsia="pl-PL"/>
        </w:rPr>
        <w:t>Przedmieście Bukowskie</w:t>
      </w:r>
      <w:r>
        <w:rPr>
          <w:lang w:eastAsia="pl-PL"/>
        </w:rPr>
        <w:t>.</w:t>
      </w:r>
    </w:p>
    <w:p w14:paraId="72601E4B" w14:textId="77777777" w:rsidR="00853110" w:rsidRDefault="00853110" w:rsidP="00853110">
      <w:pPr>
        <w:pStyle w:val="Nagwek4"/>
      </w:pPr>
      <w:r>
        <w:lastRenderedPageBreak/>
        <w:t>Poprawa funkcjonowania gospodarki wodno-ściekowej</w:t>
      </w:r>
    </w:p>
    <w:p w14:paraId="27917E47" w14:textId="13A63373" w:rsidR="00922C39" w:rsidRDefault="005B7539" w:rsidP="005B7539">
      <w:pPr>
        <w:rPr>
          <w:lang w:eastAsia="pl-PL"/>
        </w:rPr>
      </w:pPr>
      <w:r>
        <w:rPr>
          <w:lang w:eastAsia="pl-PL"/>
        </w:rPr>
        <w:t xml:space="preserve">Kolejną istotną </w:t>
      </w:r>
      <w:r w:rsidR="00922C39">
        <w:rPr>
          <w:lang w:eastAsia="pl-PL"/>
        </w:rPr>
        <w:t>kwestią</w:t>
      </w:r>
      <w:r>
        <w:rPr>
          <w:lang w:eastAsia="pl-PL"/>
        </w:rPr>
        <w:t xml:space="preserve"> jest przystosowanie infrastruktury </w:t>
      </w:r>
      <w:r w:rsidR="00922C39">
        <w:rPr>
          <w:lang w:eastAsia="pl-PL"/>
        </w:rPr>
        <w:t xml:space="preserve">miasta </w:t>
      </w:r>
      <w:r>
        <w:rPr>
          <w:lang w:eastAsia="pl-PL"/>
        </w:rPr>
        <w:t>do zmian klimatu. Przestarzałe, nieszczelne sieci wodociągowe i kanalizacyjne mogą zagrażać zdrowiu i życiu mieszkańców oraz drastycznie wpłynąć na obniżenie jakości życia na omawianym terenie.</w:t>
      </w:r>
    </w:p>
    <w:p w14:paraId="6DD1FC40" w14:textId="2D68E891" w:rsidR="00922C39" w:rsidRDefault="00922C39" w:rsidP="005B7539">
      <w:pPr>
        <w:rPr>
          <w:lang w:eastAsia="pl-PL"/>
        </w:rPr>
      </w:pPr>
      <w:r>
        <w:rPr>
          <w:lang w:eastAsia="pl-PL"/>
        </w:rPr>
        <w:t>Zgodnie z wieloletnim planem rozwoju i modernizacji urządzeń wodociągowych i kanalizacyjnych w Gminie Tarnogród na lata 2021-2025 przyjęty</w:t>
      </w:r>
      <w:r w:rsidR="00E01008">
        <w:rPr>
          <w:lang w:eastAsia="pl-PL"/>
        </w:rPr>
        <w:t>m</w:t>
      </w:r>
      <w:r>
        <w:rPr>
          <w:lang w:eastAsia="pl-PL"/>
        </w:rPr>
        <w:t xml:space="preserve"> Uchwałą Nr XXXII/213/2021 Rady Miejskiej w</w:t>
      </w:r>
      <w:r w:rsidR="006B3E53">
        <w:rPr>
          <w:lang w:eastAsia="pl-PL"/>
        </w:rPr>
        <w:t> </w:t>
      </w:r>
      <w:r>
        <w:rPr>
          <w:lang w:eastAsia="pl-PL"/>
        </w:rPr>
        <w:t>Tarnogrodzie</w:t>
      </w:r>
      <w:r w:rsidR="006B3E53">
        <w:rPr>
          <w:lang w:eastAsia="pl-PL"/>
        </w:rPr>
        <w:t>, planuje się następujące przedsięwzięcia:</w:t>
      </w:r>
    </w:p>
    <w:p w14:paraId="3E387CCE" w14:textId="77777777" w:rsidR="006B3E53" w:rsidRDefault="006B3E53">
      <w:pPr>
        <w:pStyle w:val="Akapitzlist"/>
        <w:numPr>
          <w:ilvl w:val="0"/>
          <w:numId w:val="99"/>
        </w:numPr>
        <w:ind w:left="0"/>
        <w:rPr>
          <w:lang w:eastAsia="pl-PL"/>
        </w:rPr>
      </w:pPr>
      <w:r w:rsidRPr="006B3E53">
        <w:rPr>
          <w:lang w:eastAsia="pl-PL"/>
        </w:rPr>
        <w:t>zwiększeni</w:t>
      </w:r>
      <w:r>
        <w:rPr>
          <w:lang w:eastAsia="pl-PL"/>
        </w:rPr>
        <w:t>e</w:t>
      </w:r>
      <w:r w:rsidRPr="006B3E53">
        <w:rPr>
          <w:lang w:eastAsia="pl-PL"/>
        </w:rPr>
        <w:t xml:space="preserve"> przepustowości oczyszczalni ścieków celem przyłączenia nowych odbiorców,</w:t>
      </w:r>
    </w:p>
    <w:p w14:paraId="295B66C6" w14:textId="77777777" w:rsidR="006B3E53" w:rsidRDefault="006B3E53">
      <w:pPr>
        <w:pStyle w:val="Akapitzlist"/>
        <w:numPr>
          <w:ilvl w:val="0"/>
          <w:numId w:val="99"/>
        </w:numPr>
        <w:ind w:left="0"/>
        <w:rPr>
          <w:lang w:eastAsia="pl-PL"/>
        </w:rPr>
      </w:pPr>
      <w:r w:rsidRPr="006B3E53">
        <w:rPr>
          <w:lang w:eastAsia="pl-PL"/>
        </w:rPr>
        <w:t>budow</w:t>
      </w:r>
      <w:r>
        <w:rPr>
          <w:lang w:eastAsia="pl-PL"/>
        </w:rPr>
        <w:t>ę</w:t>
      </w:r>
      <w:r w:rsidRPr="006B3E53">
        <w:rPr>
          <w:lang w:eastAsia="pl-PL"/>
        </w:rPr>
        <w:t xml:space="preserve"> sieci wodociągowej i kanalizacyjnej,</w:t>
      </w:r>
    </w:p>
    <w:p w14:paraId="0445998F" w14:textId="77777777" w:rsidR="006B3E53" w:rsidRDefault="006B3E53">
      <w:pPr>
        <w:pStyle w:val="Akapitzlist"/>
        <w:numPr>
          <w:ilvl w:val="0"/>
          <w:numId w:val="99"/>
        </w:numPr>
        <w:ind w:left="0"/>
        <w:rPr>
          <w:lang w:eastAsia="pl-PL"/>
        </w:rPr>
      </w:pPr>
      <w:r>
        <w:rPr>
          <w:lang w:eastAsia="pl-PL"/>
        </w:rPr>
        <w:t>w</w:t>
      </w:r>
      <w:r w:rsidRPr="006B3E53">
        <w:rPr>
          <w:lang w:eastAsia="pl-PL"/>
        </w:rPr>
        <w:t>ykonanie nowego odwiertu ujęcia wody podziemnej,</w:t>
      </w:r>
    </w:p>
    <w:p w14:paraId="3D82D92A" w14:textId="0C643D7D" w:rsidR="006B3E53" w:rsidRDefault="006B3E53">
      <w:pPr>
        <w:pStyle w:val="Akapitzlist"/>
        <w:numPr>
          <w:ilvl w:val="0"/>
          <w:numId w:val="99"/>
        </w:numPr>
        <w:ind w:left="0"/>
        <w:rPr>
          <w:lang w:eastAsia="pl-PL"/>
        </w:rPr>
      </w:pPr>
      <w:r w:rsidRPr="006B3E53">
        <w:rPr>
          <w:lang w:eastAsia="pl-PL"/>
        </w:rPr>
        <w:t>budowę zbiornika do wstępnego oczyszczania ścieków</w:t>
      </w:r>
      <w:r w:rsidR="00BC786C">
        <w:rPr>
          <w:lang w:eastAsia="pl-PL"/>
        </w:rPr>
        <w:t>.</w:t>
      </w:r>
    </w:p>
    <w:p w14:paraId="4A35EADC" w14:textId="699A94A9" w:rsidR="005B7539" w:rsidRDefault="005B7539" w:rsidP="005B7539">
      <w:pPr>
        <w:rPr>
          <w:lang w:eastAsia="pl-PL"/>
        </w:rPr>
      </w:pPr>
      <w:r>
        <w:rPr>
          <w:lang w:eastAsia="pl-PL"/>
        </w:rPr>
        <w:t>Wszystkie zadania, zarówno ciągłe utrzymanie sieci i urządzeń oraz inwestycje, będą niezwykle istotne w przeciwdziałaniu skutkom zmian klimatu.</w:t>
      </w:r>
    </w:p>
    <w:p w14:paraId="71768599" w14:textId="77777777" w:rsidR="005B7539" w:rsidRPr="005B7539" w:rsidRDefault="005B7539" w:rsidP="005B7539">
      <w:pPr>
        <w:rPr>
          <w:lang w:eastAsia="pl-PL"/>
        </w:rPr>
      </w:pPr>
    </w:p>
    <w:p w14:paraId="6C772325" w14:textId="77777777" w:rsidR="00853110" w:rsidRDefault="00853110" w:rsidP="00853110">
      <w:pPr>
        <w:pStyle w:val="Nagwek4"/>
      </w:pPr>
      <w:r>
        <w:t>Renaturalizacja cieków oraz zbiorników wodnych</w:t>
      </w:r>
    </w:p>
    <w:p w14:paraId="780708FE" w14:textId="77777777" w:rsidR="005B7539" w:rsidRDefault="005B7539" w:rsidP="005B7539">
      <w:pPr>
        <w:rPr>
          <w:lang w:eastAsia="pl-PL"/>
        </w:rPr>
      </w:pPr>
      <w:r>
        <w:rPr>
          <w:lang w:eastAsia="pl-PL"/>
        </w:rPr>
        <w:t>Renaturalizacja ekosystemów wodnych, czyli proces przywracania stanu naturalnego, jest działaniem bardzo złożonym i wymaga zaangażowania wielu interesariuszy procesu. Wymaga stosowania rozwiązań mogących pogodzić oczekiwania społeczne i gospodarcze z dbałością o dobry stan ekosystemów wodnych. Renaturyzację wód należy rozumieć jako element kompleksowego zarządzania wodami i troski o nie, obejmującego przede wszystkim:</w:t>
      </w:r>
    </w:p>
    <w:p w14:paraId="40F0F867" w14:textId="7C9791E3" w:rsidR="005B7539" w:rsidRDefault="005B7539" w:rsidP="005B7539">
      <w:pPr>
        <w:rPr>
          <w:lang w:eastAsia="pl-PL"/>
        </w:rPr>
      </w:pPr>
      <w:r>
        <w:rPr>
          <w:lang w:eastAsia="pl-PL"/>
        </w:rPr>
        <w:t>•</w:t>
      </w:r>
      <w:r>
        <w:rPr>
          <w:lang w:eastAsia="pl-PL"/>
        </w:rPr>
        <w:tab/>
        <w:t>unikanie negatywnych oddziaływań (zapobieganie presjom u ich źródła),</w:t>
      </w:r>
    </w:p>
    <w:p w14:paraId="77765245" w14:textId="4F2BFE0C" w:rsidR="005B7539" w:rsidRDefault="005B7539" w:rsidP="005B7539">
      <w:pPr>
        <w:rPr>
          <w:lang w:eastAsia="pl-PL"/>
        </w:rPr>
      </w:pPr>
      <w:r>
        <w:rPr>
          <w:lang w:eastAsia="pl-PL"/>
        </w:rPr>
        <w:t>•</w:t>
      </w:r>
      <w:r>
        <w:rPr>
          <w:lang w:eastAsia="pl-PL"/>
        </w:rPr>
        <w:tab/>
        <w:t>branie pod uwagę wpływu naturalnych procesów,</w:t>
      </w:r>
    </w:p>
    <w:p w14:paraId="113F0C84" w14:textId="77777777" w:rsidR="005B7539" w:rsidRDefault="005B7539" w:rsidP="005B7539">
      <w:pPr>
        <w:rPr>
          <w:lang w:eastAsia="pl-PL"/>
        </w:rPr>
      </w:pPr>
      <w:r>
        <w:rPr>
          <w:lang w:eastAsia="pl-PL"/>
        </w:rPr>
        <w:t>•</w:t>
      </w:r>
      <w:r>
        <w:rPr>
          <w:lang w:eastAsia="pl-PL"/>
        </w:rPr>
        <w:tab/>
        <w:t>ale gdy jest to konieczne – podejmowanie zdecydowanych działań w celu naprawy zakłóconych mechanizmów funkcjonowania ekosystemów wodnych.</w:t>
      </w:r>
    </w:p>
    <w:p w14:paraId="3ACFE9B6" w14:textId="65BDFD6E" w:rsidR="005B7539" w:rsidRDefault="005B7539" w:rsidP="005B7539">
      <w:pPr>
        <w:rPr>
          <w:lang w:eastAsia="pl-PL"/>
        </w:rPr>
      </w:pPr>
      <w:r>
        <w:rPr>
          <w:lang w:eastAsia="pl-PL"/>
        </w:rPr>
        <w:t>W Krajowym Programie Renaturyzacji Wód Powierzchniowych i Podręczniku Dobrych Praktyk Renaturyzacji Wód opracowano „Katalog działań renaturyzacyjnych”. Poniżej zaprezentowano kilka przykładowych działań dla rzek. Należy podkreślić, że w pierwszej kolejności należy wybierać działania najmniej ingerujące w środowisko i inicjujące procesy naturalne.</w:t>
      </w:r>
    </w:p>
    <w:p w14:paraId="5545C914" w14:textId="55053F90" w:rsidR="005B7539" w:rsidRDefault="005B7539">
      <w:pPr>
        <w:pStyle w:val="Akapitzlist"/>
        <w:numPr>
          <w:ilvl w:val="0"/>
          <w:numId w:val="46"/>
        </w:numPr>
        <w:ind w:hanging="436"/>
        <w:rPr>
          <w:lang w:eastAsia="pl-PL"/>
        </w:rPr>
      </w:pPr>
      <w:r>
        <w:rPr>
          <w:lang w:eastAsia="pl-PL"/>
        </w:rPr>
        <w:t>Modyfikacje renaturyzujące w ramach prac utrzymaniowych np.:</w:t>
      </w:r>
    </w:p>
    <w:p w14:paraId="713FD58F" w14:textId="329A9161" w:rsidR="005B7539" w:rsidRDefault="005B7539">
      <w:pPr>
        <w:pStyle w:val="Akapitzlist"/>
        <w:numPr>
          <w:ilvl w:val="0"/>
          <w:numId w:val="94"/>
        </w:numPr>
        <w:ind w:left="1134" w:hanging="425"/>
        <w:rPr>
          <w:lang w:eastAsia="pl-PL"/>
        </w:rPr>
      </w:pPr>
      <w:r>
        <w:rPr>
          <w:lang w:eastAsia="pl-PL"/>
        </w:rPr>
        <w:t>pozostawienie procesom naturalnym,</w:t>
      </w:r>
    </w:p>
    <w:p w14:paraId="38F0D239" w14:textId="2E6BD6FF" w:rsidR="005B7539" w:rsidRDefault="005B7539">
      <w:pPr>
        <w:pStyle w:val="Akapitzlist"/>
        <w:numPr>
          <w:ilvl w:val="0"/>
          <w:numId w:val="94"/>
        </w:numPr>
        <w:ind w:left="1134" w:hanging="425"/>
        <w:rPr>
          <w:lang w:eastAsia="pl-PL"/>
        </w:rPr>
      </w:pPr>
      <w:r>
        <w:rPr>
          <w:lang w:eastAsia="pl-PL"/>
        </w:rPr>
        <w:t>zaniechanie, ograniczenie lub modyfikacja wykaszania roślin z brzegów śródlądowych wód powierzchniowych,</w:t>
      </w:r>
    </w:p>
    <w:p w14:paraId="09BDB78B" w14:textId="4F9D0850" w:rsidR="005B7539" w:rsidRDefault="005B7539">
      <w:pPr>
        <w:pStyle w:val="Akapitzlist"/>
        <w:numPr>
          <w:ilvl w:val="0"/>
          <w:numId w:val="94"/>
        </w:numPr>
        <w:ind w:left="1134" w:hanging="425"/>
        <w:rPr>
          <w:lang w:eastAsia="pl-PL"/>
        </w:rPr>
      </w:pPr>
      <w:r>
        <w:rPr>
          <w:lang w:eastAsia="pl-PL"/>
        </w:rPr>
        <w:t>zaniechanie usuwania żwirowych osadów dennych,</w:t>
      </w:r>
    </w:p>
    <w:p w14:paraId="4E36F303" w14:textId="1E168993" w:rsidR="005B7539" w:rsidRDefault="005B7539">
      <w:pPr>
        <w:pStyle w:val="Akapitzlist"/>
        <w:numPr>
          <w:ilvl w:val="0"/>
          <w:numId w:val="94"/>
        </w:numPr>
        <w:ind w:left="1134" w:hanging="425"/>
        <w:rPr>
          <w:lang w:eastAsia="pl-PL"/>
        </w:rPr>
      </w:pPr>
      <w:r>
        <w:rPr>
          <w:lang w:eastAsia="pl-PL"/>
        </w:rPr>
        <w:t>zaniechanie usuwania tam bobrowych.</w:t>
      </w:r>
    </w:p>
    <w:p w14:paraId="2D1597AD" w14:textId="5F881924" w:rsidR="005B7539" w:rsidRDefault="005B7539">
      <w:pPr>
        <w:pStyle w:val="Akapitzlist"/>
        <w:numPr>
          <w:ilvl w:val="0"/>
          <w:numId w:val="46"/>
        </w:numPr>
        <w:ind w:left="142" w:firstLine="142"/>
        <w:rPr>
          <w:lang w:eastAsia="pl-PL"/>
        </w:rPr>
      </w:pPr>
      <w:r>
        <w:rPr>
          <w:lang w:eastAsia="pl-PL"/>
        </w:rPr>
        <w:t>Działania dodatkowe w ramach zwykłego zarządzania wodami np.:</w:t>
      </w:r>
    </w:p>
    <w:p w14:paraId="30689CAB" w14:textId="48202C55" w:rsidR="005B7539" w:rsidRDefault="005B7539">
      <w:pPr>
        <w:pStyle w:val="Akapitzlist"/>
        <w:numPr>
          <w:ilvl w:val="0"/>
          <w:numId w:val="95"/>
        </w:numPr>
        <w:rPr>
          <w:lang w:eastAsia="pl-PL"/>
        </w:rPr>
      </w:pPr>
      <w:r>
        <w:rPr>
          <w:lang w:eastAsia="pl-PL"/>
        </w:rPr>
        <w:t>nasadzanie drzew i krzewów w strefie brzegowej,</w:t>
      </w:r>
    </w:p>
    <w:p w14:paraId="384F1746" w14:textId="67D219B4" w:rsidR="005B7539" w:rsidRDefault="005B7539">
      <w:pPr>
        <w:pStyle w:val="Akapitzlist"/>
        <w:numPr>
          <w:ilvl w:val="0"/>
          <w:numId w:val="95"/>
        </w:numPr>
        <w:rPr>
          <w:lang w:eastAsia="pl-PL"/>
        </w:rPr>
      </w:pPr>
      <w:r>
        <w:rPr>
          <w:lang w:eastAsia="pl-PL"/>
        </w:rPr>
        <w:t>wprowadzanie pryzm żwirowo-kamiennych naśladujących układy bystrzy i plos lub kierujących przepływ,</w:t>
      </w:r>
    </w:p>
    <w:p w14:paraId="4D3CB963" w14:textId="5FA8BA3C" w:rsidR="005B7539" w:rsidRDefault="005B7539">
      <w:pPr>
        <w:pStyle w:val="Akapitzlist"/>
        <w:numPr>
          <w:ilvl w:val="0"/>
          <w:numId w:val="95"/>
        </w:numPr>
        <w:rPr>
          <w:lang w:eastAsia="pl-PL"/>
        </w:rPr>
      </w:pPr>
      <w:r>
        <w:rPr>
          <w:lang w:eastAsia="pl-PL"/>
        </w:rPr>
        <w:t>wprowadzanie naturalnych deflektorów.</w:t>
      </w:r>
    </w:p>
    <w:p w14:paraId="2DA0E674" w14:textId="6EEC0D0B" w:rsidR="005B7539" w:rsidRDefault="005B7539">
      <w:pPr>
        <w:pStyle w:val="Akapitzlist"/>
        <w:numPr>
          <w:ilvl w:val="0"/>
          <w:numId w:val="46"/>
        </w:numPr>
        <w:ind w:hanging="436"/>
        <w:rPr>
          <w:lang w:eastAsia="pl-PL"/>
        </w:rPr>
      </w:pPr>
      <w:r>
        <w:rPr>
          <w:lang w:eastAsia="pl-PL"/>
        </w:rPr>
        <w:t>Działania techniczne:</w:t>
      </w:r>
    </w:p>
    <w:p w14:paraId="10B5C1AA" w14:textId="112A6D35" w:rsidR="005B7539" w:rsidRDefault="005B7539">
      <w:pPr>
        <w:pStyle w:val="Akapitzlist"/>
        <w:numPr>
          <w:ilvl w:val="0"/>
          <w:numId w:val="96"/>
        </w:numPr>
        <w:rPr>
          <w:lang w:eastAsia="pl-PL"/>
        </w:rPr>
      </w:pPr>
      <w:r>
        <w:rPr>
          <w:lang w:eastAsia="pl-PL"/>
        </w:rPr>
        <w:t>inicjacja erozji bocznej koryta,</w:t>
      </w:r>
    </w:p>
    <w:p w14:paraId="27D36236" w14:textId="0514751C" w:rsidR="005B7539" w:rsidRDefault="005B7539">
      <w:pPr>
        <w:pStyle w:val="Akapitzlist"/>
        <w:numPr>
          <w:ilvl w:val="0"/>
          <w:numId w:val="96"/>
        </w:numPr>
        <w:rPr>
          <w:lang w:eastAsia="pl-PL"/>
        </w:rPr>
      </w:pPr>
      <w:r>
        <w:rPr>
          <w:lang w:eastAsia="pl-PL"/>
        </w:rPr>
        <w:t>kształtowanie nowego lub odtwarzanie dawnego koryta o postaci optymalnej ekologicznie,</w:t>
      </w:r>
    </w:p>
    <w:p w14:paraId="736B8815" w14:textId="697F5CF0" w:rsidR="005B7539" w:rsidRDefault="005B7539">
      <w:pPr>
        <w:pStyle w:val="Akapitzlist"/>
        <w:numPr>
          <w:ilvl w:val="0"/>
          <w:numId w:val="96"/>
        </w:numPr>
        <w:rPr>
          <w:lang w:eastAsia="pl-PL"/>
        </w:rPr>
      </w:pPr>
      <w:r>
        <w:rPr>
          <w:lang w:eastAsia="pl-PL"/>
        </w:rPr>
        <w:t>likwidacja umocnień brzegów,</w:t>
      </w:r>
    </w:p>
    <w:p w14:paraId="7F507EFE" w14:textId="2912999D" w:rsidR="005B7539" w:rsidRDefault="005B7539">
      <w:pPr>
        <w:pStyle w:val="Akapitzlist"/>
        <w:numPr>
          <w:ilvl w:val="0"/>
          <w:numId w:val="96"/>
        </w:numPr>
        <w:rPr>
          <w:lang w:eastAsia="pl-PL"/>
        </w:rPr>
      </w:pPr>
      <w:r>
        <w:rPr>
          <w:lang w:eastAsia="pl-PL"/>
        </w:rPr>
        <w:lastRenderedPageBreak/>
        <w:t>usuwanie umocnień i odtwarzanie naturalnych procesów w ujściach rzek.</w:t>
      </w:r>
    </w:p>
    <w:p w14:paraId="4E24CFBB" w14:textId="280DD28E" w:rsidR="005B7539" w:rsidRDefault="005B7539">
      <w:pPr>
        <w:pStyle w:val="Akapitzlist"/>
        <w:numPr>
          <w:ilvl w:val="0"/>
          <w:numId w:val="98"/>
        </w:numPr>
        <w:ind w:left="714" w:hanging="357"/>
        <w:rPr>
          <w:lang w:eastAsia="pl-PL"/>
        </w:rPr>
      </w:pPr>
      <w:r>
        <w:rPr>
          <w:lang w:eastAsia="pl-PL"/>
        </w:rPr>
        <w:t>Działania w zlewni</w:t>
      </w:r>
      <w:r w:rsidR="008225D3">
        <w:rPr>
          <w:lang w:eastAsia="pl-PL"/>
        </w:rPr>
        <w:t>:</w:t>
      </w:r>
    </w:p>
    <w:p w14:paraId="754223B4" w14:textId="26CA073B" w:rsidR="005B7539" w:rsidRDefault="005B7539">
      <w:pPr>
        <w:pStyle w:val="Akapitzlist"/>
        <w:numPr>
          <w:ilvl w:val="0"/>
          <w:numId w:val="97"/>
        </w:numPr>
        <w:rPr>
          <w:lang w:eastAsia="pl-PL"/>
        </w:rPr>
      </w:pPr>
      <w:r>
        <w:rPr>
          <w:lang w:eastAsia="pl-PL"/>
        </w:rPr>
        <w:t>renaturyzacja mokradeł w zlewni,</w:t>
      </w:r>
    </w:p>
    <w:p w14:paraId="0560AA61" w14:textId="0F3176F8" w:rsidR="005B7539" w:rsidRDefault="005B7539">
      <w:pPr>
        <w:pStyle w:val="Akapitzlist"/>
        <w:numPr>
          <w:ilvl w:val="0"/>
          <w:numId w:val="97"/>
        </w:numPr>
        <w:rPr>
          <w:lang w:eastAsia="pl-PL"/>
        </w:rPr>
      </w:pPr>
      <w:r>
        <w:rPr>
          <w:lang w:eastAsia="pl-PL"/>
        </w:rPr>
        <w:t>ograniczanie spływu powierzchniowego,</w:t>
      </w:r>
    </w:p>
    <w:p w14:paraId="6874F39F" w14:textId="46EA1156" w:rsidR="005B7539" w:rsidRDefault="005B7539">
      <w:pPr>
        <w:pStyle w:val="Akapitzlist"/>
        <w:numPr>
          <w:ilvl w:val="0"/>
          <w:numId w:val="97"/>
        </w:numPr>
        <w:rPr>
          <w:lang w:eastAsia="pl-PL"/>
        </w:rPr>
      </w:pPr>
      <w:r>
        <w:rPr>
          <w:lang w:eastAsia="pl-PL"/>
        </w:rPr>
        <w:t>inne działania poprawiające retencję zlewni,</w:t>
      </w:r>
    </w:p>
    <w:p w14:paraId="192ECBF0" w14:textId="4ABB5088" w:rsidR="005B7539" w:rsidRDefault="005B7539">
      <w:pPr>
        <w:pStyle w:val="Akapitzlist"/>
        <w:numPr>
          <w:ilvl w:val="0"/>
          <w:numId w:val="97"/>
        </w:numPr>
        <w:rPr>
          <w:lang w:eastAsia="pl-PL"/>
        </w:rPr>
      </w:pPr>
      <w:r>
        <w:rPr>
          <w:lang w:eastAsia="pl-PL"/>
        </w:rPr>
        <w:t>działania pomocnicze (np. informacja).</w:t>
      </w:r>
    </w:p>
    <w:p w14:paraId="63CC7B59" w14:textId="77777777" w:rsidR="005B7539" w:rsidRPr="005B7539" w:rsidRDefault="005B7539" w:rsidP="005B7539">
      <w:pPr>
        <w:rPr>
          <w:lang w:eastAsia="pl-PL"/>
        </w:rPr>
      </w:pPr>
    </w:p>
    <w:p w14:paraId="318C450B" w14:textId="77777777" w:rsidR="00853110" w:rsidRDefault="00853110" w:rsidP="00853110">
      <w:pPr>
        <w:pStyle w:val="Nagwek4"/>
      </w:pPr>
      <w:r>
        <w:t>Wsparcie obiektów małej retencji</w:t>
      </w:r>
    </w:p>
    <w:p w14:paraId="1A12DDBC" w14:textId="09B5BA68" w:rsidR="00FC4992" w:rsidRDefault="00BC786C" w:rsidP="00FC4992">
      <w:pPr>
        <w:rPr>
          <w:rFonts w:eastAsia="Calibri" w:cstheme="minorHAnsi"/>
          <w:color w:val="auto"/>
        </w:rPr>
      </w:pPr>
      <w:r>
        <w:rPr>
          <w:rFonts w:eastAsia="Calibri" w:cstheme="minorHAnsi"/>
          <w:color w:val="auto"/>
        </w:rPr>
        <w:t>Poza zbiornikami retencji, równie ważne są obiekty małej retencji</w:t>
      </w:r>
      <w:r w:rsidR="002A7CA7">
        <w:rPr>
          <w:rFonts w:eastAsia="Calibri" w:cstheme="minorHAnsi"/>
          <w:color w:val="auto"/>
        </w:rPr>
        <w:t xml:space="preserve"> oraz rozwiązania wspomagające retencję. Zrównoważony i skoordynowany system retencji w mieście pozwoli na skuteczne odprowadzenie wody w obszarów niepożądanych, zachowanie jej w krajobrazie oraz późniejsze wykorzystanie.</w:t>
      </w:r>
    </w:p>
    <w:p w14:paraId="60D129AC" w14:textId="77777777" w:rsidR="00FC4992" w:rsidRPr="00655FC7" w:rsidRDefault="00FC4992" w:rsidP="00FC4992">
      <w:pPr>
        <w:rPr>
          <w:rFonts w:eastAsia="Calibri" w:cstheme="minorHAnsi"/>
          <w:color w:val="auto"/>
        </w:rPr>
      </w:pPr>
      <w:r w:rsidRPr="00655FC7">
        <w:rPr>
          <w:rFonts w:eastAsia="Calibri" w:cstheme="minorHAnsi"/>
          <w:color w:val="auto"/>
        </w:rPr>
        <w:t>Wśród działań retencjonowania wód opadowych warto wymienić:</w:t>
      </w:r>
    </w:p>
    <w:p w14:paraId="5338840C" w14:textId="77777777" w:rsidR="00FC4992" w:rsidRPr="00655FC7" w:rsidRDefault="00FC4992">
      <w:pPr>
        <w:numPr>
          <w:ilvl w:val="0"/>
          <w:numId w:val="16"/>
        </w:numPr>
        <w:spacing w:after="200"/>
        <w:ind w:left="714" w:hanging="357"/>
        <w:contextualSpacing/>
        <w:rPr>
          <w:rFonts w:eastAsia="Calibri" w:cstheme="minorHAnsi"/>
          <w:color w:val="auto"/>
        </w:rPr>
      </w:pPr>
      <w:r w:rsidRPr="00655FC7">
        <w:rPr>
          <w:rFonts w:eastAsia="Calibri" w:cstheme="minorHAnsi"/>
          <w:color w:val="auto"/>
        </w:rPr>
        <w:t>system zbierania wód z powierzchni dachu do zbiornika (które można wykorzystać do nawadniania ogrodów przydomowych, zieleni publicznej itd.),</w:t>
      </w:r>
    </w:p>
    <w:p w14:paraId="3A2EB506" w14:textId="77777777" w:rsidR="00FC4992" w:rsidRPr="00655FC7" w:rsidRDefault="00FC4992">
      <w:pPr>
        <w:numPr>
          <w:ilvl w:val="0"/>
          <w:numId w:val="16"/>
        </w:numPr>
        <w:spacing w:after="200"/>
        <w:ind w:left="714" w:hanging="357"/>
        <w:contextualSpacing/>
        <w:rPr>
          <w:rFonts w:eastAsia="Calibri" w:cstheme="minorHAnsi"/>
          <w:color w:val="auto"/>
        </w:rPr>
      </w:pPr>
      <w:r w:rsidRPr="00655FC7">
        <w:rPr>
          <w:rFonts w:eastAsia="Calibri" w:cstheme="minorHAnsi"/>
          <w:color w:val="auto"/>
        </w:rPr>
        <w:t>układy rozsączające, które pozwalają na zatrzymanie opadu w miejscu jego powstania i odbudowanie zapasów wód podziemnych dostępnych m.in. dla roślin,</w:t>
      </w:r>
    </w:p>
    <w:p w14:paraId="2CE379E7" w14:textId="77777777" w:rsidR="00FC4992" w:rsidRPr="00655FC7" w:rsidRDefault="00FC4992">
      <w:pPr>
        <w:numPr>
          <w:ilvl w:val="0"/>
          <w:numId w:val="16"/>
        </w:numPr>
        <w:spacing w:after="200"/>
        <w:ind w:left="714" w:hanging="357"/>
        <w:contextualSpacing/>
        <w:rPr>
          <w:rFonts w:eastAsia="Calibri" w:cstheme="minorHAnsi"/>
          <w:color w:val="auto"/>
        </w:rPr>
      </w:pPr>
      <w:r w:rsidRPr="00655FC7">
        <w:rPr>
          <w:rFonts w:eastAsia="Calibri" w:cstheme="minorHAnsi"/>
          <w:color w:val="auto"/>
        </w:rPr>
        <w:t xml:space="preserve">zastosowania błękitno-zielonej infrastruktury np. ogrody deszczowe, niecki retencyjne, stawy retencyjne, </w:t>
      </w:r>
    </w:p>
    <w:p w14:paraId="2DC85AC7" w14:textId="77777777" w:rsidR="00FC4992" w:rsidRPr="00655FC7" w:rsidRDefault="00FC4992">
      <w:pPr>
        <w:numPr>
          <w:ilvl w:val="0"/>
          <w:numId w:val="16"/>
        </w:numPr>
        <w:spacing w:after="200"/>
        <w:ind w:left="714" w:hanging="357"/>
        <w:contextualSpacing/>
        <w:rPr>
          <w:rFonts w:eastAsia="Calibri" w:cstheme="minorHAnsi"/>
          <w:color w:val="auto"/>
        </w:rPr>
      </w:pPr>
      <w:r w:rsidRPr="00655FC7">
        <w:rPr>
          <w:rFonts w:eastAsia="Calibri" w:cstheme="minorHAnsi"/>
          <w:color w:val="auto"/>
        </w:rPr>
        <w:t>zwiększanie powierzchni terenów zielonych w miastach oraz stosowanie podłoży przepuszczalnych,</w:t>
      </w:r>
    </w:p>
    <w:p w14:paraId="7A4F3F2F" w14:textId="77777777" w:rsidR="00FC4992" w:rsidRPr="00655FC7" w:rsidRDefault="00FC4992">
      <w:pPr>
        <w:numPr>
          <w:ilvl w:val="0"/>
          <w:numId w:val="16"/>
        </w:numPr>
        <w:spacing w:after="200"/>
        <w:ind w:left="714" w:hanging="357"/>
        <w:contextualSpacing/>
        <w:rPr>
          <w:rFonts w:eastAsia="Calibri" w:cstheme="minorHAnsi"/>
          <w:color w:val="auto"/>
        </w:rPr>
      </w:pPr>
      <w:r w:rsidRPr="00655FC7">
        <w:rPr>
          <w:rFonts w:eastAsia="Calibri" w:cstheme="minorHAnsi"/>
          <w:color w:val="auto"/>
        </w:rPr>
        <w:t>rozwiązania projektowe przestrzeni miejskiej, publicznej wspomagające retencje np.</w:t>
      </w:r>
    </w:p>
    <w:p w14:paraId="4D37E56F" w14:textId="77777777" w:rsidR="00FC4992" w:rsidRPr="00655FC7" w:rsidRDefault="00FC4992">
      <w:pPr>
        <w:numPr>
          <w:ilvl w:val="1"/>
          <w:numId w:val="16"/>
        </w:numPr>
        <w:spacing w:after="200"/>
        <w:ind w:left="1134"/>
        <w:contextualSpacing/>
        <w:rPr>
          <w:rFonts w:eastAsia="Calibri" w:cstheme="minorHAnsi"/>
          <w:color w:val="auto"/>
        </w:rPr>
      </w:pPr>
      <w:r w:rsidRPr="00655FC7">
        <w:rPr>
          <w:rFonts w:eastAsia="Calibri" w:cstheme="minorHAnsi"/>
          <w:color w:val="auto"/>
        </w:rPr>
        <w:t xml:space="preserve">profilowanie ulic w sposób umożliwiający właściwy kierunek wpływu wody i jej gromadzenie w nieckach i pasach zieleni, </w:t>
      </w:r>
    </w:p>
    <w:p w14:paraId="7469BACC" w14:textId="77777777" w:rsidR="00FC4992" w:rsidRPr="00655FC7" w:rsidRDefault="00FC4992">
      <w:pPr>
        <w:numPr>
          <w:ilvl w:val="1"/>
          <w:numId w:val="16"/>
        </w:numPr>
        <w:spacing w:after="200"/>
        <w:ind w:left="1134"/>
        <w:contextualSpacing/>
        <w:rPr>
          <w:rFonts w:eastAsia="Calibri" w:cstheme="minorHAnsi"/>
          <w:color w:val="auto"/>
        </w:rPr>
      </w:pPr>
      <w:r w:rsidRPr="00655FC7">
        <w:rPr>
          <w:rFonts w:eastAsia="Calibri" w:cstheme="minorHAnsi"/>
          <w:color w:val="auto"/>
        </w:rPr>
        <w:t xml:space="preserve">tworzenie zielonych torowisk, </w:t>
      </w:r>
    </w:p>
    <w:p w14:paraId="17301E65" w14:textId="77777777" w:rsidR="00FC4992" w:rsidRPr="00655FC7" w:rsidRDefault="00FC4992">
      <w:pPr>
        <w:numPr>
          <w:ilvl w:val="1"/>
          <w:numId w:val="16"/>
        </w:numPr>
        <w:spacing w:after="200"/>
        <w:ind w:left="1134"/>
        <w:contextualSpacing/>
        <w:rPr>
          <w:rFonts w:eastAsia="Calibri" w:cstheme="minorHAnsi"/>
          <w:color w:val="auto"/>
        </w:rPr>
      </w:pPr>
      <w:r w:rsidRPr="00655FC7">
        <w:rPr>
          <w:rFonts w:eastAsia="Calibri" w:cstheme="minorHAnsi"/>
          <w:color w:val="auto"/>
        </w:rPr>
        <w:t>zazielenianie placów i chodników,</w:t>
      </w:r>
    </w:p>
    <w:p w14:paraId="2C0ACCF4" w14:textId="77777777" w:rsidR="00FC4992" w:rsidRPr="00655FC7" w:rsidRDefault="00FC4992">
      <w:pPr>
        <w:numPr>
          <w:ilvl w:val="1"/>
          <w:numId w:val="16"/>
        </w:numPr>
        <w:spacing w:after="200"/>
        <w:ind w:left="1134"/>
        <w:contextualSpacing/>
        <w:rPr>
          <w:rFonts w:eastAsia="Calibri" w:cstheme="minorHAnsi"/>
          <w:color w:val="auto"/>
        </w:rPr>
      </w:pPr>
      <w:r w:rsidRPr="00655FC7">
        <w:rPr>
          <w:rFonts w:eastAsia="Calibri" w:cstheme="minorHAnsi"/>
          <w:color w:val="auto"/>
        </w:rPr>
        <w:t>tworzenie wzdłuż arterii rowów infiltracyjnych pokrytych zielenią</w:t>
      </w:r>
      <w:r w:rsidRPr="00655FC7">
        <w:rPr>
          <w:rFonts w:eastAsia="Calibri" w:cstheme="minorHAnsi"/>
          <w:color w:val="000000"/>
          <w:vertAlign w:val="superscript"/>
        </w:rPr>
        <w:footnoteReference w:id="39"/>
      </w:r>
      <w:r w:rsidRPr="00853110">
        <w:rPr>
          <w:rFonts w:eastAsia="Calibri" w:cstheme="minorHAnsi"/>
          <w:color w:val="auto"/>
          <w:vertAlign w:val="superscript"/>
        </w:rPr>
        <w:t>,</w:t>
      </w:r>
      <w:r w:rsidRPr="00655FC7">
        <w:rPr>
          <w:rFonts w:eastAsia="Calibri" w:cstheme="minorHAnsi"/>
          <w:color w:val="auto"/>
          <w:vertAlign w:val="superscript"/>
        </w:rPr>
        <w:footnoteReference w:id="40"/>
      </w:r>
      <w:r w:rsidRPr="00853110">
        <w:rPr>
          <w:rFonts w:eastAsia="Calibri" w:cstheme="minorHAnsi"/>
          <w:color w:val="auto"/>
          <w:vertAlign w:val="superscript"/>
        </w:rPr>
        <w:t>,</w:t>
      </w:r>
      <w:r w:rsidRPr="00655FC7">
        <w:rPr>
          <w:rFonts w:eastAsia="Calibri" w:cstheme="minorHAnsi"/>
          <w:color w:val="auto"/>
          <w:vertAlign w:val="superscript"/>
        </w:rPr>
        <w:footnoteReference w:id="41"/>
      </w:r>
      <w:r w:rsidRPr="00655FC7">
        <w:rPr>
          <w:rFonts w:eastAsia="Calibri" w:cstheme="minorHAnsi"/>
          <w:color w:val="auto"/>
        </w:rPr>
        <w:t>.</w:t>
      </w:r>
    </w:p>
    <w:p w14:paraId="62A53DCC" w14:textId="77777777" w:rsidR="005B7539" w:rsidRPr="005B7539" w:rsidRDefault="005B7539" w:rsidP="005B7539">
      <w:pPr>
        <w:rPr>
          <w:lang w:eastAsia="pl-PL"/>
        </w:rPr>
      </w:pPr>
    </w:p>
    <w:p w14:paraId="6D41818C" w14:textId="77777777" w:rsidR="00853110" w:rsidRDefault="00853110" w:rsidP="00853110">
      <w:pPr>
        <w:pStyle w:val="Nagwek4"/>
      </w:pPr>
      <w:r>
        <w:t>Błękitno-zielona infrastruktura i rozwiązania bazujące na przyrodzie</w:t>
      </w:r>
    </w:p>
    <w:p w14:paraId="33DEBE21" w14:textId="33B603AB" w:rsidR="005B7539" w:rsidRDefault="005B7539" w:rsidP="005B7539">
      <w:pPr>
        <w:rPr>
          <w:lang w:eastAsia="pl-PL"/>
        </w:rPr>
      </w:pPr>
      <w:r>
        <w:rPr>
          <w:lang w:eastAsia="pl-PL"/>
        </w:rPr>
        <w:t>Nature-based solutions (NBS) definiowane są jako rozwiązania oparte i inspirowane naturą (przyrodą), które są opłacalne (wydajne ekonomicznie), dostarczają równocześnie korzyści natury ekologicznej, ekonomicznej i społecznej, a także wspierają adaptację do zmian klimatu</w:t>
      </w:r>
      <w:r w:rsidR="002A7CA7">
        <w:rPr>
          <w:lang w:eastAsia="pl-PL"/>
        </w:rPr>
        <w:t>.</w:t>
      </w:r>
    </w:p>
    <w:p w14:paraId="02A0E72F" w14:textId="5E380555" w:rsidR="005B7539" w:rsidRDefault="005B7539" w:rsidP="005B7539">
      <w:pPr>
        <w:rPr>
          <w:lang w:eastAsia="pl-PL"/>
        </w:rPr>
      </w:pPr>
      <w:r>
        <w:rPr>
          <w:lang w:eastAsia="pl-PL"/>
        </w:rPr>
        <w:t xml:space="preserve">Wśród działań, które w istotny sposób przyczynią się do mitygacji i adaptacji do zmian klimatu jest wykorzystanie elementów błękitno - zielonej infrastruktury. </w:t>
      </w:r>
      <w:r w:rsidR="002A7CA7">
        <w:rPr>
          <w:lang w:eastAsia="pl-PL"/>
        </w:rPr>
        <w:t>Są</w:t>
      </w:r>
      <w:r>
        <w:rPr>
          <w:lang w:eastAsia="pl-PL"/>
        </w:rPr>
        <w:t xml:space="preserve"> to rozwiązania oparte na naturze, które dobrze sprawdzają się w miastach i pozwalają uzupełnić lub zastąpić tradycyjne koncepcje wpływając jednocześnie na poprawę warunków termicznych i wodnych obszaru. Ważną cechą elementów błękitno – zielonej infrastruktury jest spełnianie kilku funkcji jednocześnie, wśród których należy podkreślić przede wszystkim:</w:t>
      </w:r>
    </w:p>
    <w:p w14:paraId="71D1A547" w14:textId="77777777" w:rsidR="005B7539" w:rsidRDefault="005B7539" w:rsidP="005B7539">
      <w:pPr>
        <w:rPr>
          <w:lang w:eastAsia="pl-PL"/>
        </w:rPr>
      </w:pPr>
      <w:r>
        <w:rPr>
          <w:lang w:eastAsia="pl-PL"/>
        </w:rPr>
        <w:t>•</w:t>
      </w:r>
      <w:r>
        <w:rPr>
          <w:lang w:eastAsia="pl-PL"/>
        </w:rPr>
        <w:tab/>
        <w:t>zatrzymywanie wody deszczowej w miejscu opadu,</w:t>
      </w:r>
    </w:p>
    <w:p w14:paraId="12BE9644" w14:textId="77777777" w:rsidR="005B7539" w:rsidRDefault="005B7539" w:rsidP="005B7539">
      <w:pPr>
        <w:rPr>
          <w:lang w:eastAsia="pl-PL"/>
        </w:rPr>
      </w:pPr>
      <w:r>
        <w:rPr>
          <w:lang w:eastAsia="pl-PL"/>
        </w:rPr>
        <w:t>•</w:t>
      </w:r>
      <w:r>
        <w:rPr>
          <w:lang w:eastAsia="pl-PL"/>
        </w:rPr>
        <w:tab/>
        <w:t>zmniejszanie zanieczyszczenia powietrza,</w:t>
      </w:r>
    </w:p>
    <w:p w14:paraId="34977C41" w14:textId="77777777" w:rsidR="005B7539" w:rsidRDefault="005B7539" w:rsidP="005B7539">
      <w:pPr>
        <w:rPr>
          <w:lang w:eastAsia="pl-PL"/>
        </w:rPr>
      </w:pPr>
      <w:r>
        <w:rPr>
          <w:lang w:eastAsia="pl-PL"/>
        </w:rPr>
        <w:t>•</w:t>
      </w:r>
      <w:r>
        <w:rPr>
          <w:lang w:eastAsia="pl-PL"/>
        </w:rPr>
        <w:tab/>
        <w:t>łagodzenie efektu miejskiej wyspy ciepła,</w:t>
      </w:r>
    </w:p>
    <w:p w14:paraId="3286A361" w14:textId="77777777" w:rsidR="005B7539" w:rsidRDefault="005B7539" w:rsidP="005B7539">
      <w:pPr>
        <w:rPr>
          <w:lang w:eastAsia="pl-PL"/>
        </w:rPr>
      </w:pPr>
      <w:r>
        <w:rPr>
          <w:lang w:eastAsia="pl-PL"/>
        </w:rPr>
        <w:lastRenderedPageBreak/>
        <w:t>•</w:t>
      </w:r>
      <w:r>
        <w:rPr>
          <w:lang w:eastAsia="pl-PL"/>
        </w:rPr>
        <w:tab/>
        <w:t>ograniczenie nadmiernego spływu powierzchniowego,</w:t>
      </w:r>
    </w:p>
    <w:p w14:paraId="72368AF0" w14:textId="77777777" w:rsidR="005B7539" w:rsidRDefault="005B7539" w:rsidP="005B7539">
      <w:pPr>
        <w:rPr>
          <w:lang w:eastAsia="pl-PL"/>
        </w:rPr>
      </w:pPr>
      <w:r>
        <w:rPr>
          <w:lang w:eastAsia="pl-PL"/>
        </w:rPr>
        <w:t>•</w:t>
      </w:r>
      <w:r>
        <w:rPr>
          <w:lang w:eastAsia="pl-PL"/>
        </w:rPr>
        <w:tab/>
        <w:t>ograniczenie zagrożenia podtopieniami,</w:t>
      </w:r>
    </w:p>
    <w:p w14:paraId="317D1D10" w14:textId="77777777" w:rsidR="005B7539" w:rsidRDefault="005B7539" w:rsidP="005B7539">
      <w:pPr>
        <w:rPr>
          <w:lang w:eastAsia="pl-PL"/>
        </w:rPr>
      </w:pPr>
      <w:r>
        <w:rPr>
          <w:lang w:eastAsia="pl-PL"/>
        </w:rPr>
        <w:t>•</w:t>
      </w:r>
      <w:r>
        <w:rPr>
          <w:lang w:eastAsia="pl-PL"/>
        </w:rPr>
        <w:tab/>
        <w:t>zachowanie ciągłości ekologicznej,</w:t>
      </w:r>
    </w:p>
    <w:p w14:paraId="27D0BCAA" w14:textId="77777777" w:rsidR="005B7539" w:rsidRDefault="005B7539" w:rsidP="005B7539">
      <w:pPr>
        <w:rPr>
          <w:lang w:eastAsia="pl-PL"/>
        </w:rPr>
      </w:pPr>
      <w:r>
        <w:rPr>
          <w:lang w:eastAsia="pl-PL"/>
        </w:rPr>
        <w:t>•</w:t>
      </w:r>
      <w:r>
        <w:rPr>
          <w:lang w:eastAsia="pl-PL"/>
        </w:rPr>
        <w:tab/>
        <w:t>poprawa jakości środowiska przestrzeni publicznej.</w:t>
      </w:r>
    </w:p>
    <w:p w14:paraId="1890366D" w14:textId="0C875D9B" w:rsidR="005B7539" w:rsidRDefault="005B7539" w:rsidP="005B7539">
      <w:pPr>
        <w:rPr>
          <w:lang w:eastAsia="pl-PL"/>
        </w:rPr>
      </w:pPr>
      <w:r>
        <w:rPr>
          <w:lang w:eastAsia="pl-PL"/>
        </w:rPr>
        <w:t>Wśród wielu rozwiązań składających się na błękitno – zieloną infrastrukturę można wymienić</w:t>
      </w:r>
      <w:r w:rsidR="00AA7957">
        <w:rPr>
          <w:lang w:eastAsia="pl-PL"/>
        </w:rPr>
        <w:t xml:space="preserve"> m.in.</w:t>
      </w:r>
      <w:r>
        <w:rPr>
          <w:lang w:eastAsia="pl-PL"/>
        </w:rPr>
        <w:t>: stawy retencyjne, niecki bioretencyjne, rowy bioretencyjne, rowy infiltracyjne, ogrody deszczowe w</w:t>
      </w:r>
      <w:r w:rsidR="00AA7957">
        <w:rPr>
          <w:lang w:eastAsia="pl-PL"/>
        </w:rPr>
        <w:t> </w:t>
      </w:r>
      <w:r>
        <w:rPr>
          <w:lang w:eastAsia="pl-PL"/>
        </w:rPr>
        <w:t>pojemnikach, zielone przystanki, zielone dachy, zielone fasady i ściany, nawierzchnie przepuszczalne, podłoża strukturalne itd.</w:t>
      </w:r>
      <w:r w:rsidR="000E485B">
        <w:rPr>
          <w:lang w:eastAsia="pl-PL"/>
        </w:rPr>
        <w:t xml:space="preserve"> Możliwe rozwiązania opisane zostały </w:t>
      </w:r>
      <w:r w:rsidR="00D14117">
        <w:rPr>
          <w:lang w:eastAsia="pl-PL"/>
        </w:rPr>
        <w:t>m.in. w Katalogu technicznym bł</w:t>
      </w:r>
      <w:r w:rsidR="00D14117" w:rsidRPr="00D14117">
        <w:rPr>
          <w:lang w:eastAsia="pl-PL"/>
        </w:rPr>
        <w:t>ękitno-zielon</w:t>
      </w:r>
      <w:r w:rsidR="00D14117">
        <w:rPr>
          <w:lang w:eastAsia="pl-PL"/>
        </w:rPr>
        <w:t>ej</w:t>
      </w:r>
      <w:r w:rsidR="00D14117" w:rsidRPr="00D14117">
        <w:rPr>
          <w:lang w:eastAsia="pl-PL"/>
        </w:rPr>
        <w:t xml:space="preserve"> infrastruktur</w:t>
      </w:r>
      <w:r w:rsidR="00D14117">
        <w:rPr>
          <w:lang w:eastAsia="pl-PL"/>
        </w:rPr>
        <w:t>y</w:t>
      </w:r>
      <w:r w:rsidR="00D14117" w:rsidRPr="00D14117">
        <w:rPr>
          <w:lang w:eastAsia="pl-PL"/>
        </w:rPr>
        <w:t xml:space="preserve"> dla łagodzenia zmian klimatu w miastach</w:t>
      </w:r>
      <w:r w:rsidR="00D14117">
        <w:rPr>
          <w:lang w:eastAsia="pl-PL"/>
        </w:rPr>
        <w:t>.</w:t>
      </w:r>
    </w:p>
    <w:p w14:paraId="0E5CB500" w14:textId="77777777" w:rsidR="005B7539" w:rsidRPr="005B7539" w:rsidRDefault="005B7539" w:rsidP="005B7539">
      <w:pPr>
        <w:rPr>
          <w:lang w:eastAsia="pl-PL"/>
        </w:rPr>
      </w:pPr>
    </w:p>
    <w:p w14:paraId="0513CDCD" w14:textId="77777777" w:rsidR="00853110" w:rsidRDefault="00853110" w:rsidP="00853110">
      <w:pPr>
        <w:pStyle w:val="Nagwek4"/>
      </w:pPr>
      <w:r>
        <w:t>Rozwój zieleni miejskiej zatrzymującej wodę</w:t>
      </w:r>
    </w:p>
    <w:p w14:paraId="1734773F" w14:textId="041DF687" w:rsidR="00AA7957" w:rsidRDefault="00AA7957" w:rsidP="00AA7957">
      <w:pPr>
        <w:contextualSpacing/>
        <w:rPr>
          <w:rFonts w:eastAsia="Calibri" w:cstheme="minorHAnsi"/>
          <w:color w:val="auto"/>
        </w:rPr>
      </w:pPr>
      <w:r>
        <w:rPr>
          <w:rFonts w:eastAsia="Calibri" w:cstheme="minorHAnsi"/>
          <w:color w:val="auto"/>
        </w:rPr>
        <w:t xml:space="preserve">W przypadku utworzenia nowych obszarów zieleni oraz rozwoju już istniejących, należy pamiętać również o możliwości doboru roślin zatrzymujących wodę. </w:t>
      </w:r>
      <w:r w:rsidR="000E485B">
        <w:rPr>
          <w:rFonts w:eastAsia="Calibri" w:cstheme="minorHAnsi"/>
          <w:color w:val="auto"/>
        </w:rPr>
        <w:t>Szczególnie w przypadku powstania infrastruktury z zakresu NBS, dobór roślin jest szczególnie ważny. Rośliny powinny dobrze znosić okresowe zalewanie, ale i być odporne na susze. Wynika to w prognozowanego wydłużenia okresu trwania susz oraz nasilenia się intensywnych opadów w przyszłości.</w:t>
      </w:r>
      <w:r w:rsidR="00D14117">
        <w:rPr>
          <w:rFonts w:eastAsia="Calibri" w:cstheme="minorHAnsi"/>
          <w:color w:val="auto"/>
        </w:rPr>
        <w:t xml:space="preserve"> Pomocne mogą być również rośliny i trawy naturalnie występujące w brzegach rzek. Należy też zadbać, aby były to gatunki rodzime.</w:t>
      </w:r>
    </w:p>
    <w:p w14:paraId="6E15B793" w14:textId="401EBE81" w:rsidR="00AA7957" w:rsidRDefault="00AA7957" w:rsidP="00AA7957">
      <w:pPr>
        <w:contextualSpacing/>
        <w:rPr>
          <w:rFonts w:eastAsia="Calibri" w:cstheme="minorHAnsi"/>
          <w:color w:val="auto"/>
        </w:rPr>
      </w:pPr>
      <w:r>
        <w:rPr>
          <w:rFonts w:eastAsia="Calibri" w:cstheme="minorHAnsi"/>
          <w:color w:val="auto"/>
        </w:rPr>
        <w:t>Pomocn</w:t>
      </w:r>
      <w:r w:rsidR="00D14117">
        <w:rPr>
          <w:rFonts w:eastAsia="Calibri" w:cstheme="minorHAnsi"/>
          <w:color w:val="auto"/>
        </w:rPr>
        <w:t>y</w:t>
      </w:r>
      <w:r>
        <w:rPr>
          <w:rFonts w:eastAsia="Calibri" w:cstheme="minorHAnsi"/>
          <w:color w:val="auto"/>
        </w:rPr>
        <w:t xml:space="preserve"> w doborze roślin mo</w:t>
      </w:r>
      <w:r w:rsidR="00D14117">
        <w:rPr>
          <w:rFonts w:eastAsia="Calibri" w:cstheme="minorHAnsi"/>
          <w:color w:val="auto"/>
        </w:rPr>
        <w:t>że</w:t>
      </w:r>
      <w:r>
        <w:rPr>
          <w:rFonts w:eastAsia="Calibri" w:cstheme="minorHAnsi"/>
          <w:color w:val="auto"/>
        </w:rPr>
        <w:t xml:space="preserve"> być </w:t>
      </w:r>
      <w:r w:rsidR="00D14117">
        <w:rPr>
          <w:rFonts w:eastAsia="Calibri" w:cstheme="minorHAnsi"/>
          <w:color w:val="auto"/>
        </w:rPr>
        <w:t xml:space="preserve">np. </w:t>
      </w:r>
      <w:r w:rsidR="00D14117">
        <w:rPr>
          <w:lang w:eastAsia="pl-PL"/>
        </w:rPr>
        <w:t>Katalog techniczny bł</w:t>
      </w:r>
      <w:r w:rsidR="00D14117" w:rsidRPr="00D14117">
        <w:rPr>
          <w:lang w:eastAsia="pl-PL"/>
        </w:rPr>
        <w:t>ękitno-zielon</w:t>
      </w:r>
      <w:r w:rsidR="00D14117">
        <w:rPr>
          <w:lang w:eastAsia="pl-PL"/>
        </w:rPr>
        <w:t>ej</w:t>
      </w:r>
      <w:r w:rsidR="00D14117" w:rsidRPr="00D14117">
        <w:rPr>
          <w:lang w:eastAsia="pl-PL"/>
        </w:rPr>
        <w:t xml:space="preserve"> infrastruktur</w:t>
      </w:r>
      <w:r w:rsidR="00D14117">
        <w:rPr>
          <w:lang w:eastAsia="pl-PL"/>
        </w:rPr>
        <w:t>y</w:t>
      </w:r>
      <w:r w:rsidR="00D14117" w:rsidRPr="00D14117">
        <w:rPr>
          <w:lang w:eastAsia="pl-PL"/>
        </w:rPr>
        <w:t xml:space="preserve"> dla łagodzenia zmian klimatu w miastach</w:t>
      </w:r>
      <w:r w:rsidR="00D14117">
        <w:rPr>
          <w:lang w:eastAsia="pl-PL"/>
        </w:rPr>
        <w:t>.</w:t>
      </w:r>
    </w:p>
    <w:p w14:paraId="52306322" w14:textId="3FB51276" w:rsidR="00AA7957" w:rsidRDefault="00AA7957" w:rsidP="00AA7957">
      <w:pPr>
        <w:contextualSpacing/>
        <w:rPr>
          <w:rFonts w:eastAsia="Calibri" w:cstheme="minorHAnsi"/>
          <w:color w:val="auto"/>
        </w:rPr>
      </w:pPr>
      <w:r>
        <w:rPr>
          <w:rFonts w:eastAsia="Calibri" w:cstheme="minorHAnsi"/>
          <w:color w:val="auto"/>
        </w:rPr>
        <w:t xml:space="preserve">Dobór roślin </w:t>
      </w:r>
      <w:r w:rsidR="00D14117">
        <w:rPr>
          <w:rFonts w:eastAsia="Calibri" w:cstheme="minorHAnsi"/>
          <w:color w:val="auto"/>
        </w:rPr>
        <w:t>zatrzymujących wodę</w:t>
      </w:r>
      <w:r>
        <w:rPr>
          <w:rFonts w:eastAsia="Calibri" w:cstheme="minorHAnsi"/>
          <w:color w:val="auto"/>
        </w:rPr>
        <w:t xml:space="preserve"> zapewni </w:t>
      </w:r>
      <w:r w:rsidR="00D14117">
        <w:rPr>
          <w:rFonts w:eastAsia="Calibri" w:cstheme="minorHAnsi"/>
          <w:color w:val="auto"/>
        </w:rPr>
        <w:t xml:space="preserve">skuteczną retencję na obszarze oraz </w:t>
      </w:r>
      <w:r w:rsidR="000312D3">
        <w:rPr>
          <w:rFonts w:eastAsia="Calibri" w:cstheme="minorHAnsi"/>
          <w:color w:val="auto"/>
        </w:rPr>
        <w:t>długie funkcjonowanie infrastruktury z zakresu rozwiązań opartych na przyrodzie.</w:t>
      </w:r>
    </w:p>
    <w:p w14:paraId="548902AE" w14:textId="77777777" w:rsidR="00B54959" w:rsidRPr="00B54959" w:rsidRDefault="00B54959" w:rsidP="00B54959">
      <w:pPr>
        <w:rPr>
          <w:lang w:eastAsia="pl-PL"/>
        </w:rPr>
      </w:pPr>
    </w:p>
    <w:p w14:paraId="5DFFBF54" w14:textId="7BF29917" w:rsidR="00686061" w:rsidRPr="00A809A3" w:rsidRDefault="00686061" w:rsidP="00853110">
      <w:pPr>
        <w:pStyle w:val="Nagwek4"/>
      </w:pPr>
      <w:r w:rsidRPr="00A809A3">
        <w:t>Przebudowa placu za budynkiem Urzędu Miejskiego w Tarnogrodzie z zastosowaniem nawierzchni przepuszczalnej</w:t>
      </w:r>
    </w:p>
    <w:p w14:paraId="70DEF414" w14:textId="7E062A82" w:rsidR="00686061" w:rsidRDefault="0092268D" w:rsidP="00686061">
      <w:pPr>
        <w:rPr>
          <w:lang w:eastAsia="pl-PL"/>
        </w:rPr>
      </w:pPr>
      <w:r>
        <w:rPr>
          <w:lang w:eastAsia="pl-PL"/>
        </w:rPr>
        <w:t xml:space="preserve">Zagospodarowanie zabudowanego placu znajdującego się za budynkiem Urzędu Miejskiego w Tarnogrodzie należy przeprowadzić z wykorzystaniem nawierzchni przepuszczalnej. </w:t>
      </w:r>
      <w:r w:rsidRPr="0092268D">
        <w:rPr>
          <w:lang w:eastAsia="pl-PL"/>
        </w:rPr>
        <w:t>Nawierzchnie przepuszczalne pozwalają na większą cyrkulację powietrza i odprowadzanie ciepła, co pomaga obniżyć temperaturę otoczenia. To zmniejsza zapotrzebowanie na chłodzenie budynków oraz poprawia komfort życia mieszkańców.</w:t>
      </w:r>
      <w:r w:rsidR="00AE2A83">
        <w:rPr>
          <w:lang w:eastAsia="pl-PL"/>
        </w:rPr>
        <w:t xml:space="preserve"> </w:t>
      </w:r>
      <w:r w:rsidR="00AE2A83" w:rsidRPr="00AE2A83">
        <w:rPr>
          <w:lang w:eastAsia="pl-PL"/>
        </w:rPr>
        <w:t>Nawierzchnie przepuszczalne pozwalają na naturalną infiltrację wody deszczowej do gruntu</w:t>
      </w:r>
      <w:r w:rsidR="00AE2A83">
        <w:rPr>
          <w:lang w:eastAsia="pl-PL"/>
        </w:rPr>
        <w:t>, co można połączyć z zabudowaniem w ziemi zbiorników gromadzących wodę, by później wykorzystać ją np. do podlewania zieleni miejskiej lub mycia ulic.</w:t>
      </w:r>
    </w:p>
    <w:p w14:paraId="1CF6C2DE" w14:textId="1016655F" w:rsidR="00AE2A83" w:rsidRDefault="00AE2A83" w:rsidP="00686061">
      <w:pPr>
        <w:rPr>
          <w:lang w:eastAsia="pl-PL"/>
        </w:rPr>
      </w:pPr>
      <w:r w:rsidRPr="00AE2A83">
        <w:rPr>
          <w:lang w:eastAsia="pl-PL"/>
        </w:rPr>
        <w:t xml:space="preserve">Przepuszczalne nawierzchnie mogą </w:t>
      </w:r>
      <w:r>
        <w:rPr>
          <w:lang w:eastAsia="pl-PL"/>
        </w:rPr>
        <w:t xml:space="preserve">również </w:t>
      </w:r>
      <w:r w:rsidRPr="00AE2A83">
        <w:rPr>
          <w:lang w:eastAsia="pl-PL"/>
        </w:rPr>
        <w:t>wspierać zróżnicowaną roślinność</w:t>
      </w:r>
      <w:r>
        <w:rPr>
          <w:lang w:eastAsia="pl-PL"/>
        </w:rPr>
        <w:t>, poprawiają jakość powietrza oraz zwiększają estetykę miejską i komfort mieszkańców.</w:t>
      </w:r>
    </w:p>
    <w:p w14:paraId="125C428D" w14:textId="77777777" w:rsidR="00686061" w:rsidRPr="00686061" w:rsidRDefault="00686061" w:rsidP="00686061">
      <w:pPr>
        <w:rPr>
          <w:lang w:eastAsia="pl-PL"/>
        </w:rPr>
      </w:pPr>
    </w:p>
    <w:p w14:paraId="63CAE15A" w14:textId="4ACE0E19" w:rsidR="00853110" w:rsidRDefault="00853110" w:rsidP="00853110">
      <w:pPr>
        <w:pStyle w:val="Nagwek4"/>
      </w:pPr>
      <w:r>
        <w:t>System magazynowania wody deszczowej na obiektach publicznych</w:t>
      </w:r>
    </w:p>
    <w:p w14:paraId="47F87DFD" w14:textId="1BEBCDC8" w:rsidR="004C012E" w:rsidRDefault="00FC4992" w:rsidP="004C012E">
      <w:pPr>
        <w:rPr>
          <w:rFonts w:cstheme="minorHAnsi"/>
          <w:color w:val="auto"/>
        </w:rPr>
      </w:pPr>
      <w:r w:rsidRPr="00655FC7">
        <w:rPr>
          <w:rFonts w:cstheme="minorHAnsi"/>
          <w:color w:val="auto"/>
        </w:rPr>
        <w:t xml:space="preserve">Woda deszczowa jest uznawana za zagrożenie, szczególnie na obszarach zurbanizowanych, gdzie nagłe, nawalne deszcze mogą powodować podtopienia i powodzie. Warto jednak spojrzeć na wodę deszczową jako na szansę na obniżenie kosztów eksploatowania np. budynków użyteczności publicznej. Analizując </w:t>
      </w:r>
      <w:r w:rsidR="0027493E">
        <w:rPr>
          <w:rFonts w:cstheme="minorHAnsi"/>
          <w:color w:val="auto"/>
        </w:rPr>
        <w:t>ilość</w:t>
      </w:r>
      <w:r w:rsidRPr="00655FC7">
        <w:rPr>
          <w:rFonts w:cstheme="minorHAnsi"/>
          <w:color w:val="auto"/>
        </w:rPr>
        <w:t xml:space="preserve"> wykorzystania wody użytkowej, można stwierdzić, że około połowę zużywanej wody możemy zastąpić wodą o</w:t>
      </w:r>
      <w:r w:rsidR="0027493E">
        <w:rPr>
          <w:rFonts w:cstheme="minorHAnsi"/>
          <w:color w:val="auto"/>
        </w:rPr>
        <w:t xml:space="preserve"> </w:t>
      </w:r>
      <w:r w:rsidRPr="00655FC7">
        <w:rPr>
          <w:rFonts w:cstheme="minorHAnsi"/>
          <w:color w:val="auto"/>
        </w:rPr>
        <w:t xml:space="preserve">niższej jakości, czyli wodą deszczową. Doskonale nadaje się ona do podlewania zieleni miejskiej </w:t>
      </w:r>
      <w:r w:rsidR="0027493E">
        <w:rPr>
          <w:rFonts w:cstheme="minorHAnsi"/>
          <w:color w:val="auto"/>
        </w:rPr>
        <w:t>czy</w:t>
      </w:r>
      <w:r w:rsidRPr="00655FC7">
        <w:rPr>
          <w:rFonts w:cstheme="minorHAnsi"/>
          <w:color w:val="auto"/>
        </w:rPr>
        <w:t xml:space="preserve"> mycia ulic. System zagospodarowania wody deszczowej może korzystać z zebranej z dachów budynków wody deszczowej</w:t>
      </w:r>
      <w:r w:rsidR="0027493E">
        <w:rPr>
          <w:rFonts w:cstheme="minorHAnsi"/>
          <w:color w:val="auto"/>
        </w:rPr>
        <w:t xml:space="preserve"> i magazynować ją w zbiornikach podziemnych lub wolnostojących. Dalej idącym rozwiązaniem jest np. podłączenie instalacji w budynku do zbiornika wody deszczowej i wykorzystanie jej do spłukiwania toalet.</w:t>
      </w:r>
    </w:p>
    <w:p w14:paraId="74F53CB3" w14:textId="6E90F082" w:rsidR="00A809A3" w:rsidRDefault="00A809A3" w:rsidP="004C012E">
      <w:pPr>
        <w:rPr>
          <w:rFonts w:cstheme="minorHAnsi"/>
          <w:color w:val="auto"/>
        </w:rPr>
      </w:pPr>
      <w:r>
        <w:rPr>
          <w:rFonts w:cstheme="minorHAnsi"/>
          <w:color w:val="auto"/>
        </w:rPr>
        <w:lastRenderedPageBreak/>
        <w:t xml:space="preserve">Rozwiązanie wykorzystania zbiorników do magazynowania wody można zastosować w przypadku zadania </w:t>
      </w:r>
      <w:r w:rsidRPr="00A809A3">
        <w:rPr>
          <w:rFonts w:cstheme="minorHAnsi"/>
          <w:color w:val="auto"/>
        </w:rPr>
        <w:t>6.3.2.7.</w:t>
      </w:r>
      <w:r w:rsidRPr="00A809A3">
        <w:rPr>
          <w:rFonts w:cstheme="minorHAnsi"/>
          <w:color w:val="auto"/>
        </w:rPr>
        <w:tab/>
        <w:t>Przebudowa placu za budynkiem Urzędu Miejskiego w Tarnogrodzie z zastosowaniem nawierzchni przepuszczalnej</w:t>
      </w:r>
      <w:r>
        <w:rPr>
          <w:rFonts w:cstheme="minorHAnsi"/>
          <w:color w:val="auto"/>
        </w:rPr>
        <w:t>, łącząc oba przedsięwzięcia.</w:t>
      </w:r>
    </w:p>
    <w:p w14:paraId="61303665" w14:textId="77777777" w:rsidR="00FC4992" w:rsidRPr="004C012E" w:rsidRDefault="00FC4992" w:rsidP="004C012E">
      <w:pPr>
        <w:rPr>
          <w:lang w:eastAsia="pl-PL"/>
        </w:rPr>
      </w:pPr>
    </w:p>
    <w:p w14:paraId="79341627" w14:textId="77777777" w:rsidR="00853110" w:rsidRDefault="00853110" w:rsidP="00853110">
      <w:pPr>
        <w:pStyle w:val="Nagwek4"/>
      </w:pPr>
      <w:r>
        <w:t>Wymiana wodomierzy na przystosowane do odczytu radiowego</w:t>
      </w:r>
    </w:p>
    <w:p w14:paraId="3F45CF8B" w14:textId="7033392C" w:rsidR="004C012E" w:rsidRDefault="00E01008" w:rsidP="004C012E">
      <w:pPr>
        <w:rPr>
          <w:lang w:eastAsia="pl-PL"/>
        </w:rPr>
      </w:pPr>
      <w:r w:rsidRPr="00E01008">
        <w:rPr>
          <w:lang w:eastAsia="pl-PL"/>
        </w:rPr>
        <w:t>Zgodnie z wieloletnim planem rozwoju i modernizacji urządzeń wodociągowych i kanalizacyjnych w Gminie Tarnogród na lata 2021-2025 przyjęty</w:t>
      </w:r>
      <w:r>
        <w:rPr>
          <w:lang w:eastAsia="pl-PL"/>
        </w:rPr>
        <w:t>m</w:t>
      </w:r>
      <w:r w:rsidRPr="00E01008">
        <w:rPr>
          <w:lang w:eastAsia="pl-PL"/>
        </w:rPr>
        <w:t xml:space="preserve"> Uchwałą Nr XXXII/213/2021 Rady Miejskiej w</w:t>
      </w:r>
      <w:r>
        <w:rPr>
          <w:lang w:eastAsia="pl-PL"/>
        </w:rPr>
        <w:t> </w:t>
      </w:r>
      <w:r w:rsidRPr="00E01008">
        <w:rPr>
          <w:lang w:eastAsia="pl-PL"/>
        </w:rPr>
        <w:t>Tarnogrodzie</w:t>
      </w:r>
      <w:r w:rsidR="00A863F6">
        <w:rPr>
          <w:lang w:eastAsia="pl-PL"/>
        </w:rPr>
        <w:t xml:space="preserve"> planuje się wymianę wodomierzy na przystosowane do odczytu radiowego. Innowacyjne rozwiązania w zakresie działań wspierających środowisko również pozytywnie przyczyniają się do adaptacji i mitygacji obszaru miasta.</w:t>
      </w:r>
    </w:p>
    <w:p w14:paraId="4945C53D" w14:textId="4CAF2925" w:rsidR="00A863F6" w:rsidRDefault="00A863F6" w:rsidP="004C012E">
      <w:pPr>
        <w:rPr>
          <w:lang w:eastAsia="pl-PL"/>
        </w:rPr>
      </w:pPr>
      <w:r>
        <w:rPr>
          <w:lang w:eastAsia="pl-PL"/>
        </w:rPr>
        <w:t>W tym przypadku wymiana wodomierzy wspomoże monitoring zużycia wody i zapobiegnie kradzieżom wody na wodociągu. Zmniejszy to zużycie wody wodociągowej oraz ograniczy presję na zasoby wód podziemnych.</w:t>
      </w:r>
    </w:p>
    <w:p w14:paraId="4CEBF729" w14:textId="77777777" w:rsidR="00A863F6" w:rsidRPr="004C012E" w:rsidRDefault="00A863F6" w:rsidP="004C012E">
      <w:pPr>
        <w:rPr>
          <w:lang w:eastAsia="pl-PL"/>
        </w:rPr>
      </w:pPr>
    </w:p>
    <w:p w14:paraId="5DF65F5A" w14:textId="5E42DBEA" w:rsidR="00853110" w:rsidRDefault="00853110" w:rsidP="00853110">
      <w:pPr>
        <w:pStyle w:val="Nagwek4"/>
      </w:pPr>
      <w:r>
        <w:t>Rozbudowa sieci kanalizacji deszczowej</w:t>
      </w:r>
    </w:p>
    <w:p w14:paraId="0E5BF979" w14:textId="6FA79611" w:rsidR="005B7539" w:rsidRDefault="005B7539" w:rsidP="005B7539">
      <w:pPr>
        <w:rPr>
          <w:lang w:eastAsia="pl-PL"/>
        </w:rPr>
      </w:pPr>
      <w:r>
        <w:rPr>
          <w:lang w:eastAsia="pl-PL"/>
        </w:rPr>
        <w:t>Kanalizacja deszczowa powinna być stosowana jedynie w ostateczności. Wody opadowe i</w:t>
      </w:r>
      <w:r w:rsidR="00F717D2">
        <w:rPr>
          <w:lang w:eastAsia="pl-PL"/>
        </w:rPr>
        <w:t> </w:t>
      </w:r>
      <w:r>
        <w:rPr>
          <w:lang w:eastAsia="pl-PL"/>
        </w:rPr>
        <w:t>roztopowe powinny być zagospodarowywane na miejscu z wykorzystaniem rozwiązań bazujących na przyrodzie. Rozwiązania zakładające odwodnienie obszaru za pomocą kanalizacji deszczowej często tylko pogłębiają istniejące problemy, m.in.:</w:t>
      </w:r>
    </w:p>
    <w:p w14:paraId="797E4077" w14:textId="77777777" w:rsidR="005B7539" w:rsidRDefault="005B7539" w:rsidP="005B7539">
      <w:pPr>
        <w:rPr>
          <w:lang w:eastAsia="pl-PL"/>
        </w:rPr>
      </w:pPr>
      <w:r>
        <w:rPr>
          <w:lang w:eastAsia="pl-PL"/>
        </w:rPr>
        <w:t>•</w:t>
      </w:r>
      <w:r>
        <w:rPr>
          <w:lang w:eastAsia="pl-PL"/>
        </w:rPr>
        <w:tab/>
        <w:t>rozwój infrastruktury pogłębia utwardzanie terenu i eliminuje powierzchnie biologicznie czynne,</w:t>
      </w:r>
    </w:p>
    <w:p w14:paraId="7B7C0731" w14:textId="77777777" w:rsidR="005B7539" w:rsidRDefault="005B7539" w:rsidP="005B7539">
      <w:pPr>
        <w:rPr>
          <w:lang w:eastAsia="pl-PL"/>
        </w:rPr>
      </w:pPr>
      <w:r>
        <w:rPr>
          <w:lang w:eastAsia="pl-PL"/>
        </w:rPr>
        <w:t>•</w:t>
      </w:r>
      <w:r>
        <w:rPr>
          <w:lang w:eastAsia="pl-PL"/>
        </w:rPr>
        <w:tab/>
        <w:t>istotnie zmniejsza migrację do gruntu wód opadowych zasilających warstwy wodonośne,</w:t>
      </w:r>
    </w:p>
    <w:p w14:paraId="602CEDA4" w14:textId="77777777" w:rsidR="005B7539" w:rsidRDefault="005B7539" w:rsidP="005B7539">
      <w:pPr>
        <w:rPr>
          <w:lang w:eastAsia="pl-PL"/>
        </w:rPr>
      </w:pPr>
      <w:r>
        <w:rPr>
          <w:lang w:eastAsia="pl-PL"/>
        </w:rPr>
        <w:t>•</w:t>
      </w:r>
      <w:r>
        <w:rPr>
          <w:lang w:eastAsia="pl-PL"/>
        </w:rPr>
        <w:tab/>
        <w:t>wody opadowe i roztopowe niosą ze sobą bardzo duży ładunek zanieczyszczeń (np. z dróg, parkingów) powodując dalsze zanieczyszczenie odbiorników (cieków, rzek, mórz itd.),</w:t>
      </w:r>
    </w:p>
    <w:p w14:paraId="36A59CBF" w14:textId="77777777" w:rsidR="005B7539" w:rsidRDefault="005B7539" w:rsidP="005B7539">
      <w:pPr>
        <w:rPr>
          <w:lang w:eastAsia="pl-PL"/>
        </w:rPr>
      </w:pPr>
      <w:r>
        <w:rPr>
          <w:lang w:eastAsia="pl-PL"/>
        </w:rPr>
        <w:t>•</w:t>
      </w:r>
      <w:r>
        <w:rPr>
          <w:lang w:eastAsia="pl-PL"/>
        </w:rPr>
        <w:tab/>
        <w:t>odwodnienie obszaru i pogłębianie się problemu suszy.</w:t>
      </w:r>
    </w:p>
    <w:p w14:paraId="3118B6EA" w14:textId="0B34FD45" w:rsidR="004C012E" w:rsidRDefault="005B7539" w:rsidP="005B7539">
      <w:pPr>
        <w:rPr>
          <w:lang w:eastAsia="pl-PL"/>
        </w:rPr>
      </w:pPr>
      <w:r>
        <w:rPr>
          <w:lang w:eastAsia="pl-PL"/>
        </w:rPr>
        <w:t>Dlatego też rozwiązania z zakresu kanalizacji deszczowej powinny być stosowane jedynie w ostateczności. W przypadku potrzeby zastosowania takich rozwiązań należy zadbać o poprawne oczyszczenie wód opadowych i roztopowych przed wprowadzeniem ich do odbiornika.</w:t>
      </w:r>
    </w:p>
    <w:p w14:paraId="7971F9B0" w14:textId="77777777" w:rsidR="004C012E" w:rsidRDefault="004C012E">
      <w:pPr>
        <w:spacing w:after="200"/>
        <w:ind w:firstLine="0"/>
        <w:jc w:val="left"/>
        <w:rPr>
          <w:lang w:eastAsia="pl-PL"/>
        </w:rPr>
      </w:pPr>
      <w:r>
        <w:rPr>
          <w:lang w:eastAsia="pl-PL"/>
        </w:rPr>
        <w:br w:type="page"/>
      </w:r>
    </w:p>
    <w:p w14:paraId="79750053" w14:textId="063791B5" w:rsidR="00144B37" w:rsidRPr="00655FC7" w:rsidRDefault="00880211" w:rsidP="00FF68AD">
      <w:pPr>
        <w:pStyle w:val="Nagwek3"/>
      </w:pPr>
      <w:bookmarkStart w:id="260" w:name="_Toc177732086"/>
      <w:r>
        <w:lastRenderedPageBreak/>
        <w:t>Transport</w:t>
      </w:r>
      <w:bookmarkEnd w:id="260"/>
    </w:p>
    <w:tbl>
      <w:tblPr>
        <w:tblStyle w:val="Tabela-Siatka"/>
        <w:tblW w:w="0" w:type="auto"/>
        <w:tblLook w:val="04A0" w:firstRow="1" w:lastRow="0" w:firstColumn="1" w:lastColumn="0" w:noHBand="0" w:noVBand="1"/>
      </w:tblPr>
      <w:tblGrid>
        <w:gridCol w:w="1668"/>
        <w:gridCol w:w="7402"/>
      </w:tblGrid>
      <w:tr w:rsidR="00BC3DFC" w14:paraId="3C060644" w14:textId="77777777" w:rsidTr="001E5985">
        <w:trPr>
          <w:trHeight w:val="1037"/>
        </w:trPr>
        <w:tc>
          <w:tcPr>
            <w:tcW w:w="1668" w:type="dxa"/>
            <w:tcBorders>
              <w:top w:val="nil"/>
              <w:left w:val="nil"/>
              <w:bottom w:val="single" w:sz="24" w:space="0" w:color="FFFFFF" w:themeColor="background1"/>
              <w:right w:val="single" w:sz="24" w:space="0" w:color="FFFFFF" w:themeColor="background1"/>
            </w:tcBorders>
            <w:shd w:val="clear" w:color="auto" w:fill="C3E098" w:themeFill="accent1" w:themeFillTint="66"/>
          </w:tcPr>
          <w:p w14:paraId="681CDFB0" w14:textId="77777777" w:rsidR="00BC3DFC" w:rsidRDefault="00BC3DFC" w:rsidP="001E5985">
            <w:pPr>
              <w:ind w:firstLine="0"/>
              <w:rPr>
                <w:rFonts w:eastAsia="Calibri" w:cstheme="minorHAnsi"/>
                <w:color w:val="auto"/>
              </w:rPr>
            </w:pPr>
            <w:r>
              <w:rPr>
                <w:rFonts w:eastAsia="Calibri" w:cstheme="minorHAnsi"/>
                <w:noProof/>
                <w:color w:val="auto"/>
              </w:rPr>
              <w:drawing>
                <wp:inline distT="0" distB="0" distL="0" distR="0" wp14:anchorId="01A101CB" wp14:editId="06F43851">
                  <wp:extent cx="914400" cy="914400"/>
                  <wp:effectExtent l="0" t="0" r="0" b="0"/>
                  <wp:docPr id="1335958754" name="Grafika 65" descr="Znaczek 3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958754" name="Grafika 65" descr="Znaczek 3 z wypełnieniem pełnym"/>
                          <pic:cNvPicPr/>
                        </pic:nvPicPr>
                        <pic:blipFill>
                          <a:blip r:embed="rId176">
                            <a:extLst>
                              <a:ext uri="{96DAC541-7B7A-43D3-8B79-37D633B846F1}">
                                <asvg:svgBlip xmlns:asvg="http://schemas.microsoft.com/office/drawing/2016/SVG/main" r:embed="rId177"/>
                              </a:ext>
                            </a:extLst>
                          </a:blip>
                          <a:stretch>
                            <a:fillRect/>
                          </a:stretch>
                        </pic:blipFill>
                        <pic:spPr>
                          <a:xfrm>
                            <a:off x="0" y="0"/>
                            <a:ext cx="914400" cy="914400"/>
                          </a:xfrm>
                          <a:prstGeom prst="rect">
                            <a:avLst/>
                          </a:prstGeom>
                        </pic:spPr>
                      </pic:pic>
                    </a:graphicData>
                  </a:graphic>
                </wp:inline>
              </w:drawing>
            </w:r>
          </w:p>
        </w:tc>
        <w:tc>
          <w:tcPr>
            <w:tcW w:w="7544" w:type="dxa"/>
            <w:tcBorders>
              <w:top w:val="nil"/>
              <w:left w:val="single" w:sz="24" w:space="0" w:color="FFFFFF" w:themeColor="background1"/>
              <w:bottom w:val="single" w:sz="24" w:space="0" w:color="FFFFFF" w:themeColor="background1"/>
              <w:right w:val="nil"/>
            </w:tcBorders>
            <w:shd w:val="clear" w:color="auto" w:fill="C3E098" w:themeFill="accent1" w:themeFillTint="66"/>
            <w:vAlign w:val="center"/>
          </w:tcPr>
          <w:p w14:paraId="36BE4266" w14:textId="42143C52" w:rsidR="00BC3DFC" w:rsidRPr="003602EA" w:rsidRDefault="00BC3DFC" w:rsidP="001E5985">
            <w:pPr>
              <w:ind w:firstLine="0"/>
              <w:jc w:val="left"/>
              <w:rPr>
                <w:rFonts w:eastAsia="Calibri" w:cstheme="minorHAnsi"/>
                <w:b/>
                <w:bCs/>
                <w:color w:val="auto"/>
                <w:sz w:val="36"/>
                <w:szCs w:val="36"/>
              </w:rPr>
            </w:pPr>
            <w:r>
              <w:rPr>
                <w:rFonts w:eastAsia="Calibri" w:cstheme="minorHAnsi"/>
                <w:b/>
                <w:bCs/>
                <w:color w:val="auto"/>
                <w:sz w:val="36"/>
                <w:szCs w:val="36"/>
              </w:rPr>
              <w:t>TRANSPORT: rozwój i promocja transportu publicznego i rowerowego, ograniczenie wpływu ruchu samochodowego</w:t>
            </w:r>
          </w:p>
        </w:tc>
      </w:tr>
      <w:tr w:rsidR="00BC3DFC" w14:paraId="2D5DC6D1" w14:textId="77777777" w:rsidTr="001E5985">
        <w:trPr>
          <w:trHeight w:val="3167"/>
        </w:trPr>
        <w:tc>
          <w:tcPr>
            <w:tcW w:w="9212"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2F6EA" w:themeFill="accent6" w:themeFillTint="33"/>
          </w:tcPr>
          <w:p w14:paraId="43958EED" w14:textId="097C9E81" w:rsidR="00BC3DFC" w:rsidRPr="00BC3DFC" w:rsidRDefault="00BC3DFC">
            <w:pPr>
              <w:pStyle w:val="Akapitzlist"/>
              <w:numPr>
                <w:ilvl w:val="0"/>
                <w:numId w:val="89"/>
              </w:numPr>
              <w:spacing w:before="240" w:line="360" w:lineRule="auto"/>
              <w:rPr>
                <w:rFonts w:eastAsia="Calibri" w:cstheme="minorHAnsi"/>
                <w:color w:val="auto"/>
                <w:sz w:val="24"/>
                <w:szCs w:val="24"/>
              </w:rPr>
            </w:pPr>
            <w:r w:rsidRPr="00BC3DFC">
              <w:rPr>
                <w:rFonts w:eastAsia="Calibri" w:cstheme="minorHAnsi"/>
                <w:color w:val="auto"/>
                <w:sz w:val="24"/>
                <w:szCs w:val="24"/>
              </w:rPr>
              <w:t>Budowa ścieżki rowerowej</w:t>
            </w:r>
          </w:p>
          <w:p w14:paraId="5B99011F" w14:textId="77777777" w:rsidR="00BC3DFC" w:rsidRPr="00BC3DFC" w:rsidRDefault="00BC3DFC">
            <w:pPr>
              <w:pStyle w:val="Akapitzlist"/>
              <w:numPr>
                <w:ilvl w:val="0"/>
                <w:numId w:val="89"/>
              </w:numPr>
              <w:spacing w:before="240" w:line="360" w:lineRule="auto"/>
              <w:rPr>
                <w:rFonts w:eastAsia="Calibri" w:cstheme="minorHAnsi"/>
                <w:color w:val="auto"/>
                <w:sz w:val="24"/>
                <w:szCs w:val="24"/>
              </w:rPr>
            </w:pPr>
            <w:r w:rsidRPr="00BC3DFC">
              <w:rPr>
                <w:rFonts w:eastAsia="Calibri" w:cstheme="minorHAnsi"/>
                <w:color w:val="auto"/>
                <w:sz w:val="24"/>
                <w:szCs w:val="24"/>
              </w:rPr>
              <w:t>Rozwój transportu publicznego</w:t>
            </w:r>
          </w:p>
          <w:p w14:paraId="17CCF91A" w14:textId="77777777" w:rsidR="00BC3DFC" w:rsidRPr="00BC3DFC" w:rsidRDefault="00BC3DFC">
            <w:pPr>
              <w:pStyle w:val="Akapitzlist"/>
              <w:numPr>
                <w:ilvl w:val="0"/>
                <w:numId w:val="89"/>
              </w:numPr>
              <w:spacing w:before="240" w:line="360" w:lineRule="auto"/>
              <w:rPr>
                <w:rFonts w:eastAsia="Calibri" w:cstheme="minorHAnsi"/>
                <w:color w:val="auto"/>
                <w:sz w:val="24"/>
                <w:szCs w:val="24"/>
              </w:rPr>
            </w:pPr>
            <w:r w:rsidRPr="00BC3DFC">
              <w:rPr>
                <w:rFonts w:eastAsia="Calibri" w:cstheme="minorHAnsi"/>
                <w:color w:val="auto"/>
                <w:sz w:val="24"/>
                <w:szCs w:val="24"/>
              </w:rPr>
              <w:t>Zazielenienie przystanków i miejsc postojowych dla rowerów</w:t>
            </w:r>
          </w:p>
          <w:p w14:paraId="2D7D1112" w14:textId="77777777" w:rsidR="00BC3DFC" w:rsidRPr="00BC3DFC" w:rsidRDefault="00BC3DFC">
            <w:pPr>
              <w:pStyle w:val="Akapitzlist"/>
              <w:numPr>
                <w:ilvl w:val="0"/>
                <w:numId w:val="89"/>
              </w:numPr>
              <w:spacing w:before="240" w:line="360" w:lineRule="auto"/>
              <w:rPr>
                <w:rFonts w:eastAsia="Calibri" w:cstheme="minorHAnsi"/>
                <w:color w:val="auto"/>
                <w:sz w:val="24"/>
                <w:szCs w:val="24"/>
              </w:rPr>
            </w:pPr>
            <w:r w:rsidRPr="00BC3DFC">
              <w:rPr>
                <w:rFonts w:eastAsia="Calibri" w:cstheme="minorHAnsi"/>
                <w:color w:val="auto"/>
                <w:sz w:val="24"/>
                <w:szCs w:val="24"/>
              </w:rPr>
              <w:t>Parkingi rowerowe i samochodowe z nawierzchni przepuszczalnej</w:t>
            </w:r>
          </w:p>
          <w:p w14:paraId="3204A2FA" w14:textId="77777777" w:rsidR="00BC3DFC" w:rsidRPr="00BC3DFC" w:rsidRDefault="00BC3DFC">
            <w:pPr>
              <w:pStyle w:val="Akapitzlist"/>
              <w:numPr>
                <w:ilvl w:val="0"/>
                <w:numId w:val="89"/>
              </w:numPr>
              <w:spacing w:before="240" w:line="360" w:lineRule="auto"/>
              <w:rPr>
                <w:rFonts w:eastAsia="Calibri" w:cstheme="minorHAnsi"/>
                <w:color w:val="auto"/>
                <w:sz w:val="24"/>
                <w:szCs w:val="24"/>
              </w:rPr>
            </w:pPr>
            <w:r w:rsidRPr="00BC3DFC">
              <w:rPr>
                <w:rFonts w:eastAsia="Calibri" w:cstheme="minorHAnsi"/>
                <w:color w:val="auto"/>
                <w:sz w:val="24"/>
                <w:szCs w:val="24"/>
              </w:rPr>
              <w:t>Uspokojenie ruchu na drogach wojewódzkich</w:t>
            </w:r>
          </w:p>
          <w:p w14:paraId="62F2B678" w14:textId="77777777" w:rsidR="00BC3DFC" w:rsidRPr="00686061" w:rsidRDefault="00BC3DFC">
            <w:pPr>
              <w:pStyle w:val="Akapitzlist"/>
              <w:numPr>
                <w:ilvl w:val="0"/>
                <w:numId w:val="89"/>
              </w:numPr>
              <w:spacing w:line="360" w:lineRule="auto"/>
              <w:rPr>
                <w:rFonts w:eastAsia="Calibri" w:cstheme="minorHAnsi"/>
                <w:color w:val="auto"/>
              </w:rPr>
            </w:pPr>
            <w:r w:rsidRPr="00BC3DFC">
              <w:rPr>
                <w:rFonts w:eastAsia="Calibri" w:cstheme="minorHAnsi"/>
                <w:color w:val="auto"/>
                <w:sz w:val="24"/>
                <w:szCs w:val="24"/>
              </w:rPr>
              <w:t>Eko-rajd rowerowy</w:t>
            </w:r>
          </w:p>
          <w:p w14:paraId="57D680B2" w14:textId="77777777" w:rsidR="00686061" w:rsidRPr="00686061" w:rsidRDefault="00686061">
            <w:pPr>
              <w:pStyle w:val="Akapitzlist"/>
              <w:numPr>
                <w:ilvl w:val="0"/>
                <w:numId w:val="89"/>
              </w:numPr>
              <w:spacing w:line="360" w:lineRule="auto"/>
              <w:rPr>
                <w:rFonts w:eastAsia="Calibri" w:cstheme="minorHAnsi"/>
                <w:color w:val="auto"/>
              </w:rPr>
            </w:pPr>
            <w:r>
              <w:rPr>
                <w:rFonts w:eastAsia="Calibri" w:cstheme="minorHAnsi"/>
                <w:color w:val="auto"/>
                <w:sz w:val="24"/>
                <w:szCs w:val="24"/>
              </w:rPr>
              <w:t>Zakup e</w:t>
            </w:r>
            <w:r w:rsidRPr="00BC3DFC">
              <w:rPr>
                <w:rFonts w:eastAsia="Calibri" w:cstheme="minorHAnsi"/>
                <w:color w:val="auto"/>
                <w:sz w:val="24"/>
                <w:szCs w:val="24"/>
              </w:rPr>
              <w:t>lektryczn</w:t>
            </w:r>
            <w:r>
              <w:rPr>
                <w:rFonts w:eastAsia="Calibri" w:cstheme="minorHAnsi"/>
                <w:color w:val="auto"/>
                <w:sz w:val="24"/>
                <w:szCs w:val="24"/>
              </w:rPr>
              <w:t>ej</w:t>
            </w:r>
            <w:r w:rsidRPr="00BC3DFC">
              <w:rPr>
                <w:rFonts w:eastAsia="Calibri" w:cstheme="minorHAnsi"/>
                <w:color w:val="auto"/>
                <w:sz w:val="24"/>
                <w:szCs w:val="24"/>
              </w:rPr>
              <w:t xml:space="preserve"> hulajnog</w:t>
            </w:r>
            <w:r>
              <w:rPr>
                <w:rFonts w:eastAsia="Calibri" w:cstheme="minorHAnsi"/>
                <w:color w:val="auto"/>
                <w:sz w:val="24"/>
                <w:szCs w:val="24"/>
              </w:rPr>
              <w:t>i</w:t>
            </w:r>
            <w:r w:rsidRPr="00BC3DFC">
              <w:rPr>
                <w:rFonts w:eastAsia="Calibri" w:cstheme="minorHAnsi"/>
                <w:color w:val="auto"/>
                <w:sz w:val="24"/>
                <w:szCs w:val="24"/>
              </w:rPr>
              <w:t xml:space="preserve"> do rozwożenia korespondencji</w:t>
            </w:r>
          </w:p>
          <w:p w14:paraId="1EAEFCD4" w14:textId="77777777" w:rsidR="00686061" w:rsidRDefault="00686061">
            <w:pPr>
              <w:pStyle w:val="Akapitzlist"/>
              <w:numPr>
                <w:ilvl w:val="0"/>
                <w:numId w:val="89"/>
              </w:numPr>
              <w:spacing w:line="360" w:lineRule="auto"/>
              <w:rPr>
                <w:rFonts w:eastAsia="Calibri" w:cstheme="minorHAnsi"/>
                <w:color w:val="auto"/>
              </w:rPr>
            </w:pPr>
            <w:r>
              <w:rPr>
                <w:rFonts w:eastAsia="Calibri" w:cstheme="minorHAnsi"/>
                <w:color w:val="auto"/>
              </w:rPr>
              <w:t>Zakup elektrycznego pojazdu do czyszczenia ulic</w:t>
            </w:r>
          </w:p>
          <w:p w14:paraId="3E2F084A" w14:textId="5A5A1E23" w:rsidR="00686061" w:rsidRPr="006450DE" w:rsidRDefault="00686061">
            <w:pPr>
              <w:pStyle w:val="Akapitzlist"/>
              <w:numPr>
                <w:ilvl w:val="0"/>
                <w:numId w:val="89"/>
              </w:numPr>
              <w:spacing w:line="360" w:lineRule="auto"/>
              <w:rPr>
                <w:rFonts w:eastAsia="Calibri" w:cstheme="minorHAnsi"/>
                <w:color w:val="auto"/>
              </w:rPr>
            </w:pPr>
            <w:r>
              <w:rPr>
                <w:rFonts w:eastAsia="Calibri" w:cstheme="minorHAnsi"/>
                <w:color w:val="auto"/>
              </w:rPr>
              <w:t>Zakup samochodu hybrydowego plug-in na potrzeby Urzędu Miejskiego</w:t>
            </w:r>
          </w:p>
        </w:tc>
      </w:tr>
    </w:tbl>
    <w:p w14:paraId="11C28028" w14:textId="77777777" w:rsidR="00D07C5B" w:rsidRPr="00655FC7" w:rsidRDefault="00D07C5B" w:rsidP="00144B37">
      <w:pPr>
        <w:tabs>
          <w:tab w:val="left" w:pos="3119"/>
        </w:tabs>
        <w:rPr>
          <w:rFonts w:cstheme="minorHAnsi"/>
          <w:color w:val="auto"/>
          <w:lang w:eastAsia="pl-PL"/>
        </w:rPr>
      </w:pPr>
    </w:p>
    <w:p w14:paraId="4EE768F8" w14:textId="0CD95E02" w:rsidR="00F717D2" w:rsidRDefault="00F717D2" w:rsidP="00F717D2">
      <w:pPr>
        <w:pStyle w:val="Nagwek4"/>
      </w:pPr>
      <w:r>
        <w:t>Budowa ścieżki rowerowe</w:t>
      </w:r>
      <w:r w:rsidR="001443FE">
        <w:t>j</w:t>
      </w:r>
    </w:p>
    <w:p w14:paraId="474F77D4" w14:textId="3286C79E" w:rsidR="00F717D2" w:rsidRDefault="00F717D2" w:rsidP="00AA548F">
      <w:pPr>
        <w:rPr>
          <w:rFonts w:cstheme="minorHAnsi"/>
          <w:color w:val="auto"/>
          <w:lang w:eastAsia="pl-PL"/>
        </w:rPr>
      </w:pPr>
      <w:r w:rsidRPr="00F717D2">
        <w:rPr>
          <w:rFonts w:cstheme="minorHAnsi"/>
          <w:color w:val="auto"/>
          <w:lang w:eastAsia="pl-PL"/>
        </w:rPr>
        <w:t>Ważnym działani</w:t>
      </w:r>
      <w:r w:rsidR="001443FE">
        <w:rPr>
          <w:rFonts w:cstheme="minorHAnsi"/>
          <w:color w:val="auto"/>
          <w:lang w:eastAsia="pl-PL"/>
        </w:rPr>
        <w:t>e</w:t>
      </w:r>
      <w:r w:rsidRPr="00F717D2">
        <w:rPr>
          <w:rFonts w:cstheme="minorHAnsi"/>
          <w:color w:val="auto"/>
          <w:lang w:eastAsia="pl-PL"/>
        </w:rPr>
        <w:t xml:space="preserve">m w niniejszej grupie działań adaptacyjnych jest budowa </w:t>
      </w:r>
      <w:r w:rsidR="001443FE">
        <w:rPr>
          <w:rFonts w:cstheme="minorHAnsi"/>
          <w:color w:val="auto"/>
          <w:lang w:eastAsia="pl-PL"/>
        </w:rPr>
        <w:t>ciągu rowerowego</w:t>
      </w:r>
      <w:r w:rsidRPr="00F717D2">
        <w:rPr>
          <w:rFonts w:cstheme="minorHAnsi"/>
          <w:color w:val="auto"/>
          <w:lang w:eastAsia="pl-PL"/>
        </w:rPr>
        <w:t>. Powstanie bezpiecznych i</w:t>
      </w:r>
      <w:r w:rsidR="001443FE">
        <w:rPr>
          <w:rFonts w:cstheme="minorHAnsi"/>
          <w:color w:val="auto"/>
          <w:lang w:eastAsia="pl-PL"/>
        </w:rPr>
        <w:t xml:space="preserve"> </w:t>
      </w:r>
      <w:r w:rsidRPr="00F717D2">
        <w:rPr>
          <w:rFonts w:cstheme="minorHAnsi"/>
          <w:color w:val="auto"/>
          <w:lang w:eastAsia="pl-PL"/>
        </w:rPr>
        <w:t xml:space="preserve">przyjaznych dla mieszkańców ścieżek doprowadzi do zwiększenia atrakcyjności tego typu przemieszczania się na terenie miasta, a tym sam doprowadzi do obniżenia zanieczyszczenia komunikacyjnego powodowanego przez samochody. </w:t>
      </w:r>
      <w:r w:rsidR="00AA548F">
        <w:rPr>
          <w:rFonts w:cstheme="minorHAnsi"/>
          <w:color w:val="auto"/>
          <w:lang w:eastAsia="pl-PL"/>
        </w:rPr>
        <w:t xml:space="preserve">Szlak przebiegał będzie </w:t>
      </w:r>
      <w:r w:rsidR="00AA548F" w:rsidRPr="00AA548F">
        <w:rPr>
          <w:rFonts w:cstheme="minorHAnsi"/>
          <w:color w:val="auto"/>
          <w:lang w:eastAsia="pl-PL"/>
        </w:rPr>
        <w:t xml:space="preserve">wzdłuż drogi wojewódzkiej nr 835 </w:t>
      </w:r>
      <w:r w:rsidR="00441A8B">
        <w:rPr>
          <w:rFonts w:cstheme="minorHAnsi"/>
          <w:color w:val="auto"/>
          <w:lang w:eastAsia="pl-PL"/>
        </w:rPr>
        <w:t>Tarnogród</w:t>
      </w:r>
      <w:r w:rsidR="00AA548F">
        <w:rPr>
          <w:rFonts w:cstheme="minorHAnsi"/>
          <w:color w:val="auto"/>
          <w:lang w:eastAsia="pl-PL"/>
        </w:rPr>
        <w:t xml:space="preserve"> -</w:t>
      </w:r>
      <w:r w:rsidR="00AA548F" w:rsidRPr="00AA548F">
        <w:rPr>
          <w:rFonts w:cstheme="minorHAnsi"/>
          <w:color w:val="auto"/>
          <w:lang w:eastAsia="pl-PL"/>
        </w:rPr>
        <w:t xml:space="preserve"> Nadrzecze </w:t>
      </w:r>
      <w:r w:rsidR="00AA548F">
        <w:rPr>
          <w:rFonts w:cstheme="minorHAnsi"/>
          <w:color w:val="auto"/>
          <w:lang w:eastAsia="pl-PL"/>
        </w:rPr>
        <w:t xml:space="preserve">- </w:t>
      </w:r>
      <w:r w:rsidR="00AA548F" w:rsidRPr="00AA548F">
        <w:rPr>
          <w:rFonts w:cstheme="minorHAnsi"/>
          <w:color w:val="auto"/>
          <w:lang w:eastAsia="pl-PL"/>
        </w:rPr>
        <w:t xml:space="preserve">Biłgoraj </w:t>
      </w:r>
      <w:r w:rsidR="00AA548F">
        <w:rPr>
          <w:rFonts w:cstheme="minorHAnsi"/>
          <w:color w:val="auto"/>
          <w:lang w:eastAsia="pl-PL"/>
        </w:rPr>
        <w:t>-</w:t>
      </w:r>
      <w:r w:rsidR="00AA548F" w:rsidRPr="00AA548F">
        <w:rPr>
          <w:rFonts w:cstheme="minorHAnsi"/>
          <w:color w:val="auto"/>
          <w:lang w:eastAsia="pl-PL"/>
        </w:rPr>
        <w:t xml:space="preserve"> Korytkowo Duże - Płusy </w:t>
      </w:r>
      <w:r w:rsidR="00AA548F">
        <w:rPr>
          <w:rFonts w:cstheme="minorHAnsi"/>
          <w:color w:val="auto"/>
          <w:lang w:eastAsia="pl-PL"/>
        </w:rPr>
        <w:t>-</w:t>
      </w:r>
      <w:r w:rsidR="00AA548F" w:rsidRPr="00AA548F">
        <w:rPr>
          <w:rFonts w:cstheme="minorHAnsi"/>
          <w:color w:val="auto"/>
          <w:lang w:eastAsia="pl-PL"/>
        </w:rPr>
        <w:t xml:space="preserve"> Tarnogród - Majdan Sieniawski</w:t>
      </w:r>
      <w:r w:rsidR="00AA548F">
        <w:rPr>
          <w:rFonts w:cstheme="minorHAnsi"/>
          <w:color w:val="auto"/>
          <w:lang w:eastAsia="pl-PL"/>
        </w:rPr>
        <w:t xml:space="preserve"> i wykorzystywał </w:t>
      </w:r>
      <w:r w:rsidR="00AA548F" w:rsidRPr="00AA548F">
        <w:rPr>
          <w:rFonts w:cstheme="minorHAnsi"/>
          <w:color w:val="auto"/>
          <w:lang w:eastAsia="pl-PL"/>
        </w:rPr>
        <w:t>istniejące odcinki (np. w gminie Księżpol) oraz częściowo drogi serwisowe wzdłuż DW 835</w:t>
      </w:r>
      <w:r w:rsidR="00AA548F">
        <w:rPr>
          <w:rFonts w:cstheme="minorHAnsi"/>
          <w:color w:val="auto"/>
          <w:lang w:eastAsia="pl-PL"/>
        </w:rPr>
        <w:t xml:space="preserve"> </w:t>
      </w:r>
      <w:r w:rsidR="00AA548F" w:rsidRPr="00AA548F">
        <w:rPr>
          <w:rFonts w:cstheme="minorHAnsi"/>
          <w:color w:val="auto"/>
          <w:lang w:eastAsia="pl-PL"/>
        </w:rPr>
        <w:t xml:space="preserve">Szlak stanowić będzie oś turystyki rowerowej dla obszaru Partnerstwa. Szlak bezpośrednio łączy się ze szlakiem Green Velo w Biłgoraju. Projekt przewiduje oznakowanie, odcinki ścieżki rowerowej dwukierunkowej o nawierzchni mineralno-bitumicznej i szerokości 2m </w:t>
      </w:r>
      <w:r w:rsidR="00FA5429">
        <w:rPr>
          <w:rFonts w:cstheme="minorHAnsi"/>
          <w:color w:val="auto"/>
          <w:lang w:eastAsia="pl-PL"/>
        </w:rPr>
        <w:t>-</w:t>
      </w:r>
      <w:r w:rsidR="00AA548F" w:rsidRPr="00AA548F">
        <w:rPr>
          <w:rFonts w:cstheme="minorHAnsi"/>
          <w:color w:val="auto"/>
          <w:lang w:eastAsia="pl-PL"/>
        </w:rPr>
        <w:t xml:space="preserve"> 5,5</w:t>
      </w:r>
      <w:r w:rsidR="00FA5429">
        <w:rPr>
          <w:rFonts w:cstheme="minorHAnsi"/>
          <w:color w:val="auto"/>
          <w:lang w:eastAsia="pl-PL"/>
        </w:rPr>
        <w:t> </w:t>
      </w:r>
      <w:r w:rsidR="00AA548F" w:rsidRPr="00AA548F">
        <w:rPr>
          <w:rFonts w:cstheme="minorHAnsi"/>
          <w:color w:val="auto"/>
          <w:lang w:eastAsia="pl-PL"/>
        </w:rPr>
        <w:t>m, miejsca obsługi rowerzystów, małą infrastrukturę pomocniczą, mała infrastruktura pomocnicza w</w:t>
      </w:r>
      <w:r w:rsidR="00AA548F">
        <w:rPr>
          <w:rFonts w:cstheme="minorHAnsi"/>
          <w:color w:val="auto"/>
          <w:lang w:eastAsia="pl-PL"/>
        </w:rPr>
        <w:t> </w:t>
      </w:r>
      <w:r w:rsidR="00AA548F" w:rsidRPr="00AA548F">
        <w:rPr>
          <w:rFonts w:cstheme="minorHAnsi"/>
          <w:color w:val="auto"/>
          <w:lang w:eastAsia="pl-PL"/>
        </w:rPr>
        <w:t>postaci: punktów serwisowych, miejsc do odpoczynku, wiat, stacji ładowania</w:t>
      </w:r>
      <w:r w:rsidR="00AA548F">
        <w:rPr>
          <w:rFonts w:cstheme="minorHAnsi"/>
          <w:color w:val="auto"/>
          <w:lang w:eastAsia="pl-PL"/>
        </w:rPr>
        <w:t xml:space="preserve"> </w:t>
      </w:r>
      <w:r w:rsidR="00AA548F" w:rsidRPr="00AA548F">
        <w:rPr>
          <w:rFonts w:cstheme="minorHAnsi"/>
          <w:color w:val="auto"/>
          <w:lang w:eastAsia="pl-PL"/>
        </w:rPr>
        <w:t>dla rowerów elektrycznych, stacji naprawy rowerów, tablic z mapami szlaków rowerowych oraz opisami atrakcji turystycznych znajdujących się w najbliższej okolicy, zestawy pierwszej pomocy oraz informacji o</w:t>
      </w:r>
      <w:r w:rsidR="00AA548F">
        <w:rPr>
          <w:rFonts w:cstheme="minorHAnsi"/>
          <w:color w:val="auto"/>
          <w:lang w:eastAsia="pl-PL"/>
        </w:rPr>
        <w:t> </w:t>
      </w:r>
      <w:r w:rsidR="00AA548F" w:rsidRPr="00AA548F">
        <w:rPr>
          <w:rFonts w:cstheme="minorHAnsi"/>
          <w:color w:val="auto"/>
          <w:lang w:eastAsia="pl-PL"/>
        </w:rPr>
        <w:t>najbliższej placówce medycznej, źródła wody pitnej</w:t>
      </w:r>
      <w:r w:rsidR="00AA548F">
        <w:rPr>
          <w:rFonts w:cstheme="minorHAnsi"/>
          <w:color w:val="auto"/>
          <w:lang w:eastAsia="pl-PL"/>
        </w:rPr>
        <w:t xml:space="preserve">. </w:t>
      </w:r>
      <w:r w:rsidR="00AA548F" w:rsidRPr="00AA548F">
        <w:rPr>
          <w:rFonts w:cstheme="minorHAnsi"/>
          <w:color w:val="auto"/>
          <w:lang w:eastAsia="pl-PL"/>
        </w:rPr>
        <w:t>Szacunkowa długość szlaku około 40 km.</w:t>
      </w:r>
    </w:p>
    <w:p w14:paraId="11B26B17" w14:textId="78563FB0" w:rsidR="00AA548F" w:rsidRPr="00F717D2" w:rsidRDefault="00AA548F" w:rsidP="00AA548F">
      <w:pPr>
        <w:rPr>
          <w:rFonts w:cstheme="minorHAnsi"/>
          <w:color w:val="auto"/>
          <w:lang w:eastAsia="pl-PL"/>
        </w:rPr>
      </w:pPr>
      <w:r>
        <w:rPr>
          <w:rFonts w:cstheme="minorHAnsi"/>
          <w:color w:val="auto"/>
          <w:lang w:eastAsia="pl-PL"/>
        </w:rPr>
        <w:t>Zadanie wyznaczono w Strategii Terytorialnej Partnerstwa Gmin Powiatu Biłgorajskiego dla rozwoju gospodarczego.</w:t>
      </w:r>
    </w:p>
    <w:p w14:paraId="1B610323" w14:textId="1EB2E4BD" w:rsidR="00F717D2" w:rsidRDefault="00F717D2" w:rsidP="00F717D2"/>
    <w:p w14:paraId="73C203A5" w14:textId="77777777" w:rsidR="00F717D2" w:rsidRDefault="00F717D2" w:rsidP="00F717D2">
      <w:pPr>
        <w:pStyle w:val="Nagwek4"/>
      </w:pPr>
      <w:r>
        <w:t>Rozwój transportu publicznego</w:t>
      </w:r>
    </w:p>
    <w:p w14:paraId="18E9AFFB" w14:textId="1D43230F" w:rsidR="00F717D2" w:rsidRPr="00655FC7" w:rsidRDefault="00F717D2" w:rsidP="00F717D2">
      <w:pPr>
        <w:tabs>
          <w:tab w:val="left" w:pos="3119"/>
        </w:tabs>
        <w:rPr>
          <w:rFonts w:cstheme="minorHAnsi"/>
          <w:color w:val="auto"/>
          <w:lang w:eastAsia="pl-PL"/>
        </w:rPr>
      </w:pPr>
      <w:r w:rsidRPr="00655FC7">
        <w:rPr>
          <w:rFonts w:cstheme="minorHAnsi"/>
          <w:color w:val="auto"/>
          <w:lang w:eastAsia="pl-PL"/>
        </w:rPr>
        <w:t>Im bardziej transport publiczny będzie atrakcyjny i wygodny, tym częściej mieszkańcy będą zainteresowani korzystaniem z niego i rezygnacją z indywidualnych środków transportu. Należy podjąć działania m.in.:</w:t>
      </w:r>
    </w:p>
    <w:p w14:paraId="5810E036" w14:textId="62856EC8" w:rsidR="00F717D2" w:rsidRPr="00655FC7" w:rsidRDefault="00F717D2">
      <w:pPr>
        <w:pStyle w:val="Akapitzlist"/>
        <w:numPr>
          <w:ilvl w:val="0"/>
          <w:numId w:val="36"/>
        </w:numPr>
        <w:tabs>
          <w:tab w:val="left" w:pos="3119"/>
        </w:tabs>
        <w:rPr>
          <w:rFonts w:cstheme="minorHAnsi"/>
          <w:color w:val="auto"/>
          <w:lang w:eastAsia="pl-PL"/>
        </w:rPr>
      </w:pPr>
      <w:r w:rsidRPr="00655FC7">
        <w:rPr>
          <w:rFonts w:cstheme="minorHAnsi"/>
          <w:color w:val="auto"/>
          <w:lang w:eastAsia="pl-PL"/>
        </w:rPr>
        <w:lastRenderedPageBreak/>
        <w:t xml:space="preserve">zebrania i analizy postulatów przewozowych </w:t>
      </w:r>
      <w:r w:rsidR="00341209">
        <w:rPr>
          <w:rFonts w:cstheme="minorHAnsi"/>
          <w:color w:val="auto"/>
          <w:lang w:eastAsia="pl-PL"/>
        </w:rPr>
        <w:t>m</w:t>
      </w:r>
      <w:r w:rsidRPr="00655FC7">
        <w:rPr>
          <w:rFonts w:cstheme="minorHAnsi"/>
          <w:color w:val="auto"/>
          <w:lang w:eastAsia="pl-PL"/>
        </w:rPr>
        <w:t>ieszkańców (diagnoza potrzeb i reorganizacja transportu),</w:t>
      </w:r>
    </w:p>
    <w:p w14:paraId="1A766205" w14:textId="7590AC3D" w:rsidR="00F717D2" w:rsidRPr="00655FC7" w:rsidRDefault="00341209">
      <w:pPr>
        <w:pStyle w:val="Akapitzlist"/>
        <w:numPr>
          <w:ilvl w:val="0"/>
          <w:numId w:val="36"/>
        </w:numPr>
        <w:tabs>
          <w:tab w:val="left" w:pos="3119"/>
        </w:tabs>
        <w:rPr>
          <w:rFonts w:cstheme="minorHAnsi"/>
          <w:color w:val="auto"/>
          <w:lang w:eastAsia="pl-PL"/>
        </w:rPr>
      </w:pPr>
      <w:r>
        <w:rPr>
          <w:rFonts w:cstheme="minorHAnsi"/>
          <w:color w:val="auto"/>
          <w:lang w:eastAsia="pl-PL"/>
        </w:rPr>
        <w:t>poprawy jakości</w:t>
      </w:r>
      <w:r w:rsidR="00F717D2" w:rsidRPr="00655FC7">
        <w:rPr>
          <w:rFonts w:cstheme="minorHAnsi"/>
          <w:color w:val="auto"/>
          <w:lang w:eastAsia="pl-PL"/>
        </w:rPr>
        <w:t xml:space="preserve"> podróży:</w:t>
      </w:r>
    </w:p>
    <w:p w14:paraId="4A9B0A98" w14:textId="427F6FFD" w:rsidR="00F717D2" w:rsidRPr="00655FC7" w:rsidRDefault="00F717D2">
      <w:pPr>
        <w:pStyle w:val="Akapitzlist"/>
        <w:numPr>
          <w:ilvl w:val="1"/>
          <w:numId w:val="36"/>
        </w:numPr>
        <w:tabs>
          <w:tab w:val="left" w:pos="3119"/>
        </w:tabs>
        <w:rPr>
          <w:rFonts w:cstheme="minorHAnsi"/>
          <w:color w:val="auto"/>
          <w:lang w:eastAsia="pl-PL"/>
        </w:rPr>
      </w:pPr>
      <w:r w:rsidRPr="00655FC7">
        <w:rPr>
          <w:rFonts w:cstheme="minorHAnsi"/>
          <w:color w:val="auto"/>
          <w:lang w:eastAsia="pl-PL"/>
        </w:rPr>
        <w:t xml:space="preserve">zakup </w:t>
      </w:r>
      <w:r w:rsidR="00341209">
        <w:rPr>
          <w:rFonts w:cstheme="minorHAnsi"/>
          <w:color w:val="auto"/>
          <w:lang w:eastAsia="pl-PL"/>
        </w:rPr>
        <w:t>taboru</w:t>
      </w:r>
      <w:r w:rsidRPr="00655FC7">
        <w:rPr>
          <w:rFonts w:cstheme="minorHAnsi"/>
          <w:color w:val="auto"/>
          <w:lang w:eastAsia="pl-PL"/>
        </w:rPr>
        <w:t>,</w:t>
      </w:r>
    </w:p>
    <w:p w14:paraId="38F24C93" w14:textId="77777777" w:rsidR="00F717D2" w:rsidRPr="00655FC7" w:rsidRDefault="00F717D2">
      <w:pPr>
        <w:pStyle w:val="Akapitzlist"/>
        <w:numPr>
          <w:ilvl w:val="1"/>
          <w:numId w:val="36"/>
        </w:numPr>
        <w:tabs>
          <w:tab w:val="left" w:pos="3119"/>
        </w:tabs>
        <w:rPr>
          <w:rFonts w:cstheme="minorHAnsi"/>
          <w:color w:val="auto"/>
          <w:lang w:eastAsia="pl-PL"/>
        </w:rPr>
      </w:pPr>
      <w:r w:rsidRPr="00655FC7">
        <w:rPr>
          <w:rFonts w:cstheme="minorHAnsi"/>
          <w:color w:val="auto"/>
          <w:lang w:eastAsia="pl-PL"/>
        </w:rPr>
        <w:t>modernizacja i zazielenienie przystanków oraz wyposażenie w miejsca postojowe dla rowerów (umożliwienie integracji komunikacji miejskiej z rowerową),</w:t>
      </w:r>
    </w:p>
    <w:p w14:paraId="427077B2" w14:textId="02E09C57" w:rsidR="00F717D2" w:rsidRPr="00655FC7" w:rsidRDefault="00341209">
      <w:pPr>
        <w:pStyle w:val="Akapitzlist"/>
        <w:numPr>
          <w:ilvl w:val="1"/>
          <w:numId w:val="36"/>
        </w:numPr>
        <w:tabs>
          <w:tab w:val="left" w:pos="3119"/>
        </w:tabs>
        <w:rPr>
          <w:rFonts w:cstheme="minorHAnsi"/>
          <w:color w:val="auto"/>
          <w:lang w:eastAsia="pl-PL"/>
        </w:rPr>
      </w:pPr>
      <w:r>
        <w:rPr>
          <w:rFonts w:cstheme="minorHAnsi"/>
          <w:color w:val="auto"/>
          <w:lang w:eastAsia="pl-PL"/>
        </w:rPr>
        <w:t>koordynacja działań z gminami sąsiednimi,</w:t>
      </w:r>
    </w:p>
    <w:p w14:paraId="6FACCEC3" w14:textId="77777777" w:rsidR="00F717D2" w:rsidRPr="00655FC7" w:rsidRDefault="00F717D2">
      <w:pPr>
        <w:pStyle w:val="Akapitzlist"/>
        <w:numPr>
          <w:ilvl w:val="1"/>
          <w:numId w:val="36"/>
        </w:numPr>
        <w:tabs>
          <w:tab w:val="left" w:pos="3119"/>
        </w:tabs>
        <w:rPr>
          <w:rFonts w:cstheme="minorHAnsi"/>
          <w:color w:val="auto"/>
          <w:lang w:eastAsia="pl-PL"/>
        </w:rPr>
      </w:pPr>
      <w:r w:rsidRPr="00655FC7">
        <w:rPr>
          <w:rFonts w:cstheme="minorHAnsi"/>
          <w:color w:val="auto"/>
          <w:lang w:eastAsia="pl-PL"/>
        </w:rPr>
        <w:t>przedłużanie linii do obszarów o intensyfikującej się zabudowie mieszkaniowej,</w:t>
      </w:r>
    </w:p>
    <w:p w14:paraId="53850CA5" w14:textId="77777777" w:rsidR="00F717D2" w:rsidRPr="00655FC7" w:rsidRDefault="00F717D2">
      <w:pPr>
        <w:pStyle w:val="Akapitzlist"/>
        <w:numPr>
          <w:ilvl w:val="0"/>
          <w:numId w:val="36"/>
        </w:numPr>
        <w:tabs>
          <w:tab w:val="left" w:pos="3119"/>
        </w:tabs>
        <w:rPr>
          <w:rFonts w:cstheme="minorHAnsi"/>
          <w:color w:val="auto"/>
          <w:lang w:eastAsia="pl-PL"/>
        </w:rPr>
      </w:pPr>
      <w:r w:rsidRPr="00655FC7">
        <w:rPr>
          <w:rFonts w:cstheme="minorHAnsi"/>
          <w:color w:val="auto"/>
          <w:lang w:eastAsia="pl-PL"/>
        </w:rPr>
        <w:t xml:space="preserve">działania zmniejszające koszty podróży – zniżki, akcje promocyjne. </w:t>
      </w:r>
    </w:p>
    <w:p w14:paraId="3CE1B49E" w14:textId="77777777" w:rsidR="00341209" w:rsidRDefault="00341209" w:rsidP="00F717D2">
      <w:pPr>
        <w:tabs>
          <w:tab w:val="left" w:pos="3119"/>
        </w:tabs>
        <w:rPr>
          <w:rFonts w:cstheme="minorHAnsi"/>
          <w:color w:val="auto"/>
          <w:lang w:eastAsia="pl-PL"/>
        </w:rPr>
      </w:pPr>
    </w:p>
    <w:p w14:paraId="3242EEE2" w14:textId="6BA96405" w:rsidR="00F717D2" w:rsidRPr="00655FC7" w:rsidRDefault="00F717D2" w:rsidP="00F717D2">
      <w:pPr>
        <w:tabs>
          <w:tab w:val="left" w:pos="3119"/>
        </w:tabs>
        <w:rPr>
          <w:rFonts w:cstheme="minorHAnsi"/>
          <w:color w:val="auto"/>
          <w:lang w:eastAsia="pl-PL"/>
        </w:rPr>
      </w:pPr>
      <w:r w:rsidRPr="00655FC7">
        <w:rPr>
          <w:rFonts w:cstheme="minorHAnsi"/>
          <w:color w:val="auto"/>
          <w:lang w:eastAsia="pl-PL"/>
        </w:rPr>
        <w:t xml:space="preserve">Ważne, by komunikacja </w:t>
      </w:r>
      <w:r w:rsidR="00F45BDF">
        <w:rPr>
          <w:rFonts w:cstheme="minorHAnsi"/>
          <w:color w:val="auto"/>
          <w:lang w:eastAsia="pl-PL"/>
        </w:rPr>
        <w:t>publiczna</w:t>
      </w:r>
      <w:r w:rsidRPr="00655FC7">
        <w:rPr>
          <w:rFonts w:cstheme="minorHAnsi"/>
          <w:color w:val="auto"/>
          <w:lang w:eastAsia="pl-PL"/>
        </w:rPr>
        <w:t xml:space="preserve"> była dobrze skorelowana z komunikacją </w:t>
      </w:r>
      <w:r w:rsidR="00F45BDF">
        <w:rPr>
          <w:rFonts w:cstheme="minorHAnsi"/>
          <w:color w:val="auto"/>
          <w:lang w:eastAsia="pl-PL"/>
        </w:rPr>
        <w:t>powiatową i</w:t>
      </w:r>
      <w:r w:rsidRPr="00655FC7">
        <w:rPr>
          <w:rFonts w:cstheme="minorHAnsi"/>
          <w:color w:val="auto"/>
          <w:lang w:eastAsia="pl-PL"/>
        </w:rPr>
        <w:t xml:space="preserve"> siecią dróg rowerowych tak, aby cały transport koegzystował z dalekobieżnymi trasami kolejowymi.</w:t>
      </w:r>
    </w:p>
    <w:p w14:paraId="7FD491C8" w14:textId="77777777" w:rsidR="00F717D2" w:rsidRPr="00F717D2" w:rsidRDefault="00F717D2" w:rsidP="00F717D2">
      <w:pPr>
        <w:rPr>
          <w:lang w:eastAsia="pl-PL"/>
        </w:rPr>
      </w:pPr>
    </w:p>
    <w:p w14:paraId="7512B80A" w14:textId="77777777" w:rsidR="00F717D2" w:rsidRDefault="00F717D2" w:rsidP="00F717D2">
      <w:pPr>
        <w:pStyle w:val="Nagwek4"/>
      </w:pPr>
      <w:r>
        <w:t>Zazielenienie przystanków i miejsc postojowych dla rowerów</w:t>
      </w:r>
    </w:p>
    <w:p w14:paraId="5B640F2F" w14:textId="77777777" w:rsidR="00F717D2" w:rsidRPr="00655FC7" w:rsidRDefault="00F717D2" w:rsidP="00F717D2">
      <w:pPr>
        <w:tabs>
          <w:tab w:val="left" w:pos="3119"/>
        </w:tabs>
        <w:rPr>
          <w:rFonts w:cstheme="minorHAnsi"/>
          <w:color w:val="auto"/>
          <w:lang w:eastAsia="pl-PL"/>
        </w:rPr>
      </w:pPr>
      <w:r w:rsidRPr="00655FC7">
        <w:rPr>
          <w:rFonts w:cstheme="minorHAnsi"/>
          <w:color w:val="auto"/>
          <w:lang w:eastAsia="pl-PL"/>
        </w:rPr>
        <w:t>Transport drogowy jest jednym z głównych źródeł emisji zanieczyszczeń powietrza, stanowiących zagrożenie dla środowiska przyrodniczego, zdrowia, a nawet życia człowieka. Wskutek spalania paliw w silnikach pojazdów do powietrza trafiają: tlenek węgla, tlenki azotu, węglowodory, w tym wielopierścieniowe węglowodory aromatyczne oraz cząstki stałe i metale ciężkie. Według danych Głównego Urzędu Statystycznego, w skali kraju sektor ten odpowiedzialny jest za ponad 28% całkowitej emisji tlenków azotu, przeszło 27% emisji tlenku węgla oraz powyżej 15% zanieczyszczeń pyłowych. W dużych miastach, zwłaszcza o scentralizowanym systemie ciepłownictwa, udział transportu drogowego w całkowitej emisji tych zanieczyszczeń jest zdecydowanie większy, dochodząc w dzielnicach centralnych nawet do 90%</w:t>
      </w:r>
      <w:r w:rsidRPr="00655FC7">
        <w:rPr>
          <w:rStyle w:val="Odwoanieprzypisudolnego"/>
          <w:rFonts w:cstheme="minorHAnsi"/>
          <w:color w:val="auto"/>
          <w:lang w:eastAsia="pl-PL"/>
        </w:rPr>
        <w:footnoteReference w:id="42"/>
      </w:r>
      <w:r w:rsidRPr="00655FC7">
        <w:rPr>
          <w:rFonts w:cstheme="minorHAnsi"/>
          <w:color w:val="auto"/>
          <w:lang w:eastAsia="pl-PL"/>
        </w:rPr>
        <w:t xml:space="preserve">. </w:t>
      </w:r>
    </w:p>
    <w:p w14:paraId="586EB55E" w14:textId="40287A62" w:rsidR="00F717D2" w:rsidRPr="00655FC7" w:rsidRDefault="00F717D2" w:rsidP="00A47D08">
      <w:pPr>
        <w:tabs>
          <w:tab w:val="left" w:pos="3119"/>
        </w:tabs>
        <w:rPr>
          <w:rFonts w:cstheme="minorHAnsi"/>
          <w:color w:val="auto"/>
          <w:lang w:eastAsia="pl-PL"/>
        </w:rPr>
      </w:pPr>
      <w:r w:rsidRPr="00655FC7">
        <w:rPr>
          <w:rFonts w:cstheme="minorHAnsi"/>
          <w:color w:val="auto"/>
          <w:lang w:eastAsia="pl-PL"/>
        </w:rPr>
        <w:t xml:space="preserve">Skala problemów wynikających z działalności transportu skłania do pilnego ograniczania jego wpływu na środowisko przyrodnicze i społeczne. </w:t>
      </w:r>
      <w:r w:rsidR="00A47D08">
        <w:rPr>
          <w:rFonts w:cstheme="minorHAnsi"/>
          <w:color w:val="auto"/>
          <w:lang w:eastAsia="pl-PL"/>
        </w:rPr>
        <w:t>Z</w:t>
      </w:r>
      <w:r w:rsidRPr="00655FC7">
        <w:rPr>
          <w:rFonts w:cstheme="minorHAnsi"/>
          <w:color w:val="auto"/>
          <w:lang w:eastAsia="pl-PL"/>
        </w:rPr>
        <w:t>agroże</w:t>
      </w:r>
      <w:r w:rsidR="00A47D08">
        <w:rPr>
          <w:rFonts w:cstheme="minorHAnsi"/>
          <w:color w:val="auto"/>
          <w:lang w:eastAsia="pl-PL"/>
        </w:rPr>
        <w:t>nia</w:t>
      </w:r>
      <w:r w:rsidRPr="00655FC7">
        <w:rPr>
          <w:rFonts w:cstheme="minorHAnsi"/>
          <w:color w:val="auto"/>
          <w:lang w:eastAsia="pl-PL"/>
        </w:rPr>
        <w:t xml:space="preserve"> wynikając</w:t>
      </w:r>
      <w:r w:rsidR="00A47D08">
        <w:rPr>
          <w:rFonts w:cstheme="minorHAnsi"/>
          <w:color w:val="auto"/>
          <w:lang w:eastAsia="pl-PL"/>
        </w:rPr>
        <w:t>e</w:t>
      </w:r>
      <w:r w:rsidRPr="00655FC7">
        <w:rPr>
          <w:rFonts w:cstheme="minorHAnsi"/>
          <w:color w:val="auto"/>
          <w:lang w:eastAsia="pl-PL"/>
        </w:rPr>
        <w:t xml:space="preserve"> z działalności transportu</w:t>
      </w:r>
      <w:r w:rsidR="00A47D08">
        <w:rPr>
          <w:rFonts w:cstheme="minorHAnsi"/>
          <w:color w:val="auto"/>
          <w:lang w:eastAsia="pl-PL"/>
        </w:rPr>
        <w:t xml:space="preserve"> można ograniczyć poprzez zastosowanie zielonej infrastruktury</w:t>
      </w:r>
      <w:r w:rsidR="00EB4D2F">
        <w:rPr>
          <w:rFonts w:cstheme="minorHAnsi"/>
          <w:color w:val="auto"/>
          <w:lang w:eastAsia="pl-PL"/>
        </w:rPr>
        <w:t xml:space="preserve"> na przystankach oraz miejscach postojowych dla rowerów.</w:t>
      </w:r>
    </w:p>
    <w:p w14:paraId="2BB24A15" w14:textId="0D261693" w:rsidR="009B43CE" w:rsidRPr="00655FC7" w:rsidRDefault="009B43CE" w:rsidP="009B43CE">
      <w:pPr>
        <w:rPr>
          <w:rFonts w:cstheme="minorHAnsi"/>
          <w:color w:val="auto"/>
          <w:lang w:eastAsia="pl-PL"/>
        </w:rPr>
      </w:pPr>
      <w:r w:rsidRPr="00655FC7">
        <w:rPr>
          <w:rFonts w:cstheme="minorHAnsi"/>
          <w:color w:val="auto"/>
          <w:lang w:eastAsia="pl-PL"/>
        </w:rPr>
        <w:t xml:space="preserve">Należy </w:t>
      </w:r>
      <w:r>
        <w:rPr>
          <w:rFonts w:cstheme="minorHAnsi"/>
          <w:color w:val="auto"/>
          <w:lang w:eastAsia="pl-PL"/>
        </w:rPr>
        <w:t>także</w:t>
      </w:r>
      <w:r w:rsidRPr="00655FC7">
        <w:rPr>
          <w:rFonts w:cstheme="minorHAnsi"/>
          <w:color w:val="auto"/>
          <w:lang w:eastAsia="pl-PL"/>
        </w:rPr>
        <w:t xml:space="preserve"> zadbać o odpowiednie zagospodarowanie wód spływających z jedni np. poprzez wprowadzanie urządzeń do infiltracji wód opadowych i pasów roślinności buforowej m.in.:</w:t>
      </w:r>
    </w:p>
    <w:p w14:paraId="71D0C8F7" w14:textId="25A671FC" w:rsidR="009B43CE" w:rsidRPr="00655FC7" w:rsidRDefault="009B43CE">
      <w:pPr>
        <w:pStyle w:val="Akapitzlist"/>
        <w:numPr>
          <w:ilvl w:val="0"/>
          <w:numId w:val="35"/>
        </w:numPr>
        <w:rPr>
          <w:rFonts w:cstheme="minorHAnsi"/>
          <w:color w:val="auto"/>
          <w:lang w:eastAsia="pl-PL"/>
        </w:rPr>
      </w:pPr>
      <w:r w:rsidRPr="00655FC7">
        <w:rPr>
          <w:rFonts w:cstheme="minorHAnsi"/>
          <w:color w:val="auto"/>
          <w:lang w:eastAsia="pl-PL"/>
        </w:rPr>
        <w:t>niecki bioretencyjne i rowy bioretencyjne,</w:t>
      </w:r>
    </w:p>
    <w:p w14:paraId="71BA948D" w14:textId="7D6FA357" w:rsidR="009B43CE" w:rsidRPr="00655FC7" w:rsidRDefault="009B43CE">
      <w:pPr>
        <w:pStyle w:val="Akapitzlist"/>
        <w:numPr>
          <w:ilvl w:val="0"/>
          <w:numId w:val="35"/>
        </w:numPr>
        <w:rPr>
          <w:rFonts w:cstheme="minorHAnsi"/>
          <w:color w:val="auto"/>
          <w:lang w:eastAsia="pl-PL"/>
        </w:rPr>
      </w:pPr>
      <w:r w:rsidRPr="00655FC7">
        <w:rPr>
          <w:rFonts w:cstheme="minorHAnsi"/>
          <w:color w:val="auto"/>
          <w:lang w:eastAsia="pl-PL"/>
        </w:rPr>
        <w:t>rowy infiltracyjne,</w:t>
      </w:r>
    </w:p>
    <w:p w14:paraId="1DE1E9EC" w14:textId="77777777" w:rsidR="009B43CE" w:rsidRPr="00655FC7" w:rsidRDefault="009B43CE">
      <w:pPr>
        <w:pStyle w:val="Akapitzlist"/>
        <w:numPr>
          <w:ilvl w:val="0"/>
          <w:numId w:val="35"/>
        </w:numPr>
        <w:rPr>
          <w:rFonts w:cstheme="minorHAnsi"/>
          <w:color w:val="auto"/>
          <w:lang w:eastAsia="pl-PL"/>
        </w:rPr>
      </w:pPr>
      <w:r w:rsidRPr="00655FC7">
        <w:rPr>
          <w:rFonts w:cstheme="minorHAnsi"/>
          <w:color w:val="auto"/>
          <w:lang w:eastAsia="pl-PL"/>
        </w:rPr>
        <w:t>wyprofilowanie ulic i zielonej infrastruktury,</w:t>
      </w:r>
    </w:p>
    <w:p w14:paraId="7ED7D095" w14:textId="77777777" w:rsidR="009B43CE" w:rsidRPr="00655FC7" w:rsidRDefault="009B43CE">
      <w:pPr>
        <w:pStyle w:val="Akapitzlist"/>
        <w:numPr>
          <w:ilvl w:val="0"/>
          <w:numId w:val="35"/>
        </w:numPr>
        <w:rPr>
          <w:rFonts w:cstheme="minorHAnsi"/>
          <w:color w:val="auto"/>
          <w:lang w:eastAsia="pl-PL"/>
        </w:rPr>
      </w:pPr>
      <w:r w:rsidRPr="00655FC7">
        <w:rPr>
          <w:rFonts w:cstheme="minorHAnsi"/>
          <w:color w:val="auto"/>
          <w:lang w:eastAsia="pl-PL"/>
        </w:rPr>
        <w:t>zadrzewione muldy (pas drzew, połączony z innymi muldami podziemnym systemem retencyjnym lub retencyjno-infiltracyjnym).</w:t>
      </w:r>
    </w:p>
    <w:p w14:paraId="0F00C5D6" w14:textId="77777777" w:rsidR="009B43CE" w:rsidRPr="00F717D2" w:rsidRDefault="009B43CE" w:rsidP="00F717D2">
      <w:pPr>
        <w:rPr>
          <w:lang w:eastAsia="pl-PL"/>
        </w:rPr>
      </w:pPr>
    </w:p>
    <w:p w14:paraId="6A2B556F" w14:textId="77777777" w:rsidR="00F717D2" w:rsidRDefault="00F717D2" w:rsidP="00F717D2">
      <w:pPr>
        <w:pStyle w:val="Nagwek4"/>
      </w:pPr>
      <w:r>
        <w:t>Parkingi rowerowe i samochodowe z nawierzchni przepuszczalnej</w:t>
      </w:r>
    </w:p>
    <w:p w14:paraId="5274F743" w14:textId="604C15C2" w:rsidR="00F717D2" w:rsidRDefault="002909C7" w:rsidP="00F717D2">
      <w:pPr>
        <w:rPr>
          <w:lang w:eastAsia="pl-PL"/>
        </w:rPr>
      </w:pPr>
      <w:r>
        <w:rPr>
          <w:lang w:eastAsia="pl-PL"/>
        </w:rPr>
        <w:t>W przypadku podejmowania prac modernizacyjnych i budowy parkingów, czy to rowerowych czy samochodowych, należy zastosować nawierzchnie przepuszczalne.</w:t>
      </w:r>
    </w:p>
    <w:p w14:paraId="5981E9E8" w14:textId="6F3DA86D" w:rsidR="002909C7" w:rsidRPr="00F717D2" w:rsidRDefault="002909C7" w:rsidP="00F717D2">
      <w:pPr>
        <w:rPr>
          <w:lang w:eastAsia="pl-PL"/>
        </w:rPr>
      </w:pPr>
      <w:r>
        <w:rPr>
          <w:lang w:eastAsia="pl-PL"/>
        </w:rPr>
        <w:t xml:space="preserve">Duże, zabetonowane powierzchnie zwiększają ryzyko powodzi. Jak wynika z badań </w:t>
      </w:r>
      <w:r w:rsidRPr="002909C7">
        <w:rPr>
          <w:lang w:eastAsia="pl-PL"/>
        </w:rPr>
        <w:t>wzrost uszczelnienia powierzchni o 1% to wzrost ryzyka powodzi o 3,3%</w:t>
      </w:r>
      <w:r w:rsidR="006F1C77">
        <w:rPr>
          <w:rStyle w:val="Odwoanieprzypisudolnego"/>
          <w:lang w:eastAsia="pl-PL"/>
        </w:rPr>
        <w:footnoteReference w:id="43"/>
      </w:r>
      <w:r w:rsidR="006F1C77">
        <w:rPr>
          <w:lang w:eastAsia="pl-PL"/>
        </w:rPr>
        <w:t xml:space="preserve">. Dlatego ważne jest, aby parkingi i place wykonywać </w:t>
      </w:r>
      <w:r w:rsidR="007D4FB5">
        <w:rPr>
          <w:lang w:eastAsia="pl-PL"/>
        </w:rPr>
        <w:t>z nawierzchni przepuszczalnej, która pozwala infiltrować wodzie do podłoża.</w:t>
      </w:r>
    </w:p>
    <w:p w14:paraId="1B7982A1" w14:textId="77777777" w:rsidR="00F717D2" w:rsidRDefault="00F717D2" w:rsidP="00F717D2">
      <w:pPr>
        <w:pStyle w:val="Nagwek4"/>
      </w:pPr>
      <w:r>
        <w:lastRenderedPageBreak/>
        <w:t>Uspokojenie ruchu na drogach wojewódzkich</w:t>
      </w:r>
    </w:p>
    <w:p w14:paraId="039A169C" w14:textId="544E89E2" w:rsidR="00F717D2" w:rsidRPr="00655FC7" w:rsidRDefault="00F717D2" w:rsidP="00F717D2">
      <w:pPr>
        <w:tabs>
          <w:tab w:val="left" w:pos="3119"/>
        </w:tabs>
        <w:rPr>
          <w:rFonts w:cstheme="minorHAnsi"/>
          <w:color w:val="auto"/>
          <w:lang w:eastAsia="pl-PL"/>
        </w:rPr>
      </w:pPr>
      <w:r w:rsidRPr="00655FC7">
        <w:rPr>
          <w:rFonts w:cstheme="minorHAnsi"/>
          <w:color w:val="auto"/>
          <w:lang w:eastAsia="pl-PL"/>
        </w:rPr>
        <w:t>Ważnym zagadnieniem jest ograniczenie ruchu pojazdów indywidualnych w centrum miasta, wprowadzając strefy ruchu uspokojonego i kładąc nacisk na rozwój systemów zarządzania ruchem oraz sprawną i punktualną komunikację publiczną</w:t>
      </w:r>
      <w:r w:rsidRPr="00655FC7">
        <w:rPr>
          <w:rStyle w:val="Odwoanieprzypisudolnego"/>
          <w:rFonts w:cstheme="minorHAnsi"/>
          <w:color w:val="auto"/>
          <w:lang w:eastAsia="pl-PL"/>
        </w:rPr>
        <w:footnoteReference w:id="44"/>
      </w:r>
      <w:r w:rsidR="00491157" w:rsidRPr="00491157">
        <w:rPr>
          <w:rFonts w:cstheme="minorHAnsi"/>
          <w:color w:val="auto"/>
          <w:vertAlign w:val="superscript"/>
          <w:lang w:eastAsia="pl-PL"/>
        </w:rPr>
        <w:t>,</w:t>
      </w:r>
      <w:r w:rsidRPr="00655FC7">
        <w:rPr>
          <w:rStyle w:val="Odwoanieprzypisudolnego"/>
          <w:rFonts w:cstheme="minorHAnsi"/>
          <w:color w:val="auto"/>
          <w:lang w:eastAsia="pl-PL"/>
        </w:rPr>
        <w:footnoteReference w:id="45"/>
      </w:r>
      <w:r w:rsidRPr="00655FC7">
        <w:rPr>
          <w:rFonts w:cstheme="minorHAnsi"/>
          <w:color w:val="auto"/>
          <w:lang w:eastAsia="pl-PL"/>
        </w:rPr>
        <w:t>.</w:t>
      </w:r>
    </w:p>
    <w:p w14:paraId="2C40FE44" w14:textId="79B15757" w:rsidR="00F717D2" w:rsidRDefault="00F717D2" w:rsidP="009B43CE">
      <w:pPr>
        <w:rPr>
          <w:rFonts w:cstheme="minorHAnsi"/>
          <w:color w:val="auto"/>
          <w:lang w:eastAsia="pl-PL"/>
        </w:rPr>
      </w:pPr>
      <w:r w:rsidRPr="00655FC7">
        <w:rPr>
          <w:rFonts w:cstheme="minorHAnsi"/>
          <w:color w:val="auto"/>
        </w:rPr>
        <w:t xml:space="preserve">Ważnym zadaniem w tej grupie działań adaptacyjnych jest również budowa i modernizacja dróg oraz rozwój terenów zielonych wzdłuż dróg. </w:t>
      </w:r>
      <w:r w:rsidRPr="00655FC7">
        <w:rPr>
          <w:rFonts w:cstheme="minorHAnsi"/>
          <w:color w:val="auto"/>
          <w:lang w:eastAsia="pl-PL"/>
        </w:rPr>
        <w:t>Mimo, że transport wywiera negatywne skutki (bezpośrednie i pośrednie) na środowisko, to do pewnego stopnia infrastruktura transportowa musi być rozwinięta</w:t>
      </w:r>
      <w:r w:rsidRPr="00655FC7">
        <w:rPr>
          <w:rStyle w:val="Odwoanieprzypisudolnego"/>
          <w:rFonts w:cstheme="minorHAnsi"/>
          <w:color w:val="auto"/>
          <w:lang w:eastAsia="pl-PL"/>
        </w:rPr>
        <w:footnoteReference w:id="46"/>
      </w:r>
      <w:r w:rsidRPr="00655FC7">
        <w:rPr>
          <w:rFonts w:cstheme="minorHAnsi"/>
          <w:color w:val="auto"/>
          <w:lang w:eastAsia="pl-PL"/>
        </w:rPr>
        <w:t xml:space="preserve">. Ważne by drogi były modernizowane i budowane z uwzględnieniem potrzeby zagospodarowania wód deszczowych. Odprowadzanie wód bezpośrednio z jezdni do środowiska (wód powierzchniowych, terenów zieleni) powoduje znaczne presje ze względu na zanieczyszczanie m.in. zawiesiny, różnego rodzaju substancje olejowe, w tym węglowodory ropopochodne oraz inne substancje ekstrahujące się eterem naftowym (SEEN), metale ciężkie (Pb, Zn, Cu, Cd, Cr, Ni i in.), związki organiczne i nieorganiczne, określane zawartością węgla całkowitego i organicznego oraz biochemicznym pięciodniowym (BZT5) i chemicznym (ChZT) zużyciem tlenu, chlorki, Na, Mg, Ca, zanieczyszczenia pływające grube, związki biogenne (azot, fosfor i potas), mikrozanieczyszczenia (np. węglowodory aromatyczne). </w:t>
      </w:r>
    </w:p>
    <w:p w14:paraId="4798EA35" w14:textId="77777777" w:rsidR="003C473F" w:rsidRPr="00655FC7" w:rsidRDefault="003C473F" w:rsidP="009B43CE">
      <w:pPr>
        <w:rPr>
          <w:rFonts w:cstheme="minorHAnsi"/>
          <w:color w:val="auto"/>
          <w:lang w:eastAsia="pl-PL"/>
        </w:rPr>
      </w:pPr>
    </w:p>
    <w:p w14:paraId="1899E6DB" w14:textId="77777777" w:rsidR="003C473F" w:rsidRDefault="003C473F" w:rsidP="003C473F">
      <w:pPr>
        <w:pStyle w:val="Nagwek4"/>
      </w:pPr>
      <w:r>
        <w:t>Eko-rajd rowerowy</w:t>
      </w:r>
    </w:p>
    <w:p w14:paraId="633A1A60" w14:textId="77777777" w:rsidR="003C473F" w:rsidRDefault="003C473F" w:rsidP="003C473F">
      <w:pPr>
        <w:rPr>
          <w:lang w:eastAsia="pl-PL"/>
        </w:rPr>
      </w:pPr>
      <w:r>
        <w:rPr>
          <w:lang w:eastAsia="pl-PL"/>
        </w:rPr>
        <w:t>Promocja transportu rowerowego jest ważnym krokiem w celu budowania odpowiednich postaw w społeczeństwie oraz uświadomieniu mieszkańców, jakie możliwości transportowe oraz rekreacyjne istnieją w mieście.</w:t>
      </w:r>
    </w:p>
    <w:p w14:paraId="4712C544" w14:textId="77777777" w:rsidR="003C473F" w:rsidRDefault="003C473F" w:rsidP="003C473F">
      <w:pPr>
        <w:rPr>
          <w:lang w:eastAsia="pl-PL"/>
        </w:rPr>
      </w:pPr>
      <w:r>
        <w:rPr>
          <w:lang w:eastAsia="pl-PL"/>
        </w:rPr>
        <w:t xml:space="preserve">Rajd ma przebiegać trasą </w:t>
      </w:r>
      <w:r w:rsidRPr="007D4FB5">
        <w:rPr>
          <w:lang w:eastAsia="pl-PL"/>
        </w:rPr>
        <w:t>Tarnogród Rynek – Las „Czerwony Bród”. Biletem wstępu na rajd będzie posiadanie bidonu z wodą.</w:t>
      </w:r>
      <w:r>
        <w:rPr>
          <w:lang w:eastAsia="pl-PL"/>
        </w:rPr>
        <w:t xml:space="preserve"> To dodatkowo będzie promować odpowiedzialne korzystanie z zasobów, szczególnie ograniczenie plastiku.</w:t>
      </w:r>
    </w:p>
    <w:p w14:paraId="3626AD3A" w14:textId="77777777" w:rsidR="003C473F" w:rsidRPr="007D4FB5" w:rsidRDefault="003C473F" w:rsidP="003C473F">
      <w:pPr>
        <w:rPr>
          <w:lang w:eastAsia="pl-PL"/>
        </w:rPr>
      </w:pPr>
      <w:r>
        <w:rPr>
          <w:lang w:eastAsia="pl-PL"/>
        </w:rPr>
        <w:t>Projekt jest jednym z pomysłów, które wygrał głosowanie uczestników warsztatów Future City Game prowadzących w Tarnogrodzie.</w:t>
      </w:r>
    </w:p>
    <w:p w14:paraId="3CD2F1FC" w14:textId="54673FD5" w:rsidR="00F717D2" w:rsidRPr="00F717D2" w:rsidRDefault="00F717D2" w:rsidP="00F717D2">
      <w:pPr>
        <w:rPr>
          <w:lang w:eastAsia="pl-PL"/>
        </w:rPr>
      </w:pPr>
    </w:p>
    <w:p w14:paraId="1F952545" w14:textId="0D78FA8B" w:rsidR="00F717D2" w:rsidRDefault="003C473F" w:rsidP="00F717D2">
      <w:pPr>
        <w:pStyle w:val="Nagwek4"/>
      </w:pPr>
      <w:r>
        <w:t>Zakup elektrycznej hulajnogi do</w:t>
      </w:r>
      <w:r w:rsidR="00F717D2">
        <w:t xml:space="preserve"> rozwożenia korespondencji</w:t>
      </w:r>
    </w:p>
    <w:p w14:paraId="7C716439" w14:textId="772ADD4C" w:rsidR="00BA5BEF" w:rsidRDefault="0007023B" w:rsidP="0007023B">
      <w:r w:rsidRPr="0007023B">
        <w:t>Zakup elektrycznej hulajnogi do rozwożenia korespondencji to praktyczne i</w:t>
      </w:r>
      <w:r>
        <w:t> </w:t>
      </w:r>
      <w:r w:rsidRPr="0007023B">
        <w:t>ekologiczne rozwiązanie, które wspiera adaptację miasta do zmian klimatu na kilku poziomach.</w:t>
      </w:r>
      <w:r w:rsidRPr="0007023B">
        <w:t xml:space="preserve"> </w:t>
      </w:r>
      <w:r>
        <w:t>Taki pojazd</w:t>
      </w:r>
      <w:r w:rsidRPr="0007023B">
        <w:t xml:space="preserve"> w</w:t>
      </w:r>
      <w:r w:rsidR="00636724">
        <w:t> </w:t>
      </w:r>
      <w:r w:rsidRPr="0007023B">
        <w:t xml:space="preserve">codziennych działaniach </w:t>
      </w:r>
      <w:r w:rsidR="00636724" w:rsidRPr="0007023B">
        <w:t xml:space="preserve">Urzędu Miejskiego </w:t>
      </w:r>
      <w:r w:rsidRPr="0007023B">
        <w:t>nie tylko przyczyni się do zmniejszenia emisji i</w:t>
      </w:r>
      <w:r w:rsidR="00BA5BEF">
        <w:t> </w:t>
      </w:r>
      <w:r w:rsidRPr="0007023B">
        <w:t xml:space="preserve">zanieczyszczeń, ale także </w:t>
      </w:r>
      <w:r w:rsidR="00BA5BEF">
        <w:t>będzie promować</w:t>
      </w:r>
      <w:r w:rsidRPr="0007023B">
        <w:t xml:space="preserve"> zrównoważony transport</w:t>
      </w:r>
      <w:r w:rsidR="00636724">
        <w:t xml:space="preserve"> oraz </w:t>
      </w:r>
      <w:r w:rsidRPr="0007023B">
        <w:t>zwiększ</w:t>
      </w:r>
      <w:r w:rsidR="00BA5BEF">
        <w:t>y</w:t>
      </w:r>
      <w:r w:rsidRPr="0007023B">
        <w:t xml:space="preserve"> elastyczność w</w:t>
      </w:r>
      <w:r w:rsidR="00636724">
        <w:t> </w:t>
      </w:r>
      <w:r w:rsidRPr="0007023B">
        <w:t>zarządzaniu mobilnością. To proste rozwiązanie może mieć wpływ na adaptację miasta do zmian klimatycznych, jednocześnie poprawiając jakość życia mieszkańców i chroniąc środowisko.</w:t>
      </w:r>
    </w:p>
    <w:p w14:paraId="5E8F0ACC" w14:textId="211F888B" w:rsidR="003C473F" w:rsidRDefault="0007023B" w:rsidP="003C473F">
      <w:pPr>
        <w:rPr>
          <w:lang w:eastAsia="pl-PL"/>
        </w:rPr>
      </w:pPr>
      <w:r w:rsidRPr="0007023B">
        <w:t>Elektryczna hulajnoga nie emituje spalin, co oznacza brak bezpośrednich emisji dwutlenku węgla oraz innych gazów cieplarnianych</w:t>
      </w:r>
      <w:r w:rsidR="00BA5BEF">
        <w:t xml:space="preserve"> i jest</w:t>
      </w:r>
      <w:r w:rsidRPr="0007023B">
        <w:t xml:space="preserve"> znacznie bardziej energooszczędn</w:t>
      </w:r>
      <w:r w:rsidR="00BA5BEF">
        <w:t>a</w:t>
      </w:r>
      <w:r w:rsidRPr="0007023B">
        <w:t xml:space="preserve"> niż pojazdy spalinowe, </w:t>
      </w:r>
      <w:r w:rsidRPr="0007023B">
        <w:lastRenderedPageBreak/>
        <w:t>a</w:t>
      </w:r>
      <w:r w:rsidR="00BA5BEF">
        <w:t> </w:t>
      </w:r>
      <w:r w:rsidRPr="0007023B">
        <w:t>także niż samochody elektryczne. Ich mały rozmiar i niska masa oznaczają, że zużywają minimalne ilości energii do poruszania się po mieście.</w:t>
      </w:r>
      <w:r>
        <w:t xml:space="preserve"> </w:t>
      </w:r>
      <w:r w:rsidRPr="0007023B">
        <w:t>Elektryczne hulajnogi są idealnym środkiem transportu do szybkiego przemieszczania się, nawet w miejscach o ograniczonym dostępie dla samochodów czy w</w:t>
      </w:r>
      <w:r w:rsidR="00636724">
        <w:t> </w:t>
      </w:r>
      <w:r w:rsidRPr="0007023B">
        <w:t xml:space="preserve">strefach pieszych. Dzięki temu </w:t>
      </w:r>
      <w:r w:rsidR="00636724" w:rsidRPr="0007023B">
        <w:t xml:space="preserve">urząd miejski </w:t>
      </w:r>
      <w:r w:rsidRPr="0007023B">
        <w:t>może efektywniej poruszać się po obszarach o różnym stopniu zagęszczenia, dostosowując się do zmieniających się warunków urbanistycznych, co jest istotne w kontekście adaptacji do zmian klimatycznych, takich jak reorganizacja przestrzeni publicznych w miastach.</w:t>
      </w:r>
      <w:r>
        <w:t xml:space="preserve"> </w:t>
      </w:r>
      <w:r w:rsidR="00BA5BEF" w:rsidRPr="00636724">
        <w:rPr>
          <w:rStyle w:val="Pogrubienie"/>
          <w:b w:val="0"/>
          <w:bCs w:val="0"/>
        </w:rPr>
        <w:t>Zakup</w:t>
      </w:r>
      <w:r>
        <w:t xml:space="preserve"> elektrycznej hulajnogi przez </w:t>
      </w:r>
      <w:r w:rsidR="00BA5BEF">
        <w:t>Urząd Miejski</w:t>
      </w:r>
      <w:r>
        <w:t xml:space="preserve"> </w:t>
      </w:r>
      <w:r w:rsidR="00BA5BEF">
        <w:t>wyśle również</w:t>
      </w:r>
      <w:r>
        <w:t xml:space="preserve"> sygnał mieszkańcom, że miasto angażuje się w promowanie zrównoważonych form transportu. </w:t>
      </w:r>
    </w:p>
    <w:p w14:paraId="3C9ADD27" w14:textId="77777777" w:rsidR="003C473F" w:rsidRPr="003C473F" w:rsidRDefault="003C473F" w:rsidP="003C473F">
      <w:pPr>
        <w:rPr>
          <w:lang w:eastAsia="pl-PL"/>
        </w:rPr>
      </w:pPr>
    </w:p>
    <w:p w14:paraId="5A128179" w14:textId="20B97A20" w:rsidR="003C473F" w:rsidRDefault="003C473F" w:rsidP="003C473F">
      <w:pPr>
        <w:pStyle w:val="Nagwek4"/>
      </w:pPr>
      <w:r>
        <w:t>Zakup elektrycznego pojazdu do czyszczenia ulic</w:t>
      </w:r>
    </w:p>
    <w:p w14:paraId="3A20FF9A" w14:textId="4C9A9CD1" w:rsidR="003C473F" w:rsidRDefault="003C473F" w:rsidP="003C473F">
      <w:r>
        <w:t>Zakup elektrycznego samochodu do czyszczenia ulic w mieście przynosi wiele korzyści dla klimatu i środowiska:</w:t>
      </w:r>
    </w:p>
    <w:p w14:paraId="3A4A47CB" w14:textId="44E9104A" w:rsidR="00F9344A" w:rsidRDefault="00A809A3" w:rsidP="00F9344A">
      <w:pPr>
        <w:pStyle w:val="Akapitzlist"/>
        <w:numPr>
          <w:ilvl w:val="0"/>
          <w:numId w:val="98"/>
        </w:numPr>
        <w:rPr>
          <w:color w:val="auto"/>
        </w:rPr>
      </w:pPr>
      <w:r>
        <w:rPr>
          <w:color w:val="auto"/>
        </w:rPr>
        <w:t>mniejsza emisja spalin oraz szkodliwych substancji w mieście,</w:t>
      </w:r>
    </w:p>
    <w:p w14:paraId="0CA86B2C" w14:textId="7DF24899" w:rsidR="003C473F" w:rsidRDefault="00A809A3" w:rsidP="00A809A3">
      <w:pPr>
        <w:pStyle w:val="Akapitzlist"/>
        <w:numPr>
          <w:ilvl w:val="0"/>
          <w:numId w:val="98"/>
        </w:numPr>
      </w:pPr>
      <w:r>
        <w:t>redukcja emisji hałasu,</w:t>
      </w:r>
    </w:p>
    <w:p w14:paraId="35746DDC" w14:textId="12ECC433" w:rsidR="00A809A3" w:rsidRDefault="00A809A3" w:rsidP="00A809A3">
      <w:pPr>
        <w:pStyle w:val="Akapitzlist"/>
        <w:numPr>
          <w:ilvl w:val="0"/>
          <w:numId w:val="98"/>
        </w:numPr>
      </w:pPr>
      <w:r>
        <w:t>poprawa efektywności energetycznej,</w:t>
      </w:r>
    </w:p>
    <w:p w14:paraId="137A5E2F" w14:textId="0256EFE5" w:rsidR="00A809A3" w:rsidRDefault="00A809A3" w:rsidP="00A809A3">
      <w:pPr>
        <w:pStyle w:val="Akapitzlist"/>
        <w:numPr>
          <w:ilvl w:val="0"/>
          <w:numId w:val="98"/>
        </w:numPr>
      </w:pPr>
      <w:r>
        <w:t>możliwość zasilania z OZE,</w:t>
      </w:r>
    </w:p>
    <w:p w14:paraId="12C6D96F" w14:textId="6F4D271F" w:rsidR="00A809A3" w:rsidRDefault="00A809A3" w:rsidP="00A809A3">
      <w:pPr>
        <w:pStyle w:val="Akapitzlist"/>
        <w:numPr>
          <w:ilvl w:val="0"/>
          <w:numId w:val="98"/>
        </w:numPr>
      </w:pPr>
      <w:r>
        <w:t>mniejsza awaryjność,</w:t>
      </w:r>
    </w:p>
    <w:p w14:paraId="25262A16" w14:textId="237E03BB" w:rsidR="00A809A3" w:rsidRDefault="00A809A3" w:rsidP="00A809A3">
      <w:pPr>
        <w:pStyle w:val="Akapitzlist"/>
        <w:numPr>
          <w:ilvl w:val="0"/>
          <w:numId w:val="98"/>
        </w:numPr>
      </w:pPr>
      <w:r>
        <w:t>walory edukacyjne,</w:t>
      </w:r>
    </w:p>
    <w:p w14:paraId="29331A99" w14:textId="2CEBF913" w:rsidR="00A809A3" w:rsidRDefault="00A809A3" w:rsidP="00A809A3">
      <w:pPr>
        <w:pStyle w:val="Akapitzlist"/>
        <w:numPr>
          <w:ilvl w:val="0"/>
          <w:numId w:val="98"/>
        </w:numPr>
      </w:pPr>
      <w:r>
        <w:t>wsparcie innowacyjnych rozwiązań w działaniach adaptacyjnych i mitygacyjnych.</w:t>
      </w:r>
    </w:p>
    <w:p w14:paraId="3167E151" w14:textId="37256B22" w:rsidR="003C473F" w:rsidRDefault="00A809A3" w:rsidP="003C473F">
      <w:r>
        <w:t>El</w:t>
      </w:r>
      <w:r w:rsidR="003C473F">
        <w:t xml:space="preserve">ektryczny </w:t>
      </w:r>
      <w:r>
        <w:t>pojazd</w:t>
      </w:r>
      <w:r w:rsidR="003C473F">
        <w:t xml:space="preserve"> do czyszczenia ulic w mieście to rozwiązanie ekologiczne i ekonomiczne, które przyczynia się do ochrony klimatu i poprawy jakości życia mieszkańców, jednocześnie zmniejszając negatywny wpływ na środowisko.</w:t>
      </w:r>
    </w:p>
    <w:p w14:paraId="064BFEA9" w14:textId="77777777" w:rsidR="003C473F" w:rsidRDefault="003C473F" w:rsidP="003C473F">
      <w:pPr>
        <w:rPr>
          <w:lang w:eastAsia="pl-PL"/>
        </w:rPr>
      </w:pPr>
    </w:p>
    <w:p w14:paraId="6E076DCA" w14:textId="77777777" w:rsidR="00AE2A83" w:rsidRDefault="00AE2A83" w:rsidP="00AE2A83">
      <w:pPr>
        <w:pStyle w:val="Nagwek4"/>
      </w:pPr>
      <w:bookmarkStart w:id="261" w:name="_Toc177732087"/>
      <w:r w:rsidRPr="003C473F">
        <w:t>Zakup samochodu hybrydowego plug-in na potrzeby Urzędu Miejskiego w Tarnogrodzie</w:t>
      </w:r>
    </w:p>
    <w:p w14:paraId="2E0BDDC3" w14:textId="266230AF" w:rsidR="00AE2A83" w:rsidRDefault="00BA5BEF" w:rsidP="00AE2A83">
      <w:pPr>
        <w:rPr>
          <w:lang w:eastAsia="pl-PL"/>
        </w:rPr>
      </w:pPr>
      <w:r>
        <w:rPr>
          <w:lang w:eastAsia="pl-PL"/>
        </w:rPr>
        <w:t>Kolejnym rozwiązaniem wspierającym redukcję emisji i promocję alternatywnych pojazdów jest zakup samochodu hybrydowego. Z</w:t>
      </w:r>
      <w:r w:rsidRPr="00BA5BEF">
        <w:rPr>
          <w:lang w:eastAsia="pl-PL"/>
        </w:rPr>
        <w:t xml:space="preserve">akup samochodu hybrydowego plug-in przez </w:t>
      </w:r>
      <w:r>
        <w:rPr>
          <w:lang w:eastAsia="pl-PL"/>
        </w:rPr>
        <w:t>Urząd Miejski</w:t>
      </w:r>
      <w:r w:rsidRPr="00BA5BEF">
        <w:rPr>
          <w:lang w:eastAsia="pl-PL"/>
        </w:rPr>
        <w:t xml:space="preserve"> wspiera adaptację do zmian klimat</w:t>
      </w:r>
      <w:r>
        <w:rPr>
          <w:lang w:eastAsia="pl-PL"/>
        </w:rPr>
        <w:t>u</w:t>
      </w:r>
      <w:r w:rsidRPr="00BA5BEF">
        <w:rPr>
          <w:lang w:eastAsia="pl-PL"/>
        </w:rPr>
        <w:t>, redukując emisj</w:t>
      </w:r>
      <w:r>
        <w:rPr>
          <w:lang w:eastAsia="pl-PL"/>
        </w:rPr>
        <w:t>ę</w:t>
      </w:r>
      <w:r w:rsidRPr="00BA5BEF">
        <w:rPr>
          <w:lang w:eastAsia="pl-PL"/>
        </w:rPr>
        <w:t xml:space="preserve"> gazów cieplarnianych, zanieczyszczeń powietrza oraz zużycie paliw kopalnych. Tego typu pojazdy są energooszczędne, elastyczne i promują zrównoważony transport, co stanowi ważny element strategii miasta w zakresie ochrony środowiska i adaptacji do wyzwań związanych z globalnym ociepleniem.</w:t>
      </w:r>
    </w:p>
    <w:p w14:paraId="18475397" w14:textId="3C0CD86B" w:rsidR="00AE2A83" w:rsidRDefault="00BA5BEF" w:rsidP="00AE2A83">
      <w:pPr>
        <w:rPr>
          <w:lang w:eastAsia="pl-PL"/>
        </w:rPr>
      </w:pPr>
      <w:r>
        <w:rPr>
          <w:lang w:eastAsia="pl-PL"/>
        </w:rPr>
        <w:t>Korzyści płynące z wykorzystania samochodu hybrydowego to:</w:t>
      </w:r>
    </w:p>
    <w:p w14:paraId="07E2483E" w14:textId="4206EADB" w:rsidR="00BA5BEF" w:rsidRDefault="00636724" w:rsidP="00BA5BEF">
      <w:pPr>
        <w:pStyle w:val="Akapitzlist"/>
        <w:numPr>
          <w:ilvl w:val="0"/>
          <w:numId w:val="122"/>
        </w:numPr>
        <w:rPr>
          <w:lang w:eastAsia="pl-PL"/>
        </w:rPr>
      </w:pPr>
      <w:r w:rsidRPr="00636724">
        <w:rPr>
          <w:lang w:eastAsia="pl-PL"/>
        </w:rPr>
        <w:t>redukcja emisji gazów cieplarnianych</w:t>
      </w:r>
      <w:r>
        <w:rPr>
          <w:lang w:eastAsia="pl-PL"/>
        </w:rPr>
        <w:t>,</w:t>
      </w:r>
    </w:p>
    <w:p w14:paraId="39B4F9D1" w14:textId="376E9BF0" w:rsidR="00636724" w:rsidRDefault="00636724" w:rsidP="00BA5BEF">
      <w:pPr>
        <w:pStyle w:val="Akapitzlist"/>
        <w:numPr>
          <w:ilvl w:val="0"/>
          <w:numId w:val="122"/>
        </w:numPr>
        <w:rPr>
          <w:lang w:eastAsia="pl-PL"/>
        </w:rPr>
      </w:pPr>
      <w:r w:rsidRPr="00636724">
        <w:rPr>
          <w:lang w:eastAsia="pl-PL"/>
        </w:rPr>
        <w:t>zwiększenie efektywności energetycznej</w:t>
      </w:r>
      <w:r>
        <w:rPr>
          <w:lang w:eastAsia="pl-PL"/>
        </w:rPr>
        <w:t>,</w:t>
      </w:r>
    </w:p>
    <w:p w14:paraId="07EA28C9" w14:textId="01D397CC" w:rsidR="00636724" w:rsidRDefault="00636724" w:rsidP="00BA5BEF">
      <w:pPr>
        <w:pStyle w:val="Akapitzlist"/>
        <w:numPr>
          <w:ilvl w:val="0"/>
          <w:numId w:val="122"/>
        </w:numPr>
        <w:rPr>
          <w:lang w:eastAsia="pl-PL"/>
        </w:rPr>
      </w:pPr>
      <w:r w:rsidRPr="00636724">
        <w:rPr>
          <w:lang w:eastAsia="pl-PL"/>
        </w:rPr>
        <w:t>zmniejszenie zależności od paliw kopalnych</w:t>
      </w:r>
      <w:r>
        <w:rPr>
          <w:lang w:eastAsia="pl-PL"/>
        </w:rPr>
        <w:t>,</w:t>
      </w:r>
    </w:p>
    <w:p w14:paraId="076DF5EA" w14:textId="3AF5F1BD" w:rsidR="00636724" w:rsidRDefault="00636724" w:rsidP="00BA5BEF">
      <w:pPr>
        <w:pStyle w:val="Akapitzlist"/>
        <w:numPr>
          <w:ilvl w:val="0"/>
          <w:numId w:val="122"/>
        </w:numPr>
        <w:rPr>
          <w:lang w:eastAsia="pl-PL"/>
        </w:rPr>
      </w:pPr>
      <w:r w:rsidRPr="00636724">
        <w:rPr>
          <w:lang w:eastAsia="pl-PL"/>
        </w:rPr>
        <w:t>redukcja lokalnych zanieczyszczeń powietrza</w:t>
      </w:r>
      <w:r>
        <w:rPr>
          <w:lang w:eastAsia="pl-PL"/>
        </w:rPr>
        <w:t>,</w:t>
      </w:r>
    </w:p>
    <w:p w14:paraId="24359133" w14:textId="44007030" w:rsidR="00636724" w:rsidRDefault="00636724" w:rsidP="00BA5BEF">
      <w:pPr>
        <w:pStyle w:val="Akapitzlist"/>
        <w:numPr>
          <w:ilvl w:val="0"/>
          <w:numId w:val="122"/>
        </w:numPr>
        <w:rPr>
          <w:lang w:eastAsia="pl-PL"/>
        </w:rPr>
      </w:pPr>
      <w:r w:rsidRPr="00636724">
        <w:rPr>
          <w:lang w:eastAsia="pl-PL"/>
        </w:rPr>
        <w:t>oszczędność kosztów operacyjnych i paliwowych</w:t>
      </w:r>
      <w:r>
        <w:rPr>
          <w:lang w:eastAsia="pl-PL"/>
        </w:rPr>
        <w:t>,</w:t>
      </w:r>
    </w:p>
    <w:p w14:paraId="24F3198A" w14:textId="686F24E8" w:rsidR="00636724" w:rsidRDefault="00636724" w:rsidP="00BA5BEF">
      <w:pPr>
        <w:pStyle w:val="Akapitzlist"/>
        <w:numPr>
          <w:ilvl w:val="0"/>
          <w:numId w:val="122"/>
        </w:numPr>
        <w:rPr>
          <w:lang w:eastAsia="pl-PL"/>
        </w:rPr>
      </w:pPr>
      <w:r w:rsidRPr="00636724">
        <w:rPr>
          <w:lang w:eastAsia="pl-PL"/>
        </w:rPr>
        <w:t>wsparcie rozwoju infrastruktury ładowania</w:t>
      </w:r>
      <w:r>
        <w:rPr>
          <w:lang w:eastAsia="pl-PL"/>
        </w:rPr>
        <w:t>,</w:t>
      </w:r>
    </w:p>
    <w:p w14:paraId="6BB1C80D" w14:textId="3E082BEC" w:rsidR="00636724" w:rsidRDefault="00636724" w:rsidP="00BA5BEF">
      <w:pPr>
        <w:pStyle w:val="Akapitzlist"/>
        <w:numPr>
          <w:ilvl w:val="0"/>
          <w:numId w:val="122"/>
        </w:numPr>
        <w:rPr>
          <w:lang w:eastAsia="pl-PL"/>
        </w:rPr>
      </w:pPr>
      <w:r w:rsidRPr="00636724">
        <w:rPr>
          <w:lang w:eastAsia="pl-PL"/>
        </w:rPr>
        <w:t>elastyczność w użytkowaniu w różnych warunkach</w:t>
      </w:r>
      <w:r>
        <w:rPr>
          <w:lang w:eastAsia="pl-PL"/>
        </w:rPr>
        <w:t>,</w:t>
      </w:r>
    </w:p>
    <w:p w14:paraId="1CF313DB" w14:textId="6EA78B17" w:rsidR="00636724" w:rsidRDefault="00636724" w:rsidP="00BA5BEF">
      <w:pPr>
        <w:pStyle w:val="Akapitzlist"/>
        <w:numPr>
          <w:ilvl w:val="0"/>
          <w:numId w:val="122"/>
        </w:numPr>
        <w:rPr>
          <w:lang w:eastAsia="pl-PL"/>
        </w:rPr>
      </w:pPr>
      <w:r w:rsidRPr="00636724">
        <w:rPr>
          <w:lang w:eastAsia="pl-PL"/>
        </w:rPr>
        <w:t>promowanie zrównoważonego transportu</w:t>
      </w:r>
      <w:r>
        <w:rPr>
          <w:lang w:eastAsia="pl-PL"/>
        </w:rPr>
        <w:t>,</w:t>
      </w:r>
    </w:p>
    <w:p w14:paraId="035E81DB" w14:textId="4A870244" w:rsidR="00AE2A83" w:rsidRPr="005F29B2" w:rsidRDefault="00636724" w:rsidP="005F29B2">
      <w:pPr>
        <w:pStyle w:val="Akapitzlist"/>
        <w:numPr>
          <w:ilvl w:val="0"/>
          <w:numId w:val="122"/>
        </w:numPr>
        <w:rPr>
          <w:lang w:eastAsia="pl-PL"/>
        </w:rPr>
      </w:pPr>
      <w:r w:rsidRPr="00636724">
        <w:rPr>
          <w:lang w:eastAsia="pl-PL"/>
        </w:rPr>
        <w:t>przygotowanie na przyszłość z niskoemisyjnym transportem</w:t>
      </w:r>
      <w:r w:rsidR="005F29B2">
        <w:rPr>
          <w:lang w:eastAsia="pl-PL"/>
        </w:rPr>
        <w:t>.</w:t>
      </w:r>
      <w:r w:rsidR="00AE2A83">
        <w:br w:type="page"/>
      </w:r>
    </w:p>
    <w:p w14:paraId="601836F2" w14:textId="6C579CF6" w:rsidR="00D07C5B" w:rsidRPr="00655FC7" w:rsidRDefault="00880211" w:rsidP="00FF68AD">
      <w:pPr>
        <w:pStyle w:val="Nagwek3"/>
      </w:pPr>
      <w:r>
        <w:lastRenderedPageBreak/>
        <w:t>Powietrze</w:t>
      </w:r>
      <w:bookmarkEnd w:id="261"/>
    </w:p>
    <w:tbl>
      <w:tblPr>
        <w:tblStyle w:val="Tabela-Siatka"/>
        <w:tblW w:w="0" w:type="auto"/>
        <w:tblLook w:val="04A0" w:firstRow="1" w:lastRow="0" w:firstColumn="1" w:lastColumn="0" w:noHBand="0" w:noVBand="1"/>
      </w:tblPr>
      <w:tblGrid>
        <w:gridCol w:w="1668"/>
        <w:gridCol w:w="7402"/>
      </w:tblGrid>
      <w:tr w:rsidR="00BC3DFC" w14:paraId="37AABA38" w14:textId="77777777" w:rsidTr="001E5985">
        <w:trPr>
          <w:trHeight w:val="1037"/>
        </w:trPr>
        <w:tc>
          <w:tcPr>
            <w:tcW w:w="1668" w:type="dxa"/>
            <w:tcBorders>
              <w:top w:val="nil"/>
              <w:left w:val="nil"/>
              <w:bottom w:val="single" w:sz="24" w:space="0" w:color="FFFFFF" w:themeColor="background1"/>
              <w:right w:val="single" w:sz="24" w:space="0" w:color="FFFFFF" w:themeColor="background1"/>
            </w:tcBorders>
            <w:shd w:val="clear" w:color="auto" w:fill="C3E098" w:themeFill="accent1" w:themeFillTint="66"/>
          </w:tcPr>
          <w:p w14:paraId="46A2B4F5" w14:textId="77777777" w:rsidR="00BC3DFC" w:rsidRDefault="00BC3DFC" w:rsidP="001E5985">
            <w:pPr>
              <w:ind w:firstLine="0"/>
              <w:rPr>
                <w:rFonts w:eastAsia="Calibri" w:cstheme="minorHAnsi"/>
                <w:color w:val="auto"/>
              </w:rPr>
            </w:pPr>
            <w:r>
              <w:rPr>
                <w:rFonts w:eastAsia="Calibri" w:cstheme="minorHAnsi"/>
                <w:noProof/>
                <w:color w:val="auto"/>
              </w:rPr>
              <w:drawing>
                <wp:inline distT="0" distB="0" distL="0" distR="0" wp14:anchorId="17263F3D" wp14:editId="5A232E86">
                  <wp:extent cx="914400" cy="914400"/>
                  <wp:effectExtent l="0" t="0" r="0" b="0"/>
                  <wp:docPr id="122315721" name="Grafika 65" descr="Znaczek 4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15721" name="Grafika 65" descr="Znaczek 4 z wypełnieniem pełnym"/>
                          <pic:cNvPicPr/>
                        </pic:nvPicPr>
                        <pic:blipFill>
                          <a:blip r:embed="rId178">
                            <a:extLst>
                              <a:ext uri="{96DAC541-7B7A-43D3-8B79-37D633B846F1}">
                                <asvg:svgBlip xmlns:asvg="http://schemas.microsoft.com/office/drawing/2016/SVG/main" r:embed="rId179"/>
                              </a:ext>
                            </a:extLst>
                          </a:blip>
                          <a:stretch>
                            <a:fillRect/>
                          </a:stretch>
                        </pic:blipFill>
                        <pic:spPr>
                          <a:xfrm>
                            <a:off x="0" y="0"/>
                            <a:ext cx="914400" cy="914400"/>
                          </a:xfrm>
                          <a:prstGeom prst="rect">
                            <a:avLst/>
                          </a:prstGeom>
                        </pic:spPr>
                      </pic:pic>
                    </a:graphicData>
                  </a:graphic>
                </wp:inline>
              </w:drawing>
            </w:r>
          </w:p>
        </w:tc>
        <w:tc>
          <w:tcPr>
            <w:tcW w:w="7544" w:type="dxa"/>
            <w:tcBorders>
              <w:top w:val="nil"/>
              <w:left w:val="single" w:sz="24" w:space="0" w:color="FFFFFF" w:themeColor="background1"/>
              <w:bottom w:val="single" w:sz="24" w:space="0" w:color="FFFFFF" w:themeColor="background1"/>
              <w:right w:val="nil"/>
            </w:tcBorders>
            <w:shd w:val="clear" w:color="auto" w:fill="C3E098" w:themeFill="accent1" w:themeFillTint="66"/>
            <w:vAlign w:val="center"/>
          </w:tcPr>
          <w:p w14:paraId="6B04F152" w14:textId="611BE34D" w:rsidR="00BC3DFC" w:rsidRPr="003602EA" w:rsidRDefault="00BC3DFC" w:rsidP="001E5985">
            <w:pPr>
              <w:ind w:firstLine="0"/>
              <w:jc w:val="left"/>
              <w:rPr>
                <w:rFonts w:eastAsia="Calibri" w:cstheme="minorHAnsi"/>
                <w:b/>
                <w:bCs/>
                <w:color w:val="auto"/>
                <w:sz w:val="36"/>
                <w:szCs w:val="36"/>
              </w:rPr>
            </w:pPr>
            <w:r>
              <w:rPr>
                <w:rFonts w:eastAsia="Calibri" w:cstheme="minorHAnsi"/>
                <w:b/>
                <w:bCs/>
                <w:color w:val="auto"/>
                <w:sz w:val="36"/>
                <w:szCs w:val="36"/>
              </w:rPr>
              <w:t>POWIETRZE: rozwój odnawialnych źródeł energii, poprawa efektywności energetycznej</w:t>
            </w:r>
            <w:r w:rsidR="00D57FDF">
              <w:rPr>
                <w:rFonts w:eastAsia="Calibri" w:cstheme="minorHAnsi"/>
                <w:b/>
                <w:bCs/>
                <w:color w:val="auto"/>
                <w:sz w:val="36"/>
                <w:szCs w:val="36"/>
              </w:rPr>
              <w:t>, współpraca w ramach klastra lub spółdzielni</w:t>
            </w:r>
          </w:p>
        </w:tc>
      </w:tr>
      <w:tr w:rsidR="00BC3DFC" w14:paraId="6B6EDD22" w14:textId="77777777" w:rsidTr="001E5985">
        <w:trPr>
          <w:trHeight w:val="3167"/>
        </w:trPr>
        <w:tc>
          <w:tcPr>
            <w:tcW w:w="9212"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2F6EA" w:themeFill="accent6" w:themeFillTint="33"/>
          </w:tcPr>
          <w:p w14:paraId="72F6ED16" w14:textId="77777777" w:rsidR="00BC3DFC" w:rsidRPr="00BC3DFC" w:rsidRDefault="00BC3DFC">
            <w:pPr>
              <w:pStyle w:val="Akapitzlist"/>
              <w:numPr>
                <w:ilvl w:val="0"/>
                <w:numId w:val="90"/>
              </w:numPr>
              <w:spacing w:before="240" w:line="360" w:lineRule="auto"/>
              <w:rPr>
                <w:rFonts w:eastAsia="Calibri" w:cstheme="minorHAnsi"/>
                <w:color w:val="auto"/>
                <w:sz w:val="24"/>
                <w:szCs w:val="24"/>
              </w:rPr>
            </w:pPr>
            <w:r w:rsidRPr="00BC3DFC">
              <w:rPr>
                <w:rFonts w:eastAsia="Calibri" w:cstheme="minorHAnsi"/>
                <w:color w:val="auto"/>
                <w:sz w:val="24"/>
                <w:szCs w:val="24"/>
              </w:rPr>
              <w:t>Wsparcie i promocja rozwoju OZE, szczególnie fotowoltaiki</w:t>
            </w:r>
          </w:p>
          <w:p w14:paraId="05F25E15" w14:textId="77777777" w:rsidR="00BC3DFC" w:rsidRPr="00BC3DFC" w:rsidRDefault="00BC3DFC">
            <w:pPr>
              <w:pStyle w:val="Akapitzlist"/>
              <w:numPr>
                <w:ilvl w:val="0"/>
                <w:numId w:val="90"/>
              </w:numPr>
              <w:spacing w:before="240" w:line="360" w:lineRule="auto"/>
              <w:rPr>
                <w:rFonts w:eastAsia="Calibri" w:cstheme="minorHAnsi"/>
                <w:color w:val="auto"/>
                <w:sz w:val="24"/>
                <w:szCs w:val="24"/>
              </w:rPr>
            </w:pPr>
            <w:r w:rsidRPr="00BC3DFC">
              <w:rPr>
                <w:rFonts w:eastAsia="Calibri" w:cstheme="minorHAnsi"/>
                <w:color w:val="auto"/>
                <w:sz w:val="24"/>
                <w:szCs w:val="24"/>
              </w:rPr>
              <w:t>Kontrole spalania odpadów w przydomowych kotłach</w:t>
            </w:r>
          </w:p>
          <w:p w14:paraId="3E0FED1F" w14:textId="288342BC" w:rsidR="00BC3DFC" w:rsidRPr="00BC3DFC" w:rsidRDefault="00BC3DFC">
            <w:pPr>
              <w:pStyle w:val="Akapitzlist"/>
              <w:numPr>
                <w:ilvl w:val="0"/>
                <w:numId w:val="90"/>
              </w:numPr>
              <w:spacing w:before="240" w:line="360" w:lineRule="auto"/>
              <w:rPr>
                <w:rFonts w:eastAsia="Calibri" w:cstheme="minorHAnsi"/>
                <w:color w:val="auto"/>
                <w:sz w:val="24"/>
                <w:szCs w:val="24"/>
              </w:rPr>
            </w:pPr>
            <w:r w:rsidRPr="00BC3DFC">
              <w:rPr>
                <w:rFonts w:eastAsia="Calibri" w:cstheme="minorHAnsi"/>
                <w:color w:val="auto"/>
                <w:sz w:val="24"/>
                <w:szCs w:val="24"/>
              </w:rPr>
              <w:t>Rewitalizacja budynku dawnego urzędu na potrzeby społeczne i kulturalne</w:t>
            </w:r>
          </w:p>
          <w:p w14:paraId="04089F86" w14:textId="4EA3FB0A" w:rsidR="00BC3DFC" w:rsidRPr="00BC3DFC" w:rsidRDefault="00BC3DFC">
            <w:pPr>
              <w:pStyle w:val="Akapitzlist"/>
              <w:numPr>
                <w:ilvl w:val="0"/>
                <w:numId w:val="90"/>
              </w:numPr>
              <w:spacing w:before="240" w:line="360" w:lineRule="auto"/>
              <w:rPr>
                <w:rFonts w:eastAsia="Calibri" w:cstheme="minorHAnsi"/>
                <w:color w:val="auto"/>
                <w:sz w:val="24"/>
                <w:szCs w:val="24"/>
              </w:rPr>
            </w:pPr>
            <w:r w:rsidRPr="00BC3DFC">
              <w:rPr>
                <w:rFonts w:eastAsia="Calibri" w:cstheme="minorHAnsi"/>
                <w:color w:val="auto"/>
                <w:sz w:val="24"/>
                <w:szCs w:val="24"/>
              </w:rPr>
              <w:t>Termomodernizacja budynku Tarnogrodzkiego Ośrodka Kultury</w:t>
            </w:r>
          </w:p>
          <w:p w14:paraId="59DC8250" w14:textId="03E2992F" w:rsidR="00BC3DFC" w:rsidRPr="00BC3DFC" w:rsidRDefault="00BC3DFC">
            <w:pPr>
              <w:pStyle w:val="Akapitzlist"/>
              <w:numPr>
                <w:ilvl w:val="0"/>
                <w:numId w:val="90"/>
              </w:numPr>
              <w:spacing w:before="240" w:line="360" w:lineRule="auto"/>
              <w:rPr>
                <w:rFonts w:eastAsia="Calibri" w:cstheme="minorHAnsi"/>
                <w:color w:val="auto"/>
                <w:sz w:val="24"/>
                <w:szCs w:val="24"/>
              </w:rPr>
            </w:pPr>
            <w:r w:rsidRPr="00BC3DFC">
              <w:rPr>
                <w:rFonts w:eastAsia="Calibri" w:cstheme="minorHAnsi"/>
                <w:color w:val="auto"/>
                <w:sz w:val="24"/>
                <w:szCs w:val="24"/>
              </w:rPr>
              <w:t>Modernizacja energetyczna budynków użyteczności publicznej</w:t>
            </w:r>
          </w:p>
          <w:p w14:paraId="7B801E76" w14:textId="271B5ECB" w:rsidR="00BC3DFC" w:rsidRPr="00BC3DFC" w:rsidRDefault="00BC3DFC">
            <w:pPr>
              <w:pStyle w:val="Akapitzlist"/>
              <w:numPr>
                <w:ilvl w:val="0"/>
                <w:numId w:val="90"/>
              </w:numPr>
              <w:spacing w:before="240" w:line="360" w:lineRule="auto"/>
              <w:rPr>
                <w:rFonts w:eastAsia="Calibri" w:cstheme="minorHAnsi"/>
                <w:color w:val="auto"/>
                <w:sz w:val="24"/>
                <w:szCs w:val="24"/>
              </w:rPr>
            </w:pPr>
            <w:r w:rsidRPr="00BC3DFC">
              <w:rPr>
                <w:rFonts w:eastAsia="Calibri" w:cstheme="minorHAnsi"/>
                <w:color w:val="auto"/>
                <w:sz w:val="24"/>
                <w:szCs w:val="24"/>
              </w:rPr>
              <w:t>Klaster energetyczny – kooperacja na poziomie Partnerstwa</w:t>
            </w:r>
          </w:p>
          <w:p w14:paraId="7D1D882E" w14:textId="6010467E" w:rsidR="00BC3DFC" w:rsidRPr="00BC3DFC" w:rsidRDefault="00BC3DFC">
            <w:pPr>
              <w:pStyle w:val="Akapitzlist"/>
              <w:numPr>
                <w:ilvl w:val="0"/>
                <w:numId w:val="90"/>
              </w:numPr>
              <w:spacing w:before="240" w:line="360" w:lineRule="auto"/>
              <w:rPr>
                <w:rFonts w:eastAsia="Calibri" w:cstheme="minorHAnsi"/>
                <w:color w:val="auto"/>
                <w:sz w:val="24"/>
                <w:szCs w:val="24"/>
              </w:rPr>
            </w:pPr>
            <w:r w:rsidRPr="00BC3DFC">
              <w:rPr>
                <w:rFonts w:eastAsia="Calibri" w:cstheme="minorHAnsi"/>
                <w:color w:val="auto"/>
                <w:sz w:val="24"/>
                <w:szCs w:val="24"/>
              </w:rPr>
              <w:t>Spółdzielnia energetyczna – kooperacja na poziomie Partnerstwa</w:t>
            </w:r>
          </w:p>
          <w:p w14:paraId="70FE3B87" w14:textId="6B6D4B2E" w:rsidR="00BC3DFC" w:rsidRPr="00BC3DFC" w:rsidRDefault="00BC3DFC">
            <w:pPr>
              <w:pStyle w:val="Akapitzlist"/>
              <w:numPr>
                <w:ilvl w:val="0"/>
                <w:numId w:val="90"/>
              </w:numPr>
              <w:spacing w:before="240" w:line="360" w:lineRule="auto"/>
              <w:rPr>
                <w:rFonts w:eastAsia="Calibri" w:cstheme="minorHAnsi"/>
                <w:color w:val="auto"/>
                <w:sz w:val="24"/>
                <w:szCs w:val="24"/>
              </w:rPr>
            </w:pPr>
            <w:r w:rsidRPr="00BC3DFC">
              <w:rPr>
                <w:rFonts w:eastAsia="Calibri" w:cstheme="minorHAnsi"/>
                <w:color w:val="auto"/>
                <w:sz w:val="24"/>
                <w:szCs w:val="24"/>
              </w:rPr>
              <w:t>Inteligentne oświetlenie przestrzeni publicznej</w:t>
            </w:r>
          </w:p>
          <w:p w14:paraId="24444DF1" w14:textId="643E9CC2" w:rsidR="00BC3DFC" w:rsidRPr="006450DE" w:rsidRDefault="00BC3DFC">
            <w:pPr>
              <w:pStyle w:val="Akapitzlist"/>
              <w:numPr>
                <w:ilvl w:val="0"/>
                <w:numId w:val="90"/>
              </w:numPr>
              <w:spacing w:line="360" w:lineRule="auto"/>
              <w:rPr>
                <w:rFonts w:eastAsia="Calibri" w:cstheme="minorHAnsi"/>
                <w:color w:val="auto"/>
              </w:rPr>
            </w:pPr>
            <w:r w:rsidRPr="00BC3DFC">
              <w:rPr>
                <w:rFonts w:eastAsia="Calibri" w:cstheme="minorHAnsi"/>
                <w:color w:val="auto"/>
                <w:sz w:val="24"/>
                <w:szCs w:val="24"/>
              </w:rPr>
              <w:t>Modernizacja sieci energetycznych</w:t>
            </w:r>
          </w:p>
        </w:tc>
      </w:tr>
    </w:tbl>
    <w:p w14:paraId="78C92F12" w14:textId="77777777" w:rsidR="00D07C5B" w:rsidRPr="00655FC7" w:rsidRDefault="00D07C5B" w:rsidP="00D07C5B">
      <w:pPr>
        <w:tabs>
          <w:tab w:val="left" w:pos="3119"/>
        </w:tabs>
        <w:rPr>
          <w:rFonts w:cstheme="minorHAnsi"/>
          <w:color w:val="auto"/>
        </w:rPr>
      </w:pPr>
    </w:p>
    <w:p w14:paraId="3E1AE847" w14:textId="77777777" w:rsidR="00D57FDF" w:rsidRDefault="00D57FDF" w:rsidP="00D57FDF">
      <w:pPr>
        <w:pStyle w:val="Nagwek4"/>
        <w:rPr>
          <w:rFonts w:eastAsia="Calibri"/>
        </w:rPr>
      </w:pPr>
      <w:r w:rsidRPr="00BC3DFC">
        <w:rPr>
          <w:rFonts w:eastAsia="Calibri"/>
        </w:rPr>
        <w:t>Wsparcie i promocja rozwoju OZE, szczególnie fotowoltaiki</w:t>
      </w:r>
    </w:p>
    <w:p w14:paraId="737E519A" w14:textId="5C488AF7" w:rsidR="00D57FDF" w:rsidRDefault="00D57FDF" w:rsidP="00D57FDF">
      <w:pPr>
        <w:rPr>
          <w:lang w:eastAsia="pl-PL"/>
        </w:rPr>
      </w:pPr>
      <w:r w:rsidRPr="00D57FDF">
        <w:rPr>
          <w:lang w:eastAsia="pl-PL"/>
        </w:rPr>
        <w:t>Odnawialne źródła energii to jedno z ważniejszych zagadnień w przystosowywaniu się do prognozowanych zmian klimatu. Po pierwsze, stanowią alternatywę dla pomniejszających się wciąż zasobów nieodnawialnych źródeł energii tj. węgla, ropy czy gazu ziemnego. Po drugie nie przyczyniają się do wzrostu stężenia dwutlenku węgla w atmosferze, a tym samym intensyfikacji zmian klimatu</w:t>
      </w:r>
      <w:r w:rsidR="008A19B6">
        <w:rPr>
          <w:lang w:eastAsia="pl-PL"/>
        </w:rPr>
        <w:t>.</w:t>
      </w:r>
      <w:r w:rsidRPr="00D57FDF">
        <w:rPr>
          <w:lang w:eastAsia="pl-PL"/>
        </w:rPr>
        <w:t xml:space="preserve"> Zwiększanie udziału wytwarzania energii z alternatywnych źródeł pozwoli także na zmniejszenie zanieczyszczenia środowiska m.in. przez ograniczenie emisji substancji szkodliwych do powietrza. Ponadto, ze względu na położenie i spodziewane zmiany klimatu, potencjał wytwarzania energii ze źródeł odnawialnych będzie rosnąć.</w:t>
      </w:r>
    </w:p>
    <w:p w14:paraId="0A4DC402" w14:textId="7E978390" w:rsidR="00D57FDF" w:rsidRDefault="00D57FDF" w:rsidP="00D57FDF">
      <w:pPr>
        <w:rPr>
          <w:lang w:eastAsia="pl-PL"/>
        </w:rPr>
      </w:pPr>
      <w:r>
        <w:rPr>
          <w:lang w:eastAsia="pl-PL"/>
        </w:rPr>
        <w:t xml:space="preserve">Szczególnie obiecujące </w:t>
      </w:r>
      <w:r w:rsidR="00540CC9">
        <w:rPr>
          <w:lang w:eastAsia="pl-PL"/>
        </w:rPr>
        <w:t xml:space="preserve">na terenie miasta </w:t>
      </w:r>
      <w:r>
        <w:rPr>
          <w:lang w:eastAsia="pl-PL"/>
        </w:rPr>
        <w:t xml:space="preserve">wydają się możliwości pozyskania ciepła i energii elektrycznej ze słońca. </w:t>
      </w:r>
      <w:r w:rsidR="00540CC9">
        <w:rPr>
          <w:lang w:eastAsia="pl-PL"/>
        </w:rPr>
        <w:t>Miasto kładzie szczególny nacisk na rozwój sektora fo</w:t>
      </w:r>
      <w:r w:rsidR="00183A1E">
        <w:rPr>
          <w:lang w:eastAsia="pl-PL"/>
        </w:rPr>
        <w:t>towolta</w:t>
      </w:r>
      <w:r w:rsidR="00540CC9">
        <w:rPr>
          <w:lang w:eastAsia="pl-PL"/>
        </w:rPr>
        <w:t>iki, zarówno na obiektach użyteczności jak i posesjach prywatnych, poprzez rozwój i wsparcie mieszkańców w pozyskaniu różnego rodzaju dofinansowań.</w:t>
      </w:r>
    </w:p>
    <w:p w14:paraId="202DFD73" w14:textId="77777777" w:rsidR="006734CE" w:rsidRDefault="006734CE" w:rsidP="00D57FDF">
      <w:pPr>
        <w:rPr>
          <w:lang w:eastAsia="pl-PL"/>
        </w:rPr>
      </w:pPr>
    </w:p>
    <w:p w14:paraId="294DB7C6" w14:textId="77777777" w:rsidR="00D57FDF" w:rsidRDefault="00D57FDF" w:rsidP="00D57FDF">
      <w:pPr>
        <w:pStyle w:val="Nagwek4"/>
        <w:rPr>
          <w:rFonts w:eastAsia="Calibri"/>
        </w:rPr>
      </w:pPr>
      <w:r w:rsidRPr="00BC3DFC">
        <w:rPr>
          <w:rFonts w:eastAsia="Calibri"/>
        </w:rPr>
        <w:t>Kontrole spalania odpadów w przydomowych kotłach</w:t>
      </w:r>
    </w:p>
    <w:p w14:paraId="4244B8A9" w14:textId="7EEDF475" w:rsidR="001F0C92" w:rsidRDefault="00707E1F" w:rsidP="000A391F">
      <w:pPr>
        <w:rPr>
          <w:lang w:eastAsia="pl-PL"/>
        </w:rPr>
      </w:pPr>
      <w:r>
        <w:rPr>
          <w:lang w:eastAsia="pl-PL"/>
        </w:rPr>
        <w:t xml:space="preserve">Istniejąca wciąż na obszarze miasta </w:t>
      </w:r>
      <w:r w:rsidR="00183A1E">
        <w:rPr>
          <w:lang w:eastAsia="pl-PL"/>
        </w:rPr>
        <w:t xml:space="preserve">i gminy </w:t>
      </w:r>
      <w:r>
        <w:rPr>
          <w:lang w:eastAsia="pl-PL"/>
        </w:rPr>
        <w:t xml:space="preserve">niechęć mieszkańców do odpowiedzialnego </w:t>
      </w:r>
      <w:r w:rsidR="00183A1E">
        <w:rPr>
          <w:lang w:eastAsia="pl-PL"/>
        </w:rPr>
        <w:t xml:space="preserve">gospodarowania zasobami, przyczynia się dalszej praktyki spalania odpadów w przydomowych kotłach. Zjawisko to przyczynia się do wzrostu zanieczyszczenia powietrza. Odpady mogą być spalane tylko w odpowiednio przeznaczonych do tego kotłach, </w:t>
      </w:r>
      <w:r w:rsidR="000A391F">
        <w:rPr>
          <w:lang w:eastAsia="pl-PL"/>
        </w:rPr>
        <w:t>po uprzednim ich sortowaniu. Temperatura w przydomowych kotłach jest zbyt mała, w efekcie czego w wyniku spalania do powietrza przedostaje się szereg szkodliwych substancji.</w:t>
      </w:r>
    </w:p>
    <w:p w14:paraId="2DACED73" w14:textId="5DF8E813" w:rsidR="000A391F" w:rsidRDefault="000A391F" w:rsidP="000A391F">
      <w:pPr>
        <w:rPr>
          <w:lang w:eastAsia="pl-PL"/>
        </w:rPr>
      </w:pPr>
      <w:r>
        <w:rPr>
          <w:lang w:eastAsia="pl-PL"/>
        </w:rPr>
        <w:t xml:space="preserve">Poza podjęciem działań z zakresu edukacji mieszkańców, czasem jedynym działaniem, który może przynieść efekt jest prowadzenie kontroli przydomowych kotłów i nakładanie kar na osoby spalające </w:t>
      </w:r>
      <w:r>
        <w:rPr>
          <w:lang w:eastAsia="pl-PL"/>
        </w:rPr>
        <w:lastRenderedPageBreak/>
        <w:t xml:space="preserve">w nich odpady. </w:t>
      </w:r>
      <w:r w:rsidR="00C04464">
        <w:rPr>
          <w:lang w:eastAsia="pl-PL"/>
        </w:rPr>
        <w:t xml:space="preserve">Kary finansowe w niektórych przypadkach okazują się być jedynym motywatorem do zmiany przyzwyczajeń. </w:t>
      </w:r>
    </w:p>
    <w:p w14:paraId="10E85E4F" w14:textId="417F095F" w:rsidR="00C04464" w:rsidRDefault="00C04464" w:rsidP="000A391F">
      <w:pPr>
        <w:rPr>
          <w:lang w:eastAsia="pl-PL"/>
        </w:rPr>
      </w:pPr>
      <w:r>
        <w:rPr>
          <w:lang w:eastAsia="pl-PL"/>
        </w:rPr>
        <w:t>Kontrole mogą być prowadzone przez pracowników urzędu lub inne publiczne organy. Kontrole powinny być prowadzone również na obszarach wiejskich gminy.</w:t>
      </w:r>
    </w:p>
    <w:p w14:paraId="71CA8EF9" w14:textId="77777777" w:rsidR="00707E1F" w:rsidRDefault="00707E1F" w:rsidP="000C6793">
      <w:pPr>
        <w:ind w:left="357" w:firstLine="0"/>
        <w:rPr>
          <w:lang w:eastAsia="pl-PL"/>
        </w:rPr>
      </w:pPr>
    </w:p>
    <w:p w14:paraId="258FE173" w14:textId="5AEA03C5" w:rsidR="00D57FDF" w:rsidRDefault="00D57FDF" w:rsidP="00D57FDF">
      <w:pPr>
        <w:pStyle w:val="Nagwek4"/>
        <w:rPr>
          <w:rFonts w:eastAsia="Calibri"/>
        </w:rPr>
      </w:pPr>
      <w:r w:rsidRPr="00BC3DFC">
        <w:rPr>
          <w:rFonts w:eastAsia="Calibri"/>
        </w:rPr>
        <w:t>Rewitalizacja budynku dawnego urzędu na potrzeby społeczne i kulturalne</w:t>
      </w:r>
    </w:p>
    <w:p w14:paraId="0B4E2426" w14:textId="71C82DDA" w:rsidR="005370A8" w:rsidRDefault="005370A8" w:rsidP="005370A8">
      <w:pPr>
        <w:rPr>
          <w:lang w:eastAsia="pl-PL"/>
        </w:rPr>
      </w:pPr>
      <w:r>
        <w:rPr>
          <w:lang w:eastAsia="pl-PL"/>
        </w:rPr>
        <w:t>Projekt zakłada przebudowę budynku po dawnym urzędzie miejskim (obecnie siedziba Miejskiego Ośrodka Pomocy Społecznej w Tarnogrodzie) na potrzeby centrum spotkań dla organizacji pozarządowych i Muzeum Ziemi Tarnogrodzkiej, gdzie prezentowane będą eksponaty, związane z</w:t>
      </w:r>
      <w:r w:rsidR="007E0AE3">
        <w:rPr>
          <w:lang w:eastAsia="pl-PL"/>
        </w:rPr>
        <w:t> </w:t>
      </w:r>
      <w:r>
        <w:rPr>
          <w:lang w:eastAsia="pl-PL"/>
        </w:rPr>
        <w:t>okresem wojennym i powojennym na obszarze Gminy Tarnogród.</w:t>
      </w:r>
    </w:p>
    <w:p w14:paraId="4FCD8ABD" w14:textId="717A1141" w:rsidR="005370A8" w:rsidRDefault="005370A8" w:rsidP="005370A8">
      <w:pPr>
        <w:rPr>
          <w:lang w:eastAsia="pl-PL"/>
        </w:rPr>
      </w:pPr>
      <w:r>
        <w:rPr>
          <w:lang w:eastAsia="pl-PL"/>
        </w:rPr>
        <w:t>Budynek, o którym mowa, stanowi zabytek z 1930 roku, wpisany do Gminnej Ewidencji Zabytków. Jego stan techniczny jest bardzo zły nie spełnia aktualnych wymogów technicznych i użytkowych. Obiekt wymaga kompleksowej rewitalizacji, w tym przebudowy, ocieplenia, wymiany instalacji wewnętrznych i pokrycia dachowego, stolarki okiennej oraz drzwiowej. Niezbędna jest także modernizacja i dostosowanie budynku do potrzeb osób z niepełnosprawnościami, w tym w</w:t>
      </w:r>
      <w:r w:rsidR="007E0AE3">
        <w:rPr>
          <w:lang w:eastAsia="pl-PL"/>
        </w:rPr>
        <w:t> </w:t>
      </w:r>
      <w:r>
        <w:rPr>
          <w:lang w:eastAsia="pl-PL"/>
        </w:rPr>
        <w:t>szczególności sanitariatów i podłóg w obiekcie.</w:t>
      </w:r>
    </w:p>
    <w:p w14:paraId="1B5052B3" w14:textId="77777777" w:rsidR="005370A8" w:rsidRDefault="005370A8" w:rsidP="005370A8">
      <w:pPr>
        <w:rPr>
          <w:lang w:eastAsia="pl-PL"/>
        </w:rPr>
      </w:pPr>
      <w:r>
        <w:rPr>
          <w:lang w:eastAsia="pl-PL"/>
        </w:rPr>
        <w:t>Budynek dawnego urzędu posiada cenne walory architektoniczne charakterystyczną elewację, typową dla zabudowy willowej w stylu szwajcarskim. Jako obiekt zabytkowy, atrakcyjny turystycznie, stanowi ważny element struktury miasta. Ze względu natomiast na pełnione funkcje (siedziba MOPS) ma również kluczowe znaczenie dla społeczności lokalnej.</w:t>
      </w:r>
    </w:p>
    <w:p w14:paraId="73814EED" w14:textId="77777777" w:rsidR="005370A8" w:rsidRDefault="005370A8" w:rsidP="005370A8">
      <w:pPr>
        <w:rPr>
          <w:lang w:eastAsia="pl-PL"/>
        </w:rPr>
      </w:pPr>
      <w:r>
        <w:rPr>
          <w:lang w:eastAsia="pl-PL"/>
        </w:rPr>
        <w:t>W ramach przedmiotowego zadania planuje się modernizację istniejącego, zabytkowego budynku, celem nadania mu nowych funkcji społeczno kulturowych. Przedsięwzięcie ukierunkowane będzie na rozwijanie aktywności mieszkańców Gminy, dzięki dostosowaniu budynku do realizacji działań integracyjnych. Zakres interwencji projektu obejmuje stworzenie infrastruktury społeczno kulturowej, przyczyniającej się do włączenia społecznego oraz ochrony, rozwoju i promowania niematerialnego dziedzictwa kulturowego i usług w dziedzinie kultury.</w:t>
      </w:r>
    </w:p>
    <w:p w14:paraId="42BDD940" w14:textId="77777777" w:rsidR="005370A8" w:rsidRDefault="005370A8" w:rsidP="005370A8">
      <w:pPr>
        <w:rPr>
          <w:lang w:eastAsia="pl-PL"/>
        </w:rPr>
      </w:pPr>
      <w:r>
        <w:rPr>
          <w:lang w:eastAsia="pl-PL"/>
        </w:rPr>
        <w:t>Przy realizacji projektu wykorzystane zostaną innowacyjne materiały i rozwiązania inspirowane naturą. W ramach projektu zapewniona będzie dbałość o zachowanie i rozwój zielonej infrastruktury, zwłaszcza ochronę drzew, w całym cyklu projektowym.</w:t>
      </w:r>
    </w:p>
    <w:p w14:paraId="25CACE40" w14:textId="197E96E9" w:rsidR="00AD56E9" w:rsidRDefault="005370A8" w:rsidP="005370A8">
      <w:pPr>
        <w:rPr>
          <w:lang w:eastAsia="pl-PL"/>
        </w:rPr>
      </w:pPr>
      <w:r>
        <w:rPr>
          <w:lang w:eastAsia="pl-PL"/>
        </w:rPr>
        <w:t>Potrzeba realizacji niniejszego przedsięwzięcia wynika z potrzeb społecznych mieszkańców miasta. Inwestor, w ramach przedmiotowego projektu, nie wyklucza wsparcia działań społecznych na rzecz aktywizacji środowisk zagrożonych wykluczeniem społecznym (max. 15% wartości projektu). Działania te obejmować mogą m.in. warsztaty, szkolenia i działania podnoszące kompetencję osób zaangażowanych w realizacje inwestycji, jak również wszelkiego rodzaju wydarzenia czy zajęcia dedykowane poszczególnym grupom społecznym.</w:t>
      </w:r>
    </w:p>
    <w:p w14:paraId="1E94D750" w14:textId="523E5E9A" w:rsidR="000C6793" w:rsidRDefault="00E50EAF" w:rsidP="00AD56E9">
      <w:pPr>
        <w:rPr>
          <w:lang w:eastAsia="pl-PL"/>
        </w:rPr>
      </w:pPr>
      <w:r w:rsidRPr="00E50EAF">
        <w:rPr>
          <w:lang w:eastAsia="pl-PL"/>
        </w:rPr>
        <w:t>Zadanie to wyznaczone zostało w Gminnym programie rewitalizacji dla Gminy Tarnogród na lata 2024-2030.</w:t>
      </w:r>
    </w:p>
    <w:p w14:paraId="0FE109DB" w14:textId="77777777" w:rsidR="000C6793" w:rsidRPr="00AD56E9" w:rsidRDefault="000C6793" w:rsidP="00AD56E9">
      <w:pPr>
        <w:rPr>
          <w:lang w:eastAsia="pl-PL"/>
        </w:rPr>
      </w:pPr>
    </w:p>
    <w:p w14:paraId="1BC8CD4D" w14:textId="70572BF6" w:rsidR="00D57FDF" w:rsidRDefault="00D57FDF" w:rsidP="00D57FDF">
      <w:pPr>
        <w:pStyle w:val="Nagwek4"/>
        <w:rPr>
          <w:rFonts w:eastAsia="Calibri"/>
        </w:rPr>
      </w:pPr>
      <w:r w:rsidRPr="00BC3DFC">
        <w:rPr>
          <w:rFonts w:eastAsia="Calibri"/>
        </w:rPr>
        <w:t>Termomodernizacja budynku Tarnogrodzkiego Ośrodka Kultury</w:t>
      </w:r>
    </w:p>
    <w:p w14:paraId="683CC9A1" w14:textId="71DADB10" w:rsidR="005370A8" w:rsidRDefault="005370A8" w:rsidP="00AD56E9">
      <w:pPr>
        <w:rPr>
          <w:lang w:eastAsia="pl-PL"/>
        </w:rPr>
      </w:pPr>
      <w:r w:rsidRPr="005370A8">
        <w:rPr>
          <w:lang w:eastAsia="pl-PL"/>
        </w:rPr>
        <w:t>Budynek Tarnogrodzkiego Ośrodka Kultury powstał w latach pięćdziesiątych XX wieku. Od blisko 70 lat stanowi centrum kulturalne Miasta Tarnogród, miejsce spotkań i aktywności mieszkańców. W</w:t>
      </w:r>
      <w:r w:rsidR="007E0AE3">
        <w:rPr>
          <w:lang w:eastAsia="pl-PL"/>
        </w:rPr>
        <w:t> </w:t>
      </w:r>
      <w:r w:rsidRPr="005370A8">
        <w:rPr>
          <w:lang w:eastAsia="pl-PL"/>
        </w:rPr>
        <w:t>murach TOK działalność prowadzi kilka organizacji formalnych i nieformalnych, skupiających się wokół śpiewu, tańca i teatru. W ramach inwestycji rewitalizacyjnej w latach 2020</w:t>
      </w:r>
      <w:r w:rsidR="007E0AE3">
        <w:rPr>
          <w:lang w:eastAsia="pl-PL"/>
        </w:rPr>
        <w:t>-</w:t>
      </w:r>
      <w:r w:rsidRPr="005370A8">
        <w:rPr>
          <w:lang w:eastAsia="pl-PL"/>
        </w:rPr>
        <w:t xml:space="preserve">2023 dokonano modernizacji wnętrza obiektu i sali teatralnej. Mimo to, budynek w dalszym ciągu wymaga pilnych prac </w:t>
      </w:r>
      <w:r w:rsidRPr="005370A8">
        <w:rPr>
          <w:lang w:eastAsia="pl-PL"/>
        </w:rPr>
        <w:lastRenderedPageBreak/>
        <w:t>termomodernizacyjnych niezbędne jest ocieplenie ścian zewnętrznych i stropu oraz wymiana stolarki okiennej i drzwiowej. Działania te będą podstawą niniejszego przedsięwzięcia.</w:t>
      </w:r>
    </w:p>
    <w:p w14:paraId="568313F7" w14:textId="2147696C" w:rsidR="005370A8" w:rsidRDefault="00710763" w:rsidP="005370A8">
      <w:pPr>
        <w:rPr>
          <w:lang w:eastAsia="pl-PL"/>
        </w:rPr>
      </w:pPr>
      <w:r w:rsidRPr="00710763">
        <w:rPr>
          <w:lang w:eastAsia="pl-PL"/>
        </w:rPr>
        <w:t>Przedmiotowa inwestycja będzie respektować zasadę zrównoważonego oddziaływania na środowisko, potrzebę rozwoju cyfrowego, zasadę dostępności dla osób ze specjalnymi potrzebami, zasadę stabilności i efektywności finansowej oraz odporności na kryzys. Obiekt będzie w pełni dostępny dla osób z niepełnosprawnościami poprzez zniwelowanie barier architektonicznych.</w:t>
      </w:r>
      <w:r>
        <w:rPr>
          <w:lang w:eastAsia="pl-PL"/>
        </w:rPr>
        <w:t xml:space="preserve"> </w:t>
      </w:r>
      <w:r w:rsidR="005370A8">
        <w:rPr>
          <w:lang w:eastAsia="pl-PL"/>
        </w:rPr>
        <w:t xml:space="preserve">Okres realizacji </w:t>
      </w:r>
      <w:r>
        <w:rPr>
          <w:lang w:eastAsia="pl-PL"/>
        </w:rPr>
        <w:t xml:space="preserve">inwestycji to lata </w:t>
      </w:r>
      <w:r w:rsidR="005370A8">
        <w:rPr>
          <w:lang w:eastAsia="pl-PL"/>
        </w:rPr>
        <w:t>2027 – 2028</w:t>
      </w:r>
      <w:r w:rsidR="00707011">
        <w:rPr>
          <w:lang w:eastAsia="pl-PL"/>
        </w:rPr>
        <w:t>.</w:t>
      </w:r>
    </w:p>
    <w:p w14:paraId="56B9A2A3" w14:textId="2DB908B4" w:rsidR="005370A8" w:rsidRDefault="005370A8" w:rsidP="005370A8">
      <w:pPr>
        <w:rPr>
          <w:lang w:eastAsia="pl-PL"/>
        </w:rPr>
      </w:pPr>
      <w:r w:rsidRPr="005370A8">
        <w:rPr>
          <w:lang w:eastAsia="pl-PL"/>
        </w:rPr>
        <w:t>Przedmiotowa inwestycja będzie respektować zasadę zrównoważonego oddziaływania na środowisko, potrzebę rozwoju cyfrowego, zasadę dostępności dla osób ze specjalnymi potrzebami, zasadę stabilności i efektywności finansowej oraz odporności na kryzys. Obiekt będzie w pełni dostępny dla osób z niepełnosprawnościami poprzez zniwelowanie barier architektonicznych.</w:t>
      </w:r>
    </w:p>
    <w:p w14:paraId="5A28A273" w14:textId="77777777" w:rsidR="005370A8" w:rsidRDefault="005370A8" w:rsidP="005370A8">
      <w:pPr>
        <w:rPr>
          <w:lang w:eastAsia="pl-PL"/>
        </w:rPr>
      </w:pPr>
    </w:p>
    <w:p w14:paraId="1709EB89" w14:textId="0A459B33" w:rsidR="005370A8" w:rsidRDefault="00E50EAF" w:rsidP="005370A8">
      <w:pPr>
        <w:rPr>
          <w:lang w:eastAsia="pl-PL"/>
        </w:rPr>
      </w:pPr>
      <w:r w:rsidRPr="00E50EAF">
        <w:rPr>
          <w:lang w:eastAsia="pl-PL"/>
        </w:rPr>
        <w:t>Zadanie to wyznaczone zostało w Gminnym programie rewitalizacji dla Gminy Tarnogród na lata 2024-2030.</w:t>
      </w:r>
    </w:p>
    <w:p w14:paraId="28E1D037" w14:textId="77777777" w:rsidR="005370A8" w:rsidRPr="00AD56E9" w:rsidRDefault="005370A8" w:rsidP="00AD56E9">
      <w:pPr>
        <w:rPr>
          <w:lang w:eastAsia="pl-PL"/>
        </w:rPr>
      </w:pPr>
    </w:p>
    <w:p w14:paraId="0178B242" w14:textId="2610C039" w:rsidR="00D57FDF" w:rsidRDefault="00D57FDF" w:rsidP="00D57FDF">
      <w:pPr>
        <w:pStyle w:val="Nagwek4"/>
        <w:rPr>
          <w:rFonts w:eastAsia="Calibri"/>
        </w:rPr>
      </w:pPr>
      <w:r w:rsidRPr="00BC3DFC">
        <w:rPr>
          <w:rFonts w:eastAsia="Calibri"/>
        </w:rPr>
        <w:t>Modernizacja energetyczna budynków użyteczności publicznej</w:t>
      </w:r>
    </w:p>
    <w:p w14:paraId="5D92F3FC" w14:textId="5E01A571" w:rsidR="006734CE" w:rsidRDefault="00BE4105" w:rsidP="00BE4105">
      <w:pPr>
        <w:rPr>
          <w:lang w:eastAsia="pl-PL"/>
        </w:rPr>
      </w:pPr>
      <w:r>
        <w:rPr>
          <w:lang w:eastAsia="pl-PL"/>
        </w:rPr>
        <w:t>Zakres kompleksowej modernizacji energetycznej budynków użyteczności publicznej wraz z</w:t>
      </w:r>
      <w:r w:rsidR="00707011">
        <w:rPr>
          <w:lang w:eastAsia="pl-PL"/>
        </w:rPr>
        <w:t> </w:t>
      </w:r>
      <w:r>
        <w:rPr>
          <w:lang w:eastAsia="pl-PL"/>
        </w:rPr>
        <w:t>instalacją urządzeń OZE oraz wymianą/modernizacją źródeł ciepła</w:t>
      </w:r>
      <w:r w:rsidR="006734CE">
        <w:rPr>
          <w:lang w:eastAsia="pl-PL"/>
        </w:rPr>
        <w:t xml:space="preserve"> obejmuje następujące działania</w:t>
      </w:r>
      <w:r>
        <w:rPr>
          <w:lang w:eastAsia="pl-PL"/>
        </w:rPr>
        <w:t>:</w:t>
      </w:r>
    </w:p>
    <w:p w14:paraId="6D1A90AA" w14:textId="77777777" w:rsidR="006734CE" w:rsidRDefault="00BE4105">
      <w:pPr>
        <w:pStyle w:val="Akapitzlist"/>
        <w:numPr>
          <w:ilvl w:val="0"/>
          <w:numId w:val="101"/>
        </w:numPr>
        <w:rPr>
          <w:lang w:eastAsia="pl-PL"/>
        </w:rPr>
      </w:pPr>
      <w:r>
        <w:rPr>
          <w:lang w:eastAsia="pl-PL"/>
        </w:rPr>
        <w:t>ocieplenie (ściany, dachy, fundamenty),</w:t>
      </w:r>
    </w:p>
    <w:p w14:paraId="763B1600" w14:textId="77777777" w:rsidR="006734CE" w:rsidRDefault="00BE4105">
      <w:pPr>
        <w:pStyle w:val="Akapitzlist"/>
        <w:numPr>
          <w:ilvl w:val="0"/>
          <w:numId w:val="101"/>
        </w:numPr>
        <w:rPr>
          <w:lang w:eastAsia="pl-PL"/>
        </w:rPr>
      </w:pPr>
      <w:r>
        <w:rPr>
          <w:lang w:eastAsia="pl-PL"/>
        </w:rPr>
        <w:t>stolarka (okienna, drzwiowa),</w:t>
      </w:r>
    </w:p>
    <w:p w14:paraId="59C9082A" w14:textId="77777777" w:rsidR="006734CE" w:rsidRDefault="00BE4105">
      <w:pPr>
        <w:pStyle w:val="Akapitzlist"/>
        <w:numPr>
          <w:ilvl w:val="0"/>
          <w:numId w:val="101"/>
        </w:numPr>
        <w:rPr>
          <w:lang w:eastAsia="pl-PL"/>
        </w:rPr>
      </w:pPr>
      <w:r>
        <w:rPr>
          <w:lang w:eastAsia="pl-PL"/>
        </w:rPr>
        <w:t>wymiana źródeł ciepła,</w:t>
      </w:r>
    </w:p>
    <w:p w14:paraId="70E7D7BE" w14:textId="5382DA68" w:rsidR="006734CE" w:rsidRDefault="006734CE">
      <w:pPr>
        <w:pStyle w:val="Akapitzlist"/>
        <w:numPr>
          <w:ilvl w:val="0"/>
          <w:numId w:val="101"/>
        </w:numPr>
        <w:rPr>
          <w:lang w:eastAsia="pl-PL"/>
        </w:rPr>
      </w:pPr>
      <w:r>
        <w:rPr>
          <w:lang w:eastAsia="pl-PL"/>
        </w:rPr>
        <w:t xml:space="preserve">montaż </w:t>
      </w:r>
      <w:r w:rsidR="00BE4105">
        <w:rPr>
          <w:lang w:eastAsia="pl-PL"/>
        </w:rPr>
        <w:t>OZE</w:t>
      </w:r>
      <w:r>
        <w:rPr>
          <w:lang w:eastAsia="pl-PL"/>
        </w:rPr>
        <w:t>,</w:t>
      </w:r>
    </w:p>
    <w:p w14:paraId="33408DC5" w14:textId="77777777" w:rsidR="006734CE" w:rsidRDefault="00BE4105">
      <w:pPr>
        <w:pStyle w:val="Akapitzlist"/>
        <w:numPr>
          <w:ilvl w:val="0"/>
          <w:numId w:val="101"/>
        </w:numPr>
        <w:rPr>
          <w:lang w:eastAsia="pl-PL"/>
        </w:rPr>
      </w:pPr>
      <w:r>
        <w:rPr>
          <w:lang w:eastAsia="pl-PL"/>
        </w:rPr>
        <w:t>wentylacja/rekuperacja,</w:t>
      </w:r>
    </w:p>
    <w:p w14:paraId="0FFBE4FE" w14:textId="77777777" w:rsidR="006734CE" w:rsidRDefault="00BE4105">
      <w:pPr>
        <w:pStyle w:val="Akapitzlist"/>
        <w:numPr>
          <w:ilvl w:val="0"/>
          <w:numId w:val="101"/>
        </w:numPr>
        <w:rPr>
          <w:lang w:eastAsia="pl-PL"/>
        </w:rPr>
      </w:pPr>
      <w:r>
        <w:rPr>
          <w:lang w:eastAsia="pl-PL"/>
        </w:rPr>
        <w:t>głowice termostatyczne,</w:t>
      </w:r>
    </w:p>
    <w:p w14:paraId="26892DEE" w14:textId="77777777" w:rsidR="006734CE" w:rsidRDefault="00BE4105">
      <w:pPr>
        <w:pStyle w:val="Akapitzlist"/>
        <w:numPr>
          <w:ilvl w:val="0"/>
          <w:numId w:val="101"/>
        </w:numPr>
        <w:rPr>
          <w:lang w:eastAsia="pl-PL"/>
        </w:rPr>
      </w:pPr>
      <w:r>
        <w:rPr>
          <w:lang w:eastAsia="pl-PL"/>
        </w:rPr>
        <w:t>systemy zarządzania energią,</w:t>
      </w:r>
    </w:p>
    <w:p w14:paraId="28C422E8" w14:textId="77777777" w:rsidR="006734CE" w:rsidRDefault="00BE4105">
      <w:pPr>
        <w:pStyle w:val="Akapitzlist"/>
        <w:numPr>
          <w:ilvl w:val="0"/>
          <w:numId w:val="101"/>
        </w:numPr>
        <w:rPr>
          <w:lang w:eastAsia="pl-PL"/>
        </w:rPr>
      </w:pPr>
      <w:r>
        <w:rPr>
          <w:lang w:eastAsia="pl-PL"/>
        </w:rPr>
        <w:t>magazyny energii.</w:t>
      </w:r>
    </w:p>
    <w:p w14:paraId="5F659D48" w14:textId="15EDCC9D" w:rsidR="00BE4105" w:rsidRDefault="00BE4105" w:rsidP="006734CE">
      <w:pPr>
        <w:rPr>
          <w:lang w:eastAsia="pl-PL"/>
        </w:rPr>
      </w:pPr>
      <w:r>
        <w:rPr>
          <w:lang w:eastAsia="pl-PL"/>
        </w:rPr>
        <w:t xml:space="preserve">Projekt obejmie </w:t>
      </w:r>
      <w:r w:rsidR="006734CE">
        <w:rPr>
          <w:lang w:eastAsia="pl-PL"/>
        </w:rPr>
        <w:t>min.</w:t>
      </w:r>
      <w:r>
        <w:rPr>
          <w:lang w:eastAsia="pl-PL"/>
        </w:rPr>
        <w:t xml:space="preserve"> budynki Urz</w:t>
      </w:r>
      <w:r w:rsidR="006734CE">
        <w:rPr>
          <w:lang w:eastAsia="pl-PL"/>
        </w:rPr>
        <w:t>ędu</w:t>
      </w:r>
      <w:r>
        <w:rPr>
          <w:lang w:eastAsia="pl-PL"/>
        </w:rPr>
        <w:t xml:space="preserve"> Miejski</w:t>
      </w:r>
      <w:r w:rsidR="006734CE">
        <w:rPr>
          <w:lang w:eastAsia="pl-PL"/>
        </w:rPr>
        <w:t>ego</w:t>
      </w:r>
      <w:r>
        <w:rPr>
          <w:lang w:eastAsia="pl-PL"/>
        </w:rPr>
        <w:t xml:space="preserve"> w Tarnogrodzie </w:t>
      </w:r>
      <w:r w:rsidR="006734CE">
        <w:rPr>
          <w:lang w:eastAsia="pl-PL"/>
        </w:rPr>
        <w:t>i</w:t>
      </w:r>
      <w:r>
        <w:rPr>
          <w:lang w:eastAsia="pl-PL"/>
        </w:rPr>
        <w:t xml:space="preserve"> Szkoł</w:t>
      </w:r>
      <w:r w:rsidR="006734CE">
        <w:rPr>
          <w:lang w:eastAsia="pl-PL"/>
        </w:rPr>
        <w:t>y</w:t>
      </w:r>
      <w:r>
        <w:rPr>
          <w:lang w:eastAsia="pl-PL"/>
        </w:rPr>
        <w:t xml:space="preserve"> Podstawow</w:t>
      </w:r>
      <w:r w:rsidR="006734CE">
        <w:rPr>
          <w:lang w:eastAsia="pl-PL"/>
        </w:rPr>
        <w:t>ej</w:t>
      </w:r>
      <w:r>
        <w:rPr>
          <w:lang w:eastAsia="pl-PL"/>
        </w:rPr>
        <w:t xml:space="preserve"> w</w:t>
      </w:r>
      <w:r w:rsidR="006734CE">
        <w:rPr>
          <w:lang w:eastAsia="pl-PL"/>
        </w:rPr>
        <w:t> </w:t>
      </w:r>
      <w:r>
        <w:rPr>
          <w:lang w:eastAsia="pl-PL"/>
        </w:rPr>
        <w:t>Tarnogrodzie</w:t>
      </w:r>
      <w:r w:rsidR="004D6A67">
        <w:rPr>
          <w:lang w:eastAsia="pl-PL"/>
        </w:rPr>
        <w:t xml:space="preserve"> (oraz</w:t>
      </w:r>
      <w:r>
        <w:rPr>
          <w:lang w:eastAsia="pl-PL"/>
        </w:rPr>
        <w:t xml:space="preserve"> Szkoł</w:t>
      </w:r>
      <w:r w:rsidR="004D6A67">
        <w:rPr>
          <w:lang w:eastAsia="pl-PL"/>
        </w:rPr>
        <w:t>y</w:t>
      </w:r>
      <w:r>
        <w:rPr>
          <w:lang w:eastAsia="pl-PL"/>
        </w:rPr>
        <w:t xml:space="preserve"> Podstawow</w:t>
      </w:r>
      <w:r w:rsidR="004D6A67">
        <w:rPr>
          <w:lang w:eastAsia="pl-PL"/>
        </w:rPr>
        <w:t>ej</w:t>
      </w:r>
      <w:r>
        <w:rPr>
          <w:lang w:eastAsia="pl-PL"/>
        </w:rPr>
        <w:t xml:space="preserve"> w Różańcu Drugim</w:t>
      </w:r>
      <w:r w:rsidR="004D6A67">
        <w:rPr>
          <w:lang w:eastAsia="pl-PL"/>
        </w:rPr>
        <w:t xml:space="preserve"> i </w:t>
      </w:r>
      <w:r>
        <w:rPr>
          <w:lang w:eastAsia="pl-PL"/>
        </w:rPr>
        <w:t>Szkoł</w:t>
      </w:r>
      <w:r w:rsidR="004D6A67">
        <w:rPr>
          <w:lang w:eastAsia="pl-PL"/>
        </w:rPr>
        <w:t>y</w:t>
      </w:r>
      <w:r>
        <w:rPr>
          <w:lang w:eastAsia="pl-PL"/>
        </w:rPr>
        <w:t xml:space="preserve"> Podstawow</w:t>
      </w:r>
      <w:r w:rsidR="004D6A67">
        <w:rPr>
          <w:lang w:eastAsia="pl-PL"/>
        </w:rPr>
        <w:t>ej</w:t>
      </w:r>
      <w:r>
        <w:rPr>
          <w:lang w:eastAsia="pl-PL"/>
        </w:rPr>
        <w:t xml:space="preserve"> w</w:t>
      </w:r>
      <w:r w:rsidR="00707011">
        <w:rPr>
          <w:lang w:eastAsia="pl-PL"/>
        </w:rPr>
        <w:t> </w:t>
      </w:r>
      <w:r>
        <w:rPr>
          <w:lang w:eastAsia="pl-PL"/>
        </w:rPr>
        <w:t>Woli</w:t>
      </w:r>
      <w:r w:rsidR="004D6A67">
        <w:rPr>
          <w:lang w:eastAsia="pl-PL"/>
        </w:rPr>
        <w:t>).</w:t>
      </w:r>
    </w:p>
    <w:p w14:paraId="2C1F0DE6" w14:textId="1F71C25C" w:rsidR="00AD56E9" w:rsidRDefault="00A420D5" w:rsidP="006734CE">
      <w:pPr>
        <w:rPr>
          <w:lang w:eastAsia="pl-PL"/>
        </w:rPr>
      </w:pPr>
      <w:r>
        <w:rPr>
          <w:lang w:eastAsia="pl-PL"/>
        </w:rPr>
        <w:t>Zmniejszenie energochłonności budynków publicznych, budynków przedsiębiorstw na terenie miasta oraz indywidulanych gospodarstw domowych jest w</w:t>
      </w:r>
      <w:r w:rsidR="00AD56E9">
        <w:rPr>
          <w:lang w:eastAsia="pl-PL"/>
        </w:rPr>
        <w:t>ażnym działaniem adaptacyjnym</w:t>
      </w:r>
      <w:r>
        <w:rPr>
          <w:lang w:eastAsia="pl-PL"/>
        </w:rPr>
        <w:t>, poprawiającym jakość powietrza i ograniczającym zużycie zasobów.</w:t>
      </w:r>
    </w:p>
    <w:p w14:paraId="58BD04A2" w14:textId="77777777" w:rsidR="00710763" w:rsidRPr="00F717D2" w:rsidRDefault="00710763" w:rsidP="00710763">
      <w:pPr>
        <w:rPr>
          <w:rFonts w:cstheme="minorHAnsi"/>
          <w:color w:val="auto"/>
          <w:lang w:eastAsia="pl-PL"/>
        </w:rPr>
      </w:pPr>
      <w:r>
        <w:rPr>
          <w:rFonts w:cstheme="minorHAnsi"/>
          <w:color w:val="auto"/>
          <w:lang w:eastAsia="pl-PL"/>
        </w:rPr>
        <w:t>Zadanie wyznaczono w Strategii Terytorialnej Partnerstwa Gmin Powiatu Biłgorajskiego dla rozwoju gospodarczego.</w:t>
      </w:r>
    </w:p>
    <w:p w14:paraId="20F9C7EF" w14:textId="77777777" w:rsidR="00710763" w:rsidRPr="00AD56E9" w:rsidRDefault="00710763" w:rsidP="00AD56E9">
      <w:pPr>
        <w:rPr>
          <w:lang w:eastAsia="pl-PL"/>
        </w:rPr>
      </w:pPr>
    </w:p>
    <w:p w14:paraId="0E5B32B2" w14:textId="070A0B39" w:rsidR="00D57FDF" w:rsidRDefault="00D57FDF" w:rsidP="00D57FDF">
      <w:pPr>
        <w:pStyle w:val="Nagwek4"/>
        <w:rPr>
          <w:rFonts w:eastAsia="Calibri"/>
        </w:rPr>
      </w:pPr>
      <w:r w:rsidRPr="00BC3DFC">
        <w:rPr>
          <w:rFonts w:eastAsia="Calibri"/>
        </w:rPr>
        <w:t>Klaster energetyczny – kooperacja na poziomie Partnerstwa</w:t>
      </w:r>
    </w:p>
    <w:p w14:paraId="4F15BE3D" w14:textId="62366D7D" w:rsidR="008468B4" w:rsidRDefault="008468B4" w:rsidP="008468B4">
      <w:pPr>
        <w:rPr>
          <w:lang w:eastAsia="pl-PL"/>
        </w:rPr>
      </w:pPr>
      <w:r>
        <w:rPr>
          <w:lang w:eastAsia="pl-PL"/>
        </w:rPr>
        <w:t>Współpraca z innymi gminami w ramach klastra energetycznego przynosi szereg korzyści dla wszystkich stron porozumienia, a dzięki temu mieszkańcy mogą korzystać z tańszej energii elektrycznej. Lokalne przedsiębiorstwa również mogą dołączyć do struktur klastra, dzięki temu wspierany jest lokalny rozwój. Kooperacja taka wzmaga również działania pomiędzy miastem, a obszarami wiejskimi.</w:t>
      </w:r>
    </w:p>
    <w:p w14:paraId="4512D137" w14:textId="564B2386" w:rsidR="008468B4" w:rsidRPr="008468B4" w:rsidRDefault="008468B4" w:rsidP="008468B4">
      <w:pPr>
        <w:rPr>
          <w:lang w:eastAsia="pl-PL"/>
        </w:rPr>
      </w:pPr>
      <w:r>
        <w:rPr>
          <w:lang w:eastAsia="pl-PL"/>
        </w:rPr>
        <w:t>W ramach utworzenia i rozwoju klastra wyznaczono następujące działania:</w:t>
      </w:r>
    </w:p>
    <w:p w14:paraId="351B3B47" w14:textId="77777777" w:rsidR="00BE4105" w:rsidRDefault="00BE4105">
      <w:pPr>
        <w:pStyle w:val="Akapitzlist"/>
        <w:numPr>
          <w:ilvl w:val="0"/>
          <w:numId w:val="100"/>
        </w:numPr>
        <w:rPr>
          <w:lang w:eastAsia="pl-PL"/>
        </w:rPr>
      </w:pPr>
      <w:r>
        <w:rPr>
          <w:lang w:eastAsia="pl-PL"/>
        </w:rPr>
        <w:t>Analiza możliwości formalno-organizacyjnych w zakresie kooperacji energetycznej partnerów – formuła prawna, zapisy umowne, ścieżki finansowania.</w:t>
      </w:r>
    </w:p>
    <w:p w14:paraId="70BDD70D" w14:textId="77777777" w:rsidR="00BE4105" w:rsidRDefault="00BE4105">
      <w:pPr>
        <w:pStyle w:val="Akapitzlist"/>
        <w:numPr>
          <w:ilvl w:val="0"/>
          <w:numId w:val="100"/>
        </w:numPr>
        <w:rPr>
          <w:lang w:eastAsia="pl-PL"/>
        </w:rPr>
      </w:pPr>
      <w:r>
        <w:rPr>
          <w:lang w:eastAsia="pl-PL"/>
        </w:rPr>
        <w:t>Inwentaryzacja zasobów własnych samorządów (OZE i zużycie).</w:t>
      </w:r>
    </w:p>
    <w:p w14:paraId="3DEFF9C5" w14:textId="77777777" w:rsidR="00BE4105" w:rsidRDefault="00BE4105">
      <w:pPr>
        <w:pStyle w:val="Akapitzlist"/>
        <w:numPr>
          <w:ilvl w:val="0"/>
          <w:numId w:val="100"/>
        </w:numPr>
        <w:rPr>
          <w:lang w:eastAsia="pl-PL"/>
        </w:rPr>
      </w:pPr>
      <w:r>
        <w:rPr>
          <w:lang w:eastAsia="pl-PL"/>
        </w:rPr>
        <w:lastRenderedPageBreak/>
        <w:t>Analiza lokalizacji oraz infrastruktury energetycznej PGE S.A. – możliwości przyłączeniowe</w:t>
      </w:r>
    </w:p>
    <w:p w14:paraId="3A4DD1B5" w14:textId="77777777" w:rsidR="00BE4105" w:rsidRDefault="00BE4105">
      <w:pPr>
        <w:pStyle w:val="Akapitzlist"/>
        <w:numPr>
          <w:ilvl w:val="0"/>
          <w:numId w:val="100"/>
        </w:numPr>
        <w:rPr>
          <w:lang w:eastAsia="pl-PL"/>
        </w:rPr>
      </w:pPr>
      <w:r>
        <w:rPr>
          <w:lang w:eastAsia="pl-PL"/>
        </w:rPr>
        <w:t>Inwentaryzacja potencjalnych zasobów do produkcji energii dla podmiotów z terenu Partnerstwa (interesariusze: przedsiębiorcy, rolnicy, mieszkańcy itp.).</w:t>
      </w:r>
    </w:p>
    <w:p w14:paraId="5672F01C" w14:textId="77777777" w:rsidR="00BE4105" w:rsidRDefault="00BE4105">
      <w:pPr>
        <w:pStyle w:val="Akapitzlist"/>
        <w:numPr>
          <w:ilvl w:val="0"/>
          <w:numId w:val="100"/>
        </w:numPr>
        <w:rPr>
          <w:lang w:eastAsia="pl-PL"/>
        </w:rPr>
      </w:pPr>
      <w:r>
        <w:rPr>
          <w:lang w:eastAsia="pl-PL"/>
        </w:rPr>
        <w:t>Rejestracja podmiotu.</w:t>
      </w:r>
    </w:p>
    <w:p w14:paraId="12723678" w14:textId="77777777" w:rsidR="00BE4105" w:rsidRDefault="00BE4105">
      <w:pPr>
        <w:pStyle w:val="Akapitzlist"/>
        <w:numPr>
          <w:ilvl w:val="0"/>
          <w:numId w:val="100"/>
        </w:numPr>
        <w:rPr>
          <w:lang w:eastAsia="pl-PL"/>
        </w:rPr>
      </w:pPr>
      <w:r>
        <w:rPr>
          <w:lang w:eastAsia="pl-PL"/>
        </w:rPr>
        <w:t>Opracowanie Planu Rozwoju Energetyki dla klastra do roku 2035.</w:t>
      </w:r>
    </w:p>
    <w:p w14:paraId="42A05A55" w14:textId="77777777" w:rsidR="00BE4105" w:rsidRDefault="00BE4105">
      <w:pPr>
        <w:pStyle w:val="Akapitzlist"/>
        <w:numPr>
          <w:ilvl w:val="0"/>
          <w:numId w:val="100"/>
        </w:numPr>
        <w:rPr>
          <w:lang w:eastAsia="pl-PL"/>
        </w:rPr>
      </w:pPr>
      <w:r>
        <w:rPr>
          <w:lang w:eastAsia="pl-PL"/>
        </w:rPr>
        <w:t>Projekt instalacji OZE i magazynów energii, uzyskanie pozwoleń.</w:t>
      </w:r>
    </w:p>
    <w:p w14:paraId="1CB64653" w14:textId="77777777" w:rsidR="00BE4105" w:rsidRDefault="00BE4105">
      <w:pPr>
        <w:pStyle w:val="Akapitzlist"/>
        <w:numPr>
          <w:ilvl w:val="0"/>
          <w:numId w:val="100"/>
        </w:numPr>
        <w:rPr>
          <w:lang w:eastAsia="pl-PL"/>
        </w:rPr>
      </w:pPr>
      <w:r>
        <w:rPr>
          <w:lang w:eastAsia="pl-PL"/>
        </w:rPr>
        <w:t>Budowa instalacji OZE oraz magazynów energii.</w:t>
      </w:r>
    </w:p>
    <w:p w14:paraId="17B490A8" w14:textId="77777777" w:rsidR="00BE4105" w:rsidRDefault="00BE4105">
      <w:pPr>
        <w:pStyle w:val="Akapitzlist"/>
        <w:numPr>
          <w:ilvl w:val="0"/>
          <w:numId w:val="100"/>
        </w:numPr>
        <w:rPr>
          <w:lang w:eastAsia="pl-PL"/>
        </w:rPr>
      </w:pPr>
      <w:r>
        <w:rPr>
          <w:lang w:eastAsia="pl-PL"/>
        </w:rPr>
        <w:t>Umożliwienie dostępu do tańszej, lokalnej i zielonej energii podmiotom z terenu Partnerstwa.</w:t>
      </w:r>
    </w:p>
    <w:p w14:paraId="36FD7917" w14:textId="1D45491A" w:rsidR="00BE4105" w:rsidRDefault="00E50EAF" w:rsidP="00AD56E9">
      <w:pPr>
        <w:rPr>
          <w:lang w:eastAsia="pl-PL"/>
        </w:rPr>
      </w:pPr>
      <w:r w:rsidRPr="00E50EAF">
        <w:rPr>
          <w:lang w:eastAsia="pl-PL"/>
        </w:rPr>
        <w:t>Zadanie wyznaczono w Strategii Terytorialnej Partnerstwa Gmin Powiatu Biłgorajskiego dla rozwoju gospodarczego.</w:t>
      </w:r>
    </w:p>
    <w:p w14:paraId="01744881" w14:textId="77777777" w:rsidR="00E50EAF" w:rsidRPr="00AD56E9" w:rsidRDefault="00E50EAF" w:rsidP="00AD56E9">
      <w:pPr>
        <w:rPr>
          <w:lang w:eastAsia="pl-PL"/>
        </w:rPr>
      </w:pPr>
    </w:p>
    <w:p w14:paraId="5BB48A4A" w14:textId="75EC5872" w:rsidR="00D57FDF" w:rsidRDefault="00D57FDF" w:rsidP="00D57FDF">
      <w:pPr>
        <w:pStyle w:val="Nagwek4"/>
        <w:rPr>
          <w:rFonts w:eastAsia="Calibri"/>
        </w:rPr>
      </w:pPr>
      <w:r w:rsidRPr="00BC3DFC">
        <w:rPr>
          <w:rFonts w:eastAsia="Calibri"/>
        </w:rPr>
        <w:t>Spółdzielnia energetyczna – kooperacja na poziomie Partnerstwa</w:t>
      </w:r>
    </w:p>
    <w:p w14:paraId="3426241D" w14:textId="72DF9FEC" w:rsidR="008468B4" w:rsidRDefault="008468B4" w:rsidP="008468B4">
      <w:pPr>
        <w:rPr>
          <w:lang w:eastAsia="pl-PL"/>
        </w:rPr>
      </w:pPr>
      <w:r>
        <w:rPr>
          <w:lang w:eastAsia="pl-PL"/>
        </w:rPr>
        <w:t xml:space="preserve">Inną formą współpracy </w:t>
      </w:r>
      <w:r w:rsidR="00B81648">
        <w:rPr>
          <w:lang w:eastAsia="pl-PL"/>
        </w:rPr>
        <w:t>energetycznej pomiędzy gminami jest utworzenie spółdzielni energetycznej, która działałaby na podobnych zasadach, co klaster energii.</w:t>
      </w:r>
    </w:p>
    <w:p w14:paraId="11AD49C9" w14:textId="6C480916" w:rsidR="00B81648" w:rsidRPr="008468B4" w:rsidRDefault="00B81648" w:rsidP="008468B4">
      <w:pPr>
        <w:rPr>
          <w:lang w:eastAsia="pl-PL"/>
        </w:rPr>
      </w:pPr>
      <w:r>
        <w:rPr>
          <w:lang w:eastAsia="pl-PL"/>
        </w:rPr>
        <w:t>Zadania wyznaczone w ramach utworzenia i rozwoju spółdzielni energetycznej to:</w:t>
      </w:r>
    </w:p>
    <w:p w14:paraId="186FE9D5" w14:textId="60ABA850" w:rsidR="00BE4105" w:rsidRDefault="00BE4105">
      <w:pPr>
        <w:pStyle w:val="Akapitzlist"/>
        <w:numPr>
          <w:ilvl w:val="0"/>
          <w:numId w:val="100"/>
        </w:numPr>
        <w:rPr>
          <w:lang w:eastAsia="pl-PL"/>
        </w:rPr>
      </w:pPr>
      <w:r>
        <w:rPr>
          <w:lang w:eastAsia="pl-PL"/>
        </w:rPr>
        <w:t>Analiza możliwości formalno-organizacyjnych w zakresie kooperacji energetycznej partnerów – formuła prawna, zapisy umowne, ścieżki finansowania.</w:t>
      </w:r>
    </w:p>
    <w:p w14:paraId="186A49B4" w14:textId="77777777" w:rsidR="00BE4105" w:rsidRDefault="00BE4105">
      <w:pPr>
        <w:pStyle w:val="Akapitzlist"/>
        <w:numPr>
          <w:ilvl w:val="0"/>
          <w:numId w:val="100"/>
        </w:numPr>
        <w:rPr>
          <w:lang w:eastAsia="pl-PL"/>
        </w:rPr>
      </w:pPr>
      <w:r>
        <w:rPr>
          <w:lang w:eastAsia="pl-PL"/>
        </w:rPr>
        <w:t>Inwentaryzacja zasobów własnych samorządów (OZE i zużycie).</w:t>
      </w:r>
    </w:p>
    <w:p w14:paraId="4644706C" w14:textId="1EB63F83" w:rsidR="00BE4105" w:rsidRDefault="00BE4105">
      <w:pPr>
        <w:pStyle w:val="Akapitzlist"/>
        <w:numPr>
          <w:ilvl w:val="0"/>
          <w:numId w:val="100"/>
        </w:numPr>
        <w:rPr>
          <w:lang w:eastAsia="pl-PL"/>
        </w:rPr>
      </w:pPr>
      <w:r>
        <w:rPr>
          <w:lang w:eastAsia="pl-PL"/>
        </w:rPr>
        <w:t>Analiza lokalizacji oraz infrastruktury energetycznej PGE S.A. – możliwości przyłączeniowe</w:t>
      </w:r>
    </w:p>
    <w:p w14:paraId="07D2EC21" w14:textId="671EE666" w:rsidR="00BE4105" w:rsidRDefault="00BE4105">
      <w:pPr>
        <w:pStyle w:val="Akapitzlist"/>
        <w:numPr>
          <w:ilvl w:val="0"/>
          <w:numId w:val="100"/>
        </w:numPr>
        <w:rPr>
          <w:lang w:eastAsia="pl-PL"/>
        </w:rPr>
      </w:pPr>
      <w:r>
        <w:rPr>
          <w:lang w:eastAsia="pl-PL"/>
        </w:rPr>
        <w:t>Inwentaryzacja potencjalnych zasobów do produkcji energii dla podmiotów z terenu Partnerstwa (interesariusze: przedsiębiorcy, rolnicy, mieszkańcy itp.).</w:t>
      </w:r>
    </w:p>
    <w:p w14:paraId="41B95181" w14:textId="77777777" w:rsidR="00BE4105" w:rsidRDefault="00BE4105">
      <w:pPr>
        <w:pStyle w:val="Akapitzlist"/>
        <w:numPr>
          <w:ilvl w:val="0"/>
          <w:numId w:val="100"/>
        </w:numPr>
        <w:rPr>
          <w:lang w:eastAsia="pl-PL"/>
        </w:rPr>
      </w:pPr>
      <w:r>
        <w:rPr>
          <w:lang w:eastAsia="pl-PL"/>
        </w:rPr>
        <w:t>Rejestracja podmiotu.</w:t>
      </w:r>
    </w:p>
    <w:p w14:paraId="6D709040" w14:textId="0402E5F2" w:rsidR="00BE4105" w:rsidRDefault="00BE4105">
      <w:pPr>
        <w:pStyle w:val="Akapitzlist"/>
        <w:numPr>
          <w:ilvl w:val="0"/>
          <w:numId w:val="100"/>
        </w:numPr>
        <w:rPr>
          <w:lang w:eastAsia="pl-PL"/>
        </w:rPr>
      </w:pPr>
      <w:r>
        <w:rPr>
          <w:lang w:eastAsia="pl-PL"/>
        </w:rPr>
        <w:t>Opracowanie Planu Rozwoju Energetyki dla klastra do roku 2035.</w:t>
      </w:r>
    </w:p>
    <w:p w14:paraId="49B0E46B" w14:textId="0C9999AF" w:rsidR="00BE4105" w:rsidRDefault="00BE4105">
      <w:pPr>
        <w:pStyle w:val="Akapitzlist"/>
        <w:numPr>
          <w:ilvl w:val="0"/>
          <w:numId w:val="100"/>
        </w:numPr>
        <w:rPr>
          <w:lang w:eastAsia="pl-PL"/>
        </w:rPr>
      </w:pPr>
      <w:r>
        <w:rPr>
          <w:lang w:eastAsia="pl-PL"/>
        </w:rPr>
        <w:t>Projekt instalacji OZE i magazynów energii, uzyskanie pozwoleń.</w:t>
      </w:r>
    </w:p>
    <w:p w14:paraId="2237AF38" w14:textId="77777777" w:rsidR="00BE4105" w:rsidRDefault="00BE4105">
      <w:pPr>
        <w:pStyle w:val="Akapitzlist"/>
        <w:numPr>
          <w:ilvl w:val="0"/>
          <w:numId w:val="100"/>
        </w:numPr>
        <w:rPr>
          <w:lang w:eastAsia="pl-PL"/>
        </w:rPr>
      </w:pPr>
      <w:r>
        <w:rPr>
          <w:lang w:eastAsia="pl-PL"/>
        </w:rPr>
        <w:t>Budowa instalacji OZE oraz magazynów energii.</w:t>
      </w:r>
    </w:p>
    <w:p w14:paraId="6CF56315" w14:textId="1F3AA7BF" w:rsidR="00AD56E9" w:rsidRDefault="00BE4105">
      <w:pPr>
        <w:pStyle w:val="Akapitzlist"/>
        <w:numPr>
          <w:ilvl w:val="0"/>
          <w:numId w:val="100"/>
        </w:numPr>
        <w:rPr>
          <w:lang w:eastAsia="pl-PL"/>
        </w:rPr>
      </w:pPr>
      <w:r>
        <w:rPr>
          <w:lang w:eastAsia="pl-PL"/>
        </w:rPr>
        <w:t>Umożliwienie dostępu do tańszej, lokalnej i zielonej energii podmiotom z terenu Partnerstwa.</w:t>
      </w:r>
    </w:p>
    <w:p w14:paraId="2C662EBA" w14:textId="20F97084" w:rsidR="00BE4105" w:rsidRDefault="00E50EAF" w:rsidP="00AD56E9">
      <w:pPr>
        <w:rPr>
          <w:lang w:eastAsia="pl-PL"/>
        </w:rPr>
      </w:pPr>
      <w:r w:rsidRPr="00E50EAF">
        <w:rPr>
          <w:lang w:eastAsia="pl-PL"/>
        </w:rPr>
        <w:t>Zadanie wyznaczono w Strategii Terytorialnej Partnerstwa Gmin Powiatu Biłgorajskiego dla rozwoju gospodarczego.</w:t>
      </w:r>
    </w:p>
    <w:p w14:paraId="3C471833" w14:textId="77777777" w:rsidR="00E50EAF" w:rsidRPr="00AD56E9" w:rsidRDefault="00E50EAF" w:rsidP="00AD56E9">
      <w:pPr>
        <w:rPr>
          <w:lang w:eastAsia="pl-PL"/>
        </w:rPr>
      </w:pPr>
    </w:p>
    <w:p w14:paraId="382A23FE" w14:textId="1067BE84" w:rsidR="00D57FDF" w:rsidRDefault="00D57FDF" w:rsidP="00D57FDF">
      <w:pPr>
        <w:pStyle w:val="Nagwek4"/>
        <w:rPr>
          <w:rFonts w:eastAsia="Calibri"/>
        </w:rPr>
      </w:pPr>
      <w:r w:rsidRPr="00BC3DFC">
        <w:rPr>
          <w:rFonts w:eastAsia="Calibri"/>
        </w:rPr>
        <w:t>Inteligentne oświetlenie przestrzeni publicznej</w:t>
      </w:r>
    </w:p>
    <w:p w14:paraId="0769B93F" w14:textId="07DD7DAE" w:rsidR="00BE4105" w:rsidRDefault="004C470F" w:rsidP="00BE4105">
      <w:pPr>
        <w:rPr>
          <w:lang w:eastAsia="pl-PL"/>
        </w:rPr>
      </w:pPr>
      <w:r>
        <w:rPr>
          <w:lang w:eastAsia="pl-PL"/>
        </w:rPr>
        <w:t>Kolejnym rozwiązaniem z zakresu obniżenia energochłonności miasta jest modernizacji oświetlenia w przestrzeni publicznej. Wyznaczono zadanie z zakresu b</w:t>
      </w:r>
      <w:r w:rsidR="00BE4105">
        <w:rPr>
          <w:lang w:eastAsia="pl-PL"/>
        </w:rPr>
        <w:t>udow</w:t>
      </w:r>
      <w:r>
        <w:rPr>
          <w:lang w:eastAsia="pl-PL"/>
        </w:rPr>
        <w:t>y</w:t>
      </w:r>
      <w:r w:rsidR="00BE4105">
        <w:rPr>
          <w:lang w:eastAsia="pl-PL"/>
        </w:rPr>
        <w:t xml:space="preserve"> lub przebudow</w:t>
      </w:r>
      <w:r>
        <w:rPr>
          <w:lang w:eastAsia="pl-PL"/>
        </w:rPr>
        <w:t>y</w:t>
      </w:r>
      <w:r w:rsidR="00BE4105">
        <w:rPr>
          <w:lang w:eastAsia="pl-PL"/>
        </w:rPr>
        <w:t xml:space="preserve"> energooszczędnego oświetlenia ulicznego w miejscowości należących do Gminy Tarnogród, tj. Różaniec Pierwszy, Różaniec Drugi, Wola Różaniecka, Luchów Górny, Luchów Dolny, oraz Tarnogród. Ponadto zakres obejmował będzie kompleksową przebudowę instalacji elektrycznej wraz montażem elementów energooszczędnego oświetlenie obiektów użyteczności publicznej na terenie gminy. W</w:t>
      </w:r>
      <w:r>
        <w:rPr>
          <w:lang w:eastAsia="pl-PL"/>
        </w:rPr>
        <w:t> </w:t>
      </w:r>
      <w:r w:rsidR="00BE4105">
        <w:rPr>
          <w:lang w:eastAsia="pl-PL"/>
        </w:rPr>
        <w:t>przypadku oświetlenia ulicznego zadanie będzie polegało na zastosowaniu technologii umożliwiającej łatwiejszą sterowalność systemu oraz możliwą regulację mocy oświetlenia. Szczegółowy zakres prac technicznych zostanie określony na podstawie audytów energetycznych i</w:t>
      </w:r>
      <w:r>
        <w:rPr>
          <w:lang w:eastAsia="pl-PL"/>
        </w:rPr>
        <w:t> </w:t>
      </w:r>
      <w:r w:rsidR="00BE4105">
        <w:rPr>
          <w:lang w:eastAsia="pl-PL"/>
        </w:rPr>
        <w:t>dokumentacji projektowej.</w:t>
      </w:r>
    </w:p>
    <w:p w14:paraId="15A9066A" w14:textId="4DA54859" w:rsidR="00D57FDF" w:rsidRDefault="00D57FDF" w:rsidP="00D57FDF">
      <w:pPr>
        <w:rPr>
          <w:lang w:eastAsia="pl-PL"/>
        </w:rPr>
      </w:pPr>
      <w:r w:rsidRPr="00D57FDF">
        <w:rPr>
          <w:lang w:eastAsia="pl-PL"/>
        </w:rPr>
        <w:lastRenderedPageBreak/>
        <w:t>Inteligentny system sterowania oświetleniem pozwala na zracjonalizowanie zużycia energii elektrycznej,</w:t>
      </w:r>
      <w:r w:rsidR="007D2030">
        <w:rPr>
          <w:lang w:eastAsia="pl-PL"/>
        </w:rPr>
        <w:t xml:space="preserve"> </w:t>
      </w:r>
      <w:r w:rsidRPr="00D57FDF">
        <w:rPr>
          <w:lang w:eastAsia="pl-PL"/>
        </w:rPr>
        <w:t>a w konsekwencji zmniejszenie emisji CO</w:t>
      </w:r>
      <w:r w:rsidRPr="007D2030">
        <w:rPr>
          <w:vertAlign w:val="subscript"/>
          <w:lang w:eastAsia="pl-PL"/>
        </w:rPr>
        <w:t>2</w:t>
      </w:r>
      <w:r w:rsidRPr="00D57FDF">
        <w:rPr>
          <w:lang w:eastAsia="pl-PL"/>
        </w:rPr>
        <w:t>. Wykorzystuje on pomiary natężenia ruchu i</w:t>
      </w:r>
      <w:r w:rsidR="007D2030">
        <w:rPr>
          <w:lang w:eastAsia="pl-PL"/>
        </w:rPr>
        <w:t> </w:t>
      </w:r>
      <w:r w:rsidRPr="00D57FDF">
        <w:rPr>
          <w:lang w:eastAsia="pl-PL"/>
        </w:rPr>
        <w:t>odczyty warunków pogodowych, aby oświetlenie działało adekwatnie do sytuacji na drodze, nie więcej, niż wynika to z przepisów i jest konieczne dla zapewnienia bezpieczeństwa.</w:t>
      </w:r>
    </w:p>
    <w:p w14:paraId="05EE47B8" w14:textId="4FA951B0" w:rsidR="00D57FDF" w:rsidRDefault="00E50EAF" w:rsidP="00D57FDF">
      <w:pPr>
        <w:rPr>
          <w:lang w:eastAsia="pl-PL"/>
        </w:rPr>
      </w:pPr>
      <w:r w:rsidRPr="00E50EAF">
        <w:rPr>
          <w:lang w:eastAsia="pl-PL"/>
        </w:rPr>
        <w:t>Zadanie wyznaczono w Strategii Terytorialnej Partnerstwa Gmin Powiatu Biłgorajskiego dla rozwoju gospodarczego.</w:t>
      </w:r>
    </w:p>
    <w:p w14:paraId="4A2D28F8" w14:textId="77777777" w:rsidR="00E50EAF" w:rsidRPr="00D57FDF" w:rsidRDefault="00E50EAF" w:rsidP="00D57FDF">
      <w:pPr>
        <w:rPr>
          <w:lang w:eastAsia="pl-PL"/>
        </w:rPr>
      </w:pPr>
    </w:p>
    <w:p w14:paraId="3EE6FA3E" w14:textId="43B3A708" w:rsidR="00D57FDF" w:rsidRDefault="00D57FDF" w:rsidP="00D57FDF">
      <w:pPr>
        <w:pStyle w:val="Nagwek4"/>
        <w:rPr>
          <w:rFonts w:eastAsia="Calibri"/>
          <w:sz w:val="24"/>
          <w:szCs w:val="24"/>
        </w:rPr>
      </w:pPr>
      <w:r w:rsidRPr="00BC3DFC">
        <w:rPr>
          <w:rFonts w:eastAsia="Calibri"/>
          <w:sz w:val="24"/>
          <w:szCs w:val="24"/>
        </w:rPr>
        <w:t>Modernizacja sieci energetycznych</w:t>
      </w:r>
    </w:p>
    <w:p w14:paraId="76F0F130" w14:textId="77777777" w:rsidR="007D2030" w:rsidRDefault="00707E1F" w:rsidP="00707E1F">
      <w:pPr>
        <w:rPr>
          <w:lang w:eastAsia="pl-PL"/>
        </w:rPr>
      </w:pPr>
      <w:r>
        <w:rPr>
          <w:lang w:eastAsia="pl-PL"/>
        </w:rPr>
        <w:t>F</w:t>
      </w:r>
      <w:r w:rsidRPr="00707E1F">
        <w:rPr>
          <w:lang w:eastAsia="pl-PL"/>
        </w:rPr>
        <w:t xml:space="preserve">unkcjonujące linie energetyczne są przystosowane do scentralizowanego systemu wytwarzania. Rozwój OZE wymaga przejścia z centralnego modelu zarządzania i przesyłu energii na duże odległości, na system rozproszony, gdzie energia </w:t>
      </w:r>
      <w:r w:rsidR="007D2030">
        <w:rPr>
          <w:lang w:eastAsia="pl-PL"/>
        </w:rPr>
        <w:t>elektryczna</w:t>
      </w:r>
      <w:r w:rsidRPr="00707E1F">
        <w:rPr>
          <w:lang w:eastAsia="pl-PL"/>
        </w:rPr>
        <w:t xml:space="preserve"> będzie przesyłana lokalnie. Następuje więc większe wykorzystanie sieci o mniejszym napięciu prowadząc do ich przeciążenia. Wiek oraz stan sieci wzmaga problem, a przy rosnącej liczbie wniosków o przyłączenie rozproszonych źródeł OZE do lokalnych sieci w wielu przepadkach w systemie elektroenergetycznym brakuje miejsca. Skutkuje to odrzucaniem wniosków na przyłączenia do sieci.</w:t>
      </w:r>
    </w:p>
    <w:p w14:paraId="7D8D010C" w14:textId="77777777" w:rsidR="008B6E6D" w:rsidRDefault="007D2030" w:rsidP="00707E1F">
      <w:pPr>
        <w:rPr>
          <w:lang w:eastAsia="pl-PL"/>
        </w:rPr>
      </w:pPr>
      <w:r>
        <w:rPr>
          <w:lang w:eastAsia="pl-PL"/>
        </w:rPr>
        <w:t xml:space="preserve">W odpowiedzi na ten problem, właściciele sieci energetycznych powinni stale je modernizować. Nie jest to zadanie w zakresie możliwości i działań miasta. Miasto jednak powinno </w:t>
      </w:r>
      <w:r w:rsidR="008B6E6D">
        <w:rPr>
          <w:lang w:eastAsia="pl-PL"/>
        </w:rPr>
        <w:t>zgłaszać taki problem, który również jest przyczyną występowania przerw w dostawach prądu.</w:t>
      </w:r>
    </w:p>
    <w:p w14:paraId="7565F387" w14:textId="6B6E324F" w:rsidR="00455BB7" w:rsidRPr="00655FC7" w:rsidRDefault="00455BB7" w:rsidP="00707E1F">
      <w:pPr>
        <w:rPr>
          <w:lang w:eastAsia="pl-PL"/>
        </w:rPr>
      </w:pPr>
      <w:r w:rsidRPr="00655FC7">
        <w:rPr>
          <w:lang w:eastAsia="pl-PL"/>
        </w:rPr>
        <w:br w:type="page"/>
      </w:r>
    </w:p>
    <w:p w14:paraId="657EEDD1" w14:textId="7348261B" w:rsidR="005540A6" w:rsidRPr="00655FC7" w:rsidRDefault="00880211" w:rsidP="00037816">
      <w:pPr>
        <w:pStyle w:val="Nagwek3"/>
      </w:pPr>
      <w:bookmarkStart w:id="262" w:name="_Toc177732088"/>
      <w:r>
        <w:lastRenderedPageBreak/>
        <w:t>Bezpieczeństwo</w:t>
      </w:r>
      <w:bookmarkEnd w:id="262"/>
    </w:p>
    <w:tbl>
      <w:tblPr>
        <w:tblStyle w:val="Tabela-Siatka"/>
        <w:tblW w:w="0" w:type="auto"/>
        <w:tblLook w:val="04A0" w:firstRow="1" w:lastRow="0" w:firstColumn="1" w:lastColumn="0" w:noHBand="0" w:noVBand="1"/>
      </w:tblPr>
      <w:tblGrid>
        <w:gridCol w:w="1668"/>
        <w:gridCol w:w="7402"/>
      </w:tblGrid>
      <w:tr w:rsidR="00BC3DFC" w14:paraId="27E350CC" w14:textId="77777777" w:rsidTr="001E5985">
        <w:trPr>
          <w:trHeight w:val="1037"/>
        </w:trPr>
        <w:tc>
          <w:tcPr>
            <w:tcW w:w="1668" w:type="dxa"/>
            <w:tcBorders>
              <w:top w:val="nil"/>
              <w:left w:val="nil"/>
              <w:bottom w:val="single" w:sz="24" w:space="0" w:color="FFFFFF" w:themeColor="background1"/>
              <w:right w:val="single" w:sz="24" w:space="0" w:color="FFFFFF" w:themeColor="background1"/>
            </w:tcBorders>
            <w:shd w:val="clear" w:color="auto" w:fill="C3E098" w:themeFill="accent1" w:themeFillTint="66"/>
          </w:tcPr>
          <w:p w14:paraId="3473515C" w14:textId="77777777" w:rsidR="00BC3DFC" w:rsidRDefault="00BC3DFC" w:rsidP="001E5985">
            <w:pPr>
              <w:ind w:firstLine="0"/>
              <w:rPr>
                <w:rFonts w:eastAsia="Calibri" w:cstheme="minorHAnsi"/>
                <w:color w:val="auto"/>
              </w:rPr>
            </w:pPr>
            <w:r>
              <w:rPr>
                <w:rFonts w:eastAsia="Calibri" w:cstheme="minorHAnsi"/>
                <w:noProof/>
                <w:color w:val="auto"/>
              </w:rPr>
              <w:drawing>
                <wp:inline distT="0" distB="0" distL="0" distR="0" wp14:anchorId="2B2D2F64" wp14:editId="564A484B">
                  <wp:extent cx="914400" cy="914400"/>
                  <wp:effectExtent l="0" t="0" r="0" b="0"/>
                  <wp:docPr id="1269541127" name="Grafika 65" descr="Znaczek 5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541127" name="Grafika 65" descr="Znaczek 5 z wypełnieniem pełnym"/>
                          <pic:cNvPicPr/>
                        </pic:nvPicPr>
                        <pic:blipFill>
                          <a:blip r:embed="rId180">
                            <a:extLst>
                              <a:ext uri="{96DAC541-7B7A-43D3-8B79-37D633B846F1}">
                                <asvg:svgBlip xmlns:asvg="http://schemas.microsoft.com/office/drawing/2016/SVG/main" r:embed="rId181"/>
                              </a:ext>
                            </a:extLst>
                          </a:blip>
                          <a:stretch>
                            <a:fillRect/>
                          </a:stretch>
                        </pic:blipFill>
                        <pic:spPr>
                          <a:xfrm>
                            <a:off x="0" y="0"/>
                            <a:ext cx="914400" cy="914400"/>
                          </a:xfrm>
                          <a:prstGeom prst="rect">
                            <a:avLst/>
                          </a:prstGeom>
                        </pic:spPr>
                      </pic:pic>
                    </a:graphicData>
                  </a:graphic>
                </wp:inline>
              </w:drawing>
            </w:r>
          </w:p>
        </w:tc>
        <w:tc>
          <w:tcPr>
            <w:tcW w:w="7544" w:type="dxa"/>
            <w:tcBorders>
              <w:top w:val="nil"/>
              <w:left w:val="single" w:sz="24" w:space="0" w:color="FFFFFF" w:themeColor="background1"/>
              <w:bottom w:val="single" w:sz="24" w:space="0" w:color="FFFFFF" w:themeColor="background1"/>
              <w:right w:val="nil"/>
            </w:tcBorders>
            <w:shd w:val="clear" w:color="auto" w:fill="C3E098" w:themeFill="accent1" w:themeFillTint="66"/>
            <w:vAlign w:val="center"/>
          </w:tcPr>
          <w:p w14:paraId="47050D7D" w14:textId="72571F23" w:rsidR="00BC3DFC" w:rsidRPr="003602EA" w:rsidRDefault="00411C8D" w:rsidP="001E5985">
            <w:pPr>
              <w:ind w:firstLine="0"/>
              <w:jc w:val="left"/>
              <w:rPr>
                <w:rFonts w:eastAsia="Calibri" w:cstheme="minorHAnsi"/>
                <w:b/>
                <w:bCs/>
                <w:color w:val="auto"/>
                <w:sz w:val="36"/>
                <w:szCs w:val="36"/>
              </w:rPr>
            </w:pPr>
            <w:r>
              <w:rPr>
                <w:rFonts w:eastAsia="Calibri" w:cstheme="minorHAnsi"/>
                <w:b/>
                <w:bCs/>
                <w:color w:val="auto"/>
                <w:sz w:val="36"/>
                <w:szCs w:val="36"/>
              </w:rPr>
              <w:t>BEZPIECZEŃSTWO: wzmocnienie służb ratowniczych i usług publicznych, zarządzanie kryzysowy</w:t>
            </w:r>
          </w:p>
        </w:tc>
      </w:tr>
      <w:tr w:rsidR="00BC3DFC" w14:paraId="66F6F54B" w14:textId="77777777" w:rsidTr="001E5985">
        <w:trPr>
          <w:trHeight w:val="3167"/>
        </w:trPr>
        <w:tc>
          <w:tcPr>
            <w:tcW w:w="9212"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2F6EA" w:themeFill="accent6" w:themeFillTint="33"/>
          </w:tcPr>
          <w:p w14:paraId="4A128435" w14:textId="77777777" w:rsidR="00BC3DFC" w:rsidRPr="00BC3DFC" w:rsidRDefault="00BC3DFC">
            <w:pPr>
              <w:pStyle w:val="Akapitzlist"/>
              <w:numPr>
                <w:ilvl w:val="0"/>
                <w:numId w:val="91"/>
              </w:numPr>
              <w:spacing w:before="240" w:line="360" w:lineRule="auto"/>
              <w:rPr>
                <w:rFonts w:eastAsia="Calibri" w:cstheme="minorHAnsi"/>
                <w:color w:val="auto"/>
                <w:sz w:val="24"/>
                <w:szCs w:val="24"/>
              </w:rPr>
            </w:pPr>
            <w:r w:rsidRPr="00BC3DFC">
              <w:rPr>
                <w:rFonts w:eastAsia="Calibri" w:cstheme="minorHAnsi"/>
                <w:color w:val="auto"/>
                <w:sz w:val="24"/>
                <w:szCs w:val="24"/>
              </w:rPr>
              <w:t>Wzmocnienie służb ratowniczych</w:t>
            </w:r>
          </w:p>
          <w:p w14:paraId="4366C563" w14:textId="77777777" w:rsidR="00BC3DFC" w:rsidRPr="00BC3DFC" w:rsidRDefault="00BC3DFC">
            <w:pPr>
              <w:pStyle w:val="Akapitzlist"/>
              <w:numPr>
                <w:ilvl w:val="0"/>
                <w:numId w:val="91"/>
              </w:numPr>
              <w:spacing w:before="240" w:line="360" w:lineRule="auto"/>
              <w:rPr>
                <w:rFonts w:eastAsia="Calibri" w:cstheme="minorHAnsi"/>
                <w:color w:val="auto"/>
                <w:sz w:val="24"/>
                <w:szCs w:val="24"/>
              </w:rPr>
            </w:pPr>
            <w:r w:rsidRPr="00BC3DFC">
              <w:rPr>
                <w:rFonts w:eastAsia="Calibri" w:cstheme="minorHAnsi"/>
                <w:color w:val="auto"/>
                <w:sz w:val="24"/>
                <w:szCs w:val="24"/>
              </w:rPr>
              <w:t xml:space="preserve">Nowe oblicze pomocy społecznej </w:t>
            </w:r>
          </w:p>
          <w:p w14:paraId="58AF4287" w14:textId="77777777" w:rsidR="00BC3DFC" w:rsidRPr="00BC3DFC" w:rsidRDefault="00BC3DFC">
            <w:pPr>
              <w:pStyle w:val="Akapitzlist"/>
              <w:numPr>
                <w:ilvl w:val="0"/>
                <w:numId w:val="91"/>
              </w:numPr>
              <w:spacing w:before="240" w:line="360" w:lineRule="auto"/>
              <w:rPr>
                <w:rFonts w:eastAsia="Calibri" w:cstheme="minorHAnsi"/>
                <w:color w:val="auto"/>
                <w:sz w:val="24"/>
                <w:szCs w:val="24"/>
              </w:rPr>
            </w:pPr>
            <w:r w:rsidRPr="00BC3DFC">
              <w:rPr>
                <w:rFonts w:eastAsia="Calibri" w:cstheme="minorHAnsi"/>
                <w:color w:val="auto"/>
                <w:sz w:val="24"/>
                <w:szCs w:val="24"/>
              </w:rPr>
              <w:t xml:space="preserve">Rozwój usług społecznych </w:t>
            </w:r>
          </w:p>
          <w:p w14:paraId="56980D88" w14:textId="77777777" w:rsidR="00BC3DFC" w:rsidRPr="00BC3DFC" w:rsidRDefault="00BC3DFC">
            <w:pPr>
              <w:pStyle w:val="Akapitzlist"/>
              <w:numPr>
                <w:ilvl w:val="0"/>
                <w:numId w:val="91"/>
              </w:numPr>
              <w:spacing w:before="240" w:line="360" w:lineRule="auto"/>
              <w:rPr>
                <w:rFonts w:eastAsia="Calibri" w:cstheme="minorHAnsi"/>
                <w:color w:val="auto"/>
                <w:sz w:val="24"/>
                <w:szCs w:val="24"/>
              </w:rPr>
            </w:pPr>
            <w:r w:rsidRPr="00BC3DFC">
              <w:rPr>
                <w:rFonts w:eastAsia="Calibri" w:cstheme="minorHAnsi"/>
                <w:color w:val="auto"/>
                <w:sz w:val="24"/>
                <w:szCs w:val="24"/>
              </w:rPr>
              <w:t>Modernizacja Środowiskowego Domu Samopomocy</w:t>
            </w:r>
          </w:p>
          <w:p w14:paraId="224C081A" w14:textId="77777777" w:rsidR="00BC3DFC" w:rsidRPr="00BC3DFC" w:rsidRDefault="00BC3DFC">
            <w:pPr>
              <w:pStyle w:val="Akapitzlist"/>
              <w:numPr>
                <w:ilvl w:val="0"/>
                <w:numId w:val="91"/>
              </w:numPr>
              <w:spacing w:before="240" w:line="360" w:lineRule="auto"/>
              <w:rPr>
                <w:rFonts w:eastAsia="Calibri" w:cstheme="minorHAnsi"/>
                <w:color w:val="auto"/>
                <w:sz w:val="24"/>
                <w:szCs w:val="24"/>
              </w:rPr>
            </w:pPr>
            <w:r w:rsidRPr="00BC3DFC">
              <w:rPr>
                <w:rFonts w:eastAsia="Calibri" w:cstheme="minorHAnsi"/>
                <w:color w:val="auto"/>
                <w:sz w:val="24"/>
                <w:szCs w:val="24"/>
              </w:rPr>
              <w:t>Rozwój systemu monitoringu i ostrzegania przed ekstremalnymi zjawiskami pogodowymi</w:t>
            </w:r>
          </w:p>
          <w:p w14:paraId="2E82B217" w14:textId="59DFA449" w:rsidR="00BC3DFC" w:rsidRPr="006450DE" w:rsidRDefault="00BC3DFC">
            <w:pPr>
              <w:pStyle w:val="Akapitzlist"/>
              <w:numPr>
                <w:ilvl w:val="0"/>
                <w:numId w:val="91"/>
              </w:numPr>
              <w:spacing w:line="360" w:lineRule="auto"/>
              <w:rPr>
                <w:rFonts w:eastAsia="Calibri" w:cstheme="minorHAnsi"/>
                <w:color w:val="auto"/>
              </w:rPr>
            </w:pPr>
            <w:r w:rsidRPr="00BC3DFC">
              <w:rPr>
                <w:rFonts w:eastAsia="Calibri" w:cstheme="minorHAnsi"/>
                <w:color w:val="auto"/>
                <w:sz w:val="24"/>
                <w:szCs w:val="24"/>
              </w:rPr>
              <w:t>Aktualizacja planów kryzysowych</w:t>
            </w:r>
          </w:p>
        </w:tc>
      </w:tr>
    </w:tbl>
    <w:p w14:paraId="2497E0E8" w14:textId="77777777" w:rsidR="003F074D" w:rsidRPr="00655FC7" w:rsidRDefault="003F074D" w:rsidP="003F074D">
      <w:pPr>
        <w:tabs>
          <w:tab w:val="left" w:pos="3119"/>
        </w:tabs>
        <w:rPr>
          <w:rFonts w:cstheme="minorHAnsi"/>
          <w:color w:val="auto"/>
        </w:rPr>
      </w:pPr>
    </w:p>
    <w:p w14:paraId="5880A963" w14:textId="77777777" w:rsidR="00DC5A98" w:rsidRDefault="00DC5A98" w:rsidP="00DC5A98">
      <w:pPr>
        <w:pStyle w:val="Nagwek4"/>
        <w:rPr>
          <w:rFonts w:eastAsia="Calibri"/>
        </w:rPr>
      </w:pPr>
      <w:r w:rsidRPr="00BC3DFC">
        <w:rPr>
          <w:rFonts w:eastAsia="Calibri"/>
        </w:rPr>
        <w:t>Wzmocnienie służb ratowniczych</w:t>
      </w:r>
    </w:p>
    <w:p w14:paraId="43F2EC11" w14:textId="1296B286" w:rsidR="00DC5A98" w:rsidRDefault="00DC5A98" w:rsidP="00D611FF">
      <w:pPr>
        <w:rPr>
          <w:lang w:eastAsia="pl-PL"/>
        </w:rPr>
      </w:pPr>
      <w:r>
        <w:rPr>
          <w:lang w:eastAsia="pl-PL"/>
        </w:rPr>
        <w:t xml:space="preserve">Wobec częstszego występowania ekstremalnych zjawisk pogodowych ważne jest wzmocnienie służb ratowniczych. Działania te powinny prowadzić do zwiększenia mobilności jednostek oraz pozwolić na lepszą, szybszą i skuteczniejszą reakcję służb w sytuacji zagrożenia. </w:t>
      </w:r>
      <w:r w:rsidR="00D611FF">
        <w:rPr>
          <w:lang w:eastAsia="pl-PL"/>
        </w:rPr>
        <w:t xml:space="preserve">Ważnym działaniem jest doposażenie służ ratowniczych i nowoczesny i sprawny sprzęt. Zakup wyposażenia powinien </w:t>
      </w:r>
      <w:r w:rsidR="00C94AF0">
        <w:rPr>
          <w:lang w:eastAsia="pl-PL"/>
        </w:rPr>
        <w:t>odpowiadać na potrzeby zgłaszane przez jednostki oraz na spodziewane w przyszłości ekstremalne zjawiska. Spodziewając</w:t>
      </w:r>
      <w:r w:rsidR="000F342A">
        <w:rPr>
          <w:lang w:eastAsia="pl-PL"/>
        </w:rPr>
        <w:t xml:space="preserve"> się np. większej ilości intensywnych opadów mogących powodować powodzie i podtopienia, należy wyposażyć jednostki w sprzęt odpowiadający temu zagrożeniu.</w:t>
      </w:r>
    </w:p>
    <w:p w14:paraId="31649845" w14:textId="77777777" w:rsidR="00DC5A98" w:rsidRPr="00DC5A98" w:rsidRDefault="00DC5A98" w:rsidP="00DC5A98">
      <w:pPr>
        <w:pStyle w:val="Akapitzlist"/>
        <w:ind w:left="714" w:firstLine="0"/>
        <w:rPr>
          <w:lang w:eastAsia="pl-PL"/>
        </w:rPr>
      </w:pPr>
    </w:p>
    <w:p w14:paraId="5AEF1720" w14:textId="0920EFA1" w:rsidR="00DC5A98" w:rsidRDefault="00DC5A98" w:rsidP="00DC5A98">
      <w:pPr>
        <w:pStyle w:val="Nagwek4"/>
        <w:rPr>
          <w:rFonts w:eastAsia="Calibri"/>
        </w:rPr>
      </w:pPr>
      <w:r w:rsidRPr="00BC3DFC">
        <w:rPr>
          <w:rFonts w:eastAsia="Calibri"/>
        </w:rPr>
        <w:t>Nowe oblicze pomocy społecznej</w:t>
      </w:r>
    </w:p>
    <w:p w14:paraId="5FD646AC" w14:textId="46AD356F" w:rsidR="00DC5A98" w:rsidRDefault="00DC5A98" w:rsidP="00DC5A98">
      <w:pPr>
        <w:rPr>
          <w:lang w:eastAsia="pl-PL"/>
        </w:rPr>
      </w:pPr>
      <w:r w:rsidRPr="00DC5A98">
        <w:rPr>
          <w:lang w:eastAsia="pl-PL"/>
        </w:rPr>
        <w:t xml:space="preserve">Ważnym działaniem adaptacyjnym jest budowa systemu dla zapewnienia </w:t>
      </w:r>
      <w:r w:rsidR="000F342A">
        <w:rPr>
          <w:lang w:eastAsia="pl-PL"/>
        </w:rPr>
        <w:t>wsparcia</w:t>
      </w:r>
      <w:r w:rsidRPr="00DC5A98">
        <w:rPr>
          <w:lang w:eastAsia="pl-PL"/>
        </w:rPr>
        <w:t xml:space="preserve"> ze szczególnym uwzględnieniem potrzeb starzejącego się społeczeństwa i rozwoju świadczeń opieki senioralnej</w:t>
      </w:r>
      <w:r w:rsidR="000F342A">
        <w:rPr>
          <w:lang w:eastAsia="pl-PL"/>
        </w:rPr>
        <w:t xml:space="preserve">. </w:t>
      </w:r>
      <w:r w:rsidRPr="00DC5A98">
        <w:rPr>
          <w:lang w:eastAsia="pl-PL"/>
        </w:rPr>
        <w:t>Osoby starsze, schorowane, niepełnosprawne są szczególnie narażone na zmiany środowiska, w którym funkcjonują, a zmiany klimatu będą pogłębiać uciążliwości takie jak fale upałów, ekstremalne zjawiska pogodowe itd.</w:t>
      </w:r>
    </w:p>
    <w:p w14:paraId="3FFFAE28" w14:textId="77777777" w:rsidR="005370A8" w:rsidRDefault="005370A8" w:rsidP="00DC5A98">
      <w:pPr>
        <w:rPr>
          <w:lang w:eastAsia="pl-PL"/>
        </w:rPr>
      </w:pPr>
    </w:p>
    <w:p w14:paraId="0BCF4787" w14:textId="0BECB020" w:rsidR="005370A8" w:rsidRDefault="000F342A" w:rsidP="005370A8">
      <w:pPr>
        <w:rPr>
          <w:lang w:eastAsia="pl-PL"/>
        </w:rPr>
      </w:pPr>
      <w:r>
        <w:rPr>
          <w:lang w:eastAsia="pl-PL"/>
        </w:rPr>
        <w:t>Wyznaczono inwestycję</w:t>
      </w:r>
      <w:r w:rsidR="005370A8">
        <w:rPr>
          <w:lang w:eastAsia="pl-PL"/>
        </w:rPr>
        <w:t xml:space="preserve"> dotycz</w:t>
      </w:r>
      <w:r>
        <w:rPr>
          <w:lang w:eastAsia="pl-PL"/>
        </w:rPr>
        <w:t>ącą</w:t>
      </w:r>
      <w:r w:rsidR="005370A8">
        <w:rPr>
          <w:lang w:eastAsia="pl-PL"/>
        </w:rPr>
        <w:t xml:space="preserve"> przekształcenia Miejskiego Ośrodka Pomocy Społecznej w</w:t>
      </w:r>
      <w:r>
        <w:rPr>
          <w:lang w:eastAsia="pl-PL"/>
        </w:rPr>
        <w:t> </w:t>
      </w:r>
      <w:r w:rsidR="005370A8">
        <w:rPr>
          <w:lang w:eastAsia="pl-PL"/>
        </w:rPr>
        <w:t>Tarnogrodzie na Centrum Usług Społecznych (CUS). Utworzony CUS przejmie dotychczasowe zadania realizowane przez MOPS oraz będzie realizował dodatkowe usługi społeczne z co najmniej z</w:t>
      </w:r>
      <w:r>
        <w:rPr>
          <w:lang w:eastAsia="pl-PL"/>
        </w:rPr>
        <w:t> </w:t>
      </w:r>
      <w:r w:rsidR="005370A8">
        <w:rPr>
          <w:lang w:eastAsia="pl-PL"/>
        </w:rPr>
        <w:t>dwóch zakresów: polityki prorodzinnej, wspierania rodziny, systemu pieczy zastępczej, pomocy społecznej, promocji i ochrony zdrowia, wspierania osób niepełnosprawnych, edukacji publicznej, przeciwdziałania bezrobociu, kultury, kultury fizycznej i turystyki, pobudzania aktywności obywatelskiej, mieszkalnictwa, ochrony środowiska oraz reintegracji zawodowej i społecznej. Z</w:t>
      </w:r>
      <w:r>
        <w:rPr>
          <w:lang w:eastAsia="pl-PL"/>
        </w:rPr>
        <w:t> </w:t>
      </w:r>
      <w:r w:rsidR="005370A8">
        <w:rPr>
          <w:lang w:eastAsia="pl-PL"/>
        </w:rPr>
        <w:t>założenia, usługi proponowane przez nowy podmiot mają mieć charakter usług powszechnych skierowanych do społeczności lokalnej, inaczej niż działania MOPS, których charakter jest selektywny (skierowany tylko i wyłączne do beneficjentów pomocy społecznej).</w:t>
      </w:r>
    </w:p>
    <w:p w14:paraId="11CEC8F9" w14:textId="6218F933" w:rsidR="005370A8" w:rsidRDefault="005370A8" w:rsidP="005370A8">
      <w:pPr>
        <w:rPr>
          <w:lang w:eastAsia="pl-PL"/>
        </w:rPr>
      </w:pPr>
      <w:r>
        <w:rPr>
          <w:lang w:eastAsia="pl-PL"/>
        </w:rPr>
        <w:lastRenderedPageBreak/>
        <w:t>Obecny MOPS, po przekształceniu w Centrum Usług Społecznych, zostanie przeniesiony do nowej siedziby</w:t>
      </w:r>
      <w:r w:rsidR="000F342A">
        <w:rPr>
          <w:lang w:eastAsia="pl-PL"/>
        </w:rPr>
        <w:t xml:space="preserve"> </w:t>
      </w:r>
      <w:r>
        <w:rPr>
          <w:lang w:eastAsia="pl-PL"/>
        </w:rPr>
        <w:t>budynku przy ul. 1</w:t>
      </w:r>
      <w:r w:rsidR="000F342A">
        <w:rPr>
          <w:lang w:eastAsia="pl-PL"/>
        </w:rPr>
        <w:t>-</w:t>
      </w:r>
      <w:r>
        <w:rPr>
          <w:lang w:eastAsia="pl-PL"/>
        </w:rPr>
        <w:t>go Maja 7, w którym mieści się również szkoła podstawowa i przedszkole. Przedsięwzięcie obejmuje wszelkie czynności i koszty związane z przeprowadzeniem procedury przekształcenia MOPS w CUS w tym: przygotowanie dokumentacji, podniesienie kwalifikacji pracowników, organizacja oferty usług społecznych i związane z tym przygotowanie infrastruktury (remonty, wyposażenie).</w:t>
      </w:r>
    </w:p>
    <w:p w14:paraId="4A52B5FD" w14:textId="77777777" w:rsidR="006734CE" w:rsidRPr="006734CE" w:rsidRDefault="006734CE" w:rsidP="006734CE">
      <w:pPr>
        <w:rPr>
          <w:lang w:eastAsia="pl-PL"/>
        </w:rPr>
      </w:pPr>
      <w:r w:rsidRPr="006734CE">
        <w:rPr>
          <w:lang w:eastAsia="pl-PL"/>
        </w:rPr>
        <w:t>Zadanie to wyznaczone zostało w Gminnym programie rewitalizacji dla Gminy Tarnogród na lata 2024-2030.</w:t>
      </w:r>
    </w:p>
    <w:p w14:paraId="5222083C" w14:textId="77777777" w:rsidR="00DC5A98" w:rsidRPr="00DC5A98" w:rsidRDefault="00DC5A98" w:rsidP="00DC5A98">
      <w:pPr>
        <w:rPr>
          <w:lang w:eastAsia="pl-PL"/>
        </w:rPr>
      </w:pPr>
    </w:p>
    <w:p w14:paraId="21571080" w14:textId="4F959A73" w:rsidR="00DC5A98" w:rsidRDefault="00DC5A98" w:rsidP="00DC5A98">
      <w:pPr>
        <w:pStyle w:val="Nagwek4"/>
        <w:rPr>
          <w:rFonts w:eastAsia="Calibri"/>
        </w:rPr>
      </w:pPr>
      <w:r w:rsidRPr="00BC3DFC">
        <w:rPr>
          <w:rFonts w:eastAsia="Calibri"/>
        </w:rPr>
        <w:t>Rozwój usług społecznych</w:t>
      </w:r>
    </w:p>
    <w:p w14:paraId="164B18AC" w14:textId="338C6015" w:rsidR="0008743A" w:rsidRDefault="0008743A" w:rsidP="0008743A">
      <w:pPr>
        <w:rPr>
          <w:lang w:eastAsia="pl-PL"/>
        </w:rPr>
      </w:pPr>
      <w:r>
        <w:rPr>
          <w:lang w:eastAsia="pl-PL"/>
        </w:rPr>
        <w:t>Kolejnym zadaniem wyznaczonym w celu wsparcia osób starszych, niepełnosprawnych, potrzebujących wsparcia, szczególnie narażonych na zmiany klimatu jest rozwój usług społecznych.</w:t>
      </w:r>
    </w:p>
    <w:p w14:paraId="2AE338CC" w14:textId="0A5BC1BA" w:rsidR="0008743A" w:rsidRDefault="0008743A" w:rsidP="0008743A">
      <w:pPr>
        <w:rPr>
          <w:lang w:eastAsia="pl-PL"/>
        </w:rPr>
      </w:pPr>
      <w:r>
        <w:rPr>
          <w:lang w:eastAsia="pl-PL"/>
        </w:rPr>
        <w:t>Projekt obejmuje świadczenie nieodpłatnych usług opiekuńczo rehabilitacyjnych, psychologicznych i pielęgnacyjnych (również o znaczeniu opieki wytchnieniowej), skierowanych do osób starszych, niepełnosprawnych, potrzebujących wsparcia. Owe wsparcie świadczone będzie w domach podopiecznych, na zasadzie usług asystenckich.</w:t>
      </w:r>
    </w:p>
    <w:p w14:paraId="6A06AD51" w14:textId="77777777" w:rsidR="0008743A" w:rsidRDefault="0008743A" w:rsidP="0008743A">
      <w:pPr>
        <w:rPr>
          <w:lang w:eastAsia="pl-PL"/>
        </w:rPr>
      </w:pPr>
      <w:r>
        <w:rPr>
          <w:lang w:eastAsia="pl-PL"/>
        </w:rPr>
        <w:t>Projekt realizuje horyzontalną zasadę deinstytucjonalizacji, tzn. że:</w:t>
      </w:r>
    </w:p>
    <w:p w14:paraId="6E0AE2AF" w14:textId="273E40B2" w:rsidR="0008743A" w:rsidRDefault="0008743A">
      <w:pPr>
        <w:pStyle w:val="Akapitzlist"/>
        <w:numPr>
          <w:ilvl w:val="0"/>
          <w:numId w:val="102"/>
        </w:numPr>
        <w:rPr>
          <w:lang w:eastAsia="pl-PL"/>
        </w:rPr>
      </w:pPr>
      <w:r>
        <w:rPr>
          <w:lang w:eastAsia="pl-PL"/>
        </w:rPr>
        <w:t>usługi świadczone będą w sposób zindywidualizowany (dostosowany do potrzeb i możliwości podopiecznych),</w:t>
      </w:r>
    </w:p>
    <w:p w14:paraId="56D2FBCC" w14:textId="57754317" w:rsidR="0008743A" w:rsidRDefault="0008743A">
      <w:pPr>
        <w:pStyle w:val="Akapitzlist"/>
        <w:numPr>
          <w:ilvl w:val="0"/>
          <w:numId w:val="102"/>
        </w:numPr>
        <w:rPr>
          <w:lang w:eastAsia="pl-PL"/>
        </w:rPr>
      </w:pPr>
      <w:r>
        <w:rPr>
          <w:lang w:eastAsia="pl-PL"/>
        </w:rPr>
        <w:t>indywidualne potrzeby podopiecznych będą miały pierwszeństwo przed wymaganiami organizacyjnymi,</w:t>
      </w:r>
    </w:p>
    <w:p w14:paraId="2102C01D" w14:textId="199C1B20" w:rsidR="0008743A" w:rsidRDefault="0008743A">
      <w:pPr>
        <w:pStyle w:val="Akapitzlist"/>
        <w:numPr>
          <w:ilvl w:val="0"/>
          <w:numId w:val="102"/>
        </w:numPr>
        <w:rPr>
          <w:lang w:eastAsia="pl-PL"/>
        </w:rPr>
      </w:pPr>
      <w:r>
        <w:rPr>
          <w:lang w:eastAsia="pl-PL"/>
        </w:rPr>
        <w:t>podopieczni będą mieli pełną decyzyjność odnoście świadczonych względem nich usług,</w:t>
      </w:r>
    </w:p>
    <w:p w14:paraId="2DC97FEA" w14:textId="0DAE601D" w:rsidR="0008743A" w:rsidRDefault="0008743A">
      <w:pPr>
        <w:pStyle w:val="Akapitzlist"/>
        <w:numPr>
          <w:ilvl w:val="0"/>
          <w:numId w:val="102"/>
        </w:numPr>
        <w:rPr>
          <w:lang w:eastAsia="pl-PL"/>
        </w:rPr>
      </w:pPr>
      <w:r>
        <w:rPr>
          <w:lang w:eastAsia="pl-PL"/>
        </w:rPr>
        <w:t>respektowane będą osobiste granice kontaktu społecznego każdego z podopiecznych nie będą oni zmuszani do aktywności zespołowych, jeżeli nie wyrażą takiej chęci oraz nie będą izolowani od ogółu społeczności, w sytuacji gdy wskażą na potrzebę obcowania z innymi.</w:t>
      </w:r>
    </w:p>
    <w:p w14:paraId="6269EE2E" w14:textId="263D0276" w:rsidR="00DC5A98" w:rsidRDefault="0008743A" w:rsidP="0008743A">
      <w:pPr>
        <w:rPr>
          <w:lang w:eastAsia="pl-PL"/>
        </w:rPr>
      </w:pPr>
      <w:r>
        <w:rPr>
          <w:lang w:eastAsia="pl-PL"/>
        </w:rPr>
        <w:t>Inwestycja obejmuje także koszty zatrudnienia czterech osób oraz realizację przez nie ww. usług.</w:t>
      </w:r>
    </w:p>
    <w:p w14:paraId="5FF8F760" w14:textId="77777777" w:rsidR="00592D25" w:rsidRPr="006734CE" w:rsidRDefault="00592D25" w:rsidP="00592D25">
      <w:pPr>
        <w:rPr>
          <w:lang w:eastAsia="pl-PL"/>
        </w:rPr>
      </w:pPr>
      <w:r w:rsidRPr="006734CE">
        <w:rPr>
          <w:lang w:eastAsia="pl-PL"/>
        </w:rPr>
        <w:t>Zadanie to wyznaczone zostało w Gminnym programie rewitalizacji dla Gminy Tarnogród na lata 2024-2030.</w:t>
      </w:r>
    </w:p>
    <w:p w14:paraId="31352C80" w14:textId="77777777" w:rsidR="00592D25" w:rsidRPr="00DC5A98" w:rsidRDefault="00592D25" w:rsidP="00DC5A98">
      <w:pPr>
        <w:rPr>
          <w:lang w:eastAsia="pl-PL"/>
        </w:rPr>
      </w:pPr>
    </w:p>
    <w:p w14:paraId="2420CB3B" w14:textId="77777777" w:rsidR="00DC5A98" w:rsidRDefault="00DC5A98" w:rsidP="00DC5A98">
      <w:pPr>
        <w:pStyle w:val="Nagwek4"/>
        <w:rPr>
          <w:rFonts w:eastAsia="Calibri"/>
        </w:rPr>
      </w:pPr>
      <w:r w:rsidRPr="00BC3DFC">
        <w:rPr>
          <w:rFonts w:eastAsia="Calibri"/>
        </w:rPr>
        <w:t>Modernizacja Środowiskowego Domu Samopomocy</w:t>
      </w:r>
    </w:p>
    <w:p w14:paraId="6DAE3C82" w14:textId="11A2A818" w:rsidR="00DC5A98" w:rsidRDefault="002530E0" w:rsidP="00DC5A98">
      <w:pPr>
        <w:rPr>
          <w:lang w:eastAsia="pl-PL"/>
        </w:rPr>
      </w:pPr>
      <w:r>
        <w:rPr>
          <w:lang w:eastAsia="pl-PL"/>
        </w:rPr>
        <w:t xml:space="preserve">Środowiskowy Dom Samopomocy </w:t>
      </w:r>
      <w:r w:rsidRPr="002530E0">
        <w:rPr>
          <w:lang w:eastAsia="pl-PL"/>
        </w:rPr>
        <w:t>jest dziennym ośrodkiem wsparcia dla osób niepełnosprawnych, swoją działalnością obejmuje osoby przewlekle chore psychicznie, niepełnosprawne intelektualnie i</w:t>
      </w:r>
      <w:r>
        <w:rPr>
          <w:lang w:eastAsia="pl-PL"/>
        </w:rPr>
        <w:t> </w:t>
      </w:r>
      <w:r w:rsidRPr="002530E0">
        <w:rPr>
          <w:lang w:eastAsia="pl-PL"/>
        </w:rPr>
        <w:t>osoby wykazujące inne przewlekłe zaburzenia czynności psychicznych.</w:t>
      </w:r>
    </w:p>
    <w:p w14:paraId="63C41FB7" w14:textId="1A33AC18" w:rsidR="002530E0" w:rsidRDefault="002530E0" w:rsidP="00DC5A98">
      <w:pPr>
        <w:rPr>
          <w:lang w:eastAsia="pl-PL"/>
        </w:rPr>
      </w:pPr>
      <w:r w:rsidRPr="002530E0">
        <w:rPr>
          <w:lang w:eastAsia="pl-PL"/>
        </w:rPr>
        <w:t>Dyrekcja Środowiskowego Domu Samopomocy zgłasza potrzeby z zakresu: montażu klimatyzacji w</w:t>
      </w:r>
      <w:r>
        <w:rPr>
          <w:lang w:eastAsia="pl-PL"/>
        </w:rPr>
        <w:t> </w:t>
      </w:r>
      <w:r w:rsidRPr="002530E0">
        <w:rPr>
          <w:lang w:eastAsia="pl-PL"/>
        </w:rPr>
        <w:t>salach terapeutycznych, modernizacji kotła gazowego i instalacji paneli fotowoltaicznych.</w:t>
      </w:r>
      <w:r>
        <w:rPr>
          <w:lang w:eastAsia="pl-PL"/>
        </w:rPr>
        <w:t xml:space="preserve"> Rozwiązania te pomogą świadczyć lepsze usługi z zakresu wsparcia oraz wspomoże osoby wrażliwe </w:t>
      </w:r>
      <w:r w:rsidR="001B2982">
        <w:rPr>
          <w:lang w:eastAsia="pl-PL"/>
        </w:rPr>
        <w:t>funkcjonować w warunkach zmieniającego się klimatu.</w:t>
      </w:r>
    </w:p>
    <w:p w14:paraId="6B766E10" w14:textId="77777777" w:rsidR="001B2982" w:rsidRPr="00DC5A98" w:rsidRDefault="001B2982" w:rsidP="00DC5A98">
      <w:pPr>
        <w:rPr>
          <w:lang w:eastAsia="pl-PL"/>
        </w:rPr>
      </w:pPr>
    </w:p>
    <w:p w14:paraId="192149E9" w14:textId="77777777" w:rsidR="00DC5A98" w:rsidRDefault="00DC5A98" w:rsidP="00DC5A98">
      <w:pPr>
        <w:pStyle w:val="Nagwek4"/>
        <w:rPr>
          <w:rFonts w:eastAsia="Calibri"/>
        </w:rPr>
      </w:pPr>
      <w:r w:rsidRPr="00BC3DFC">
        <w:rPr>
          <w:rFonts w:eastAsia="Calibri"/>
        </w:rPr>
        <w:t>Rozwój systemu monitoringu i ostrzegania przed ekstremalnymi zjawiskami pogodowymi</w:t>
      </w:r>
    </w:p>
    <w:p w14:paraId="49B6ACB2" w14:textId="4CD806FA" w:rsidR="00DC5A98" w:rsidRPr="00592D25" w:rsidRDefault="00DC5A98" w:rsidP="00DC5A98">
      <w:pPr>
        <w:tabs>
          <w:tab w:val="left" w:pos="3119"/>
        </w:tabs>
        <w:rPr>
          <w:rFonts w:cstheme="minorHAnsi"/>
          <w:color w:val="auto"/>
        </w:rPr>
      </w:pPr>
      <w:r w:rsidRPr="00592D25">
        <w:rPr>
          <w:rFonts w:cstheme="minorHAnsi"/>
          <w:color w:val="auto"/>
        </w:rPr>
        <w:t xml:space="preserve">Wśród działań adaptacyjnych powinna znaleźć </w:t>
      </w:r>
      <w:r w:rsidR="001B2982" w:rsidRPr="00592D25">
        <w:rPr>
          <w:rFonts w:cstheme="minorHAnsi"/>
          <w:color w:val="auto"/>
        </w:rPr>
        <w:t xml:space="preserve">się </w:t>
      </w:r>
      <w:r w:rsidR="001B2982">
        <w:rPr>
          <w:rFonts w:cstheme="minorHAnsi"/>
          <w:color w:val="auto"/>
        </w:rPr>
        <w:t xml:space="preserve">także </w:t>
      </w:r>
      <w:r w:rsidRPr="00592D25">
        <w:rPr>
          <w:rFonts w:cstheme="minorHAnsi"/>
          <w:color w:val="auto"/>
        </w:rPr>
        <w:t>analiza możliwości alarmowania oraz systemu wczesnego ostrzegania w zakresie informowania o sytuacjach kryzysowych w mieście</w:t>
      </w:r>
      <w:r w:rsidR="001B2982">
        <w:rPr>
          <w:rFonts w:cstheme="minorHAnsi"/>
          <w:color w:val="auto"/>
        </w:rPr>
        <w:t>,</w:t>
      </w:r>
      <w:r w:rsidRPr="00592D25">
        <w:rPr>
          <w:rFonts w:cstheme="minorHAnsi"/>
          <w:color w:val="auto"/>
        </w:rPr>
        <w:t xml:space="preserve"> związanych ze zmianami klimatycznymi oraz ewentualne rozszerzenie systemu powiadamiania.</w:t>
      </w:r>
    </w:p>
    <w:p w14:paraId="000C171D" w14:textId="7932DC83" w:rsidR="00DC5A98" w:rsidRPr="00592D25" w:rsidRDefault="00DC5A98" w:rsidP="00DC5A98">
      <w:pPr>
        <w:tabs>
          <w:tab w:val="left" w:pos="3119"/>
        </w:tabs>
        <w:rPr>
          <w:rFonts w:cstheme="minorHAnsi"/>
          <w:color w:val="auto"/>
        </w:rPr>
      </w:pPr>
      <w:r w:rsidRPr="00592D25">
        <w:rPr>
          <w:rFonts w:cstheme="minorHAnsi"/>
          <w:color w:val="auto"/>
        </w:rPr>
        <w:lastRenderedPageBreak/>
        <w:t>Dla szybkiego i skutecznego przystosowywania się miasta do zmian klimatu ważne jest śledzenie i analiza zachodzących zmian. Adaptacja jest procesem ciągłym, a działania adaptacyjne powinny podążać za zachodzącymi zmianami. Dlatego tak istotny będzie rozwój systemu monitoringu i gromadzenia danych o zjawiskach związanych ze zmianami klimatu. Pozwoli on na śledzenie bieżących zmian na omawianym obszarze i</w:t>
      </w:r>
      <w:r w:rsidR="001B2982">
        <w:rPr>
          <w:rFonts w:cstheme="minorHAnsi"/>
          <w:color w:val="auto"/>
        </w:rPr>
        <w:t xml:space="preserve"> </w:t>
      </w:r>
      <w:r w:rsidRPr="00592D25">
        <w:rPr>
          <w:rFonts w:cstheme="minorHAnsi"/>
          <w:color w:val="auto"/>
        </w:rPr>
        <w:t>wprowadzanie odpowiednich modyfikacji w zaproponowanych działaniach adaptacyjnych.</w:t>
      </w:r>
    </w:p>
    <w:p w14:paraId="0F1D80FA" w14:textId="77777777" w:rsidR="008B6E6D" w:rsidRDefault="008B6E6D" w:rsidP="00DC5A98">
      <w:pPr>
        <w:tabs>
          <w:tab w:val="left" w:pos="3119"/>
        </w:tabs>
        <w:rPr>
          <w:rFonts w:cstheme="minorHAnsi"/>
          <w:color w:val="auto"/>
        </w:rPr>
      </w:pPr>
    </w:p>
    <w:p w14:paraId="1303651F" w14:textId="2CA939C0" w:rsidR="008B6E6D" w:rsidRDefault="008B6E6D" w:rsidP="008B6E6D">
      <w:pPr>
        <w:pStyle w:val="Nagwek4"/>
      </w:pPr>
      <w:r>
        <w:t>Aktualizacja planów kryzysowych</w:t>
      </w:r>
    </w:p>
    <w:p w14:paraId="4135411C" w14:textId="1F5D0667" w:rsidR="001B2982" w:rsidRDefault="001B2982" w:rsidP="001B2982">
      <w:pPr>
        <w:rPr>
          <w:rFonts w:cstheme="minorHAnsi"/>
          <w:color w:val="auto"/>
          <w:lang w:eastAsia="pl-PL"/>
        </w:rPr>
      </w:pPr>
      <w:r>
        <w:rPr>
          <w:lang w:eastAsia="pl-PL"/>
        </w:rPr>
        <w:t xml:space="preserve">Miasto nie posiada aktualnie </w:t>
      </w:r>
      <w:r w:rsidRPr="00655FC7">
        <w:rPr>
          <w:rFonts w:cstheme="minorHAnsi"/>
          <w:color w:val="auto"/>
          <w:lang w:eastAsia="pl-PL"/>
        </w:rPr>
        <w:t>wytycznych w razie wystąpienia ekstremalnych zjawisk i</w:t>
      </w:r>
      <w:r>
        <w:rPr>
          <w:rFonts w:cstheme="minorHAnsi"/>
          <w:color w:val="auto"/>
          <w:lang w:eastAsia="pl-PL"/>
        </w:rPr>
        <w:t> </w:t>
      </w:r>
      <w:r w:rsidRPr="00655FC7">
        <w:rPr>
          <w:rFonts w:cstheme="minorHAnsi"/>
          <w:color w:val="auto"/>
          <w:lang w:eastAsia="pl-PL"/>
        </w:rPr>
        <w:t>postępowania w razie nastania klęsk żywiołowych</w:t>
      </w:r>
      <w:r>
        <w:rPr>
          <w:rFonts w:cstheme="minorHAnsi"/>
          <w:color w:val="auto"/>
          <w:lang w:eastAsia="pl-PL"/>
        </w:rPr>
        <w:t xml:space="preserve">. </w:t>
      </w:r>
      <w:r w:rsidR="00757057">
        <w:rPr>
          <w:rFonts w:cstheme="minorHAnsi"/>
          <w:color w:val="auto"/>
          <w:lang w:eastAsia="pl-PL"/>
        </w:rPr>
        <w:t>Brak skoordynowania działań pogarsza sprawne działanie służb, narażając mieszkańców na większe odczuwanie skutków ekstremalnych zjawisk pogodowych.</w:t>
      </w:r>
    </w:p>
    <w:p w14:paraId="24AAD7B8" w14:textId="76E15509" w:rsidR="00FD2C38" w:rsidRPr="001B2982" w:rsidRDefault="00FD2C38" w:rsidP="001B2982">
      <w:pPr>
        <w:rPr>
          <w:lang w:eastAsia="pl-PL"/>
        </w:rPr>
      </w:pPr>
      <w:r>
        <w:rPr>
          <w:rFonts w:cstheme="minorHAnsi"/>
          <w:color w:val="auto"/>
          <w:lang w:eastAsia="pl-PL"/>
        </w:rPr>
        <w:t>Należy opracować plany kryzysowe i stale je aktualizować o nowe wytyczne, rozwiązania oraz nowo pojawiające się zagrożenia. Przynajmniej podstawowe wytyczne i informacje powinny być zamieszczane na stronach internetowych Miasta.</w:t>
      </w:r>
    </w:p>
    <w:p w14:paraId="1DEBE945" w14:textId="77777777" w:rsidR="00DC5A98" w:rsidRDefault="00DC5A98">
      <w:pPr>
        <w:spacing w:after="200"/>
        <w:ind w:firstLine="0"/>
        <w:jc w:val="left"/>
        <w:rPr>
          <w:rFonts w:cstheme="minorHAnsi"/>
          <w:color w:val="auto"/>
        </w:rPr>
      </w:pPr>
      <w:r>
        <w:rPr>
          <w:rFonts w:cstheme="minorHAnsi"/>
          <w:color w:val="auto"/>
        </w:rPr>
        <w:br w:type="page"/>
      </w:r>
    </w:p>
    <w:p w14:paraId="2FBC9585" w14:textId="1AC7A51F" w:rsidR="00B601AA" w:rsidRPr="00655FC7" w:rsidRDefault="00880211" w:rsidP="00037816">
      <w:pPr>
        <w:pStyle w:val="Nagwek3"/>
      </w:pPr>
      <w:bookmarkStart w:id="263" w:name="_Toc177732089"/>
      <w:r>
        <w:lastRenderedPageBreak/>
        <w:t>Edukacja</w:t>
      </w:r>
      <w:bookmarkEnd w:id="263"/>
    </w:p>
    <w:tbl>
      <w:tblPr>
        <w:tblStyle w:val="Tabela-Siatka"/>
        <w:tblW w:w="0" w:type="auto"/>
        <w:tblLook w:val="04A0" w:firstRow="1" w:lastRow="0" w:firstColumn="1" w:lastColumn="0" w:noHBand="0" w:noVBand="1"/>
      </w:tblPr>
      <w:tblGrid>
        <w:gridCol w:w="1668"/>
        <w:gridCol w:w="7402"/>
      </w:tblGrid>
      <w:tr w:rsidR="00BC3DFC" w14:paraId="7E74DED1" w14:textId="77777777" w:rsidTr="001E5985">
        <w:trPr>
          <w:trHeight w:val="1037"/>
        </w:trPr>
        <w:tc>
          <w:tcPr>
            <w:tcW w:w="1668" w:type="dxa"/>
            <w:tcBorders>
              <w:top w:val="nil"/>
              <w:left w:val="nil"/>
              <w:bottom w:val="single" w:sz="24" w:space="0" w:color="FFFFFF" w:themeColor="background1"/>
              <w:right w:val="single" w:sz="24" w:space="0" w:color="FFFFFF" w:themeColor="background1"/>
            </w:tcBorders>
            <w:shd w:val="clear" w:color="auto" w:fill="C3E098" w:themeFill="accent1" w:themeFillTint="66"/>
          </w:tcPr>
          <w:p w14:paraId="71E79467" w14:textId="77777777" w:rsidR="00BC3DFC" w:rsidRDefault="00BC3DFC" w:rsidP="001E5985">
            <w:pPr>
              <w:ind w:firstLine="0"/>
              <w:rPr>
                <w:rFonts w:eastAsia="Calibri" w:cstheme="minorHAnsi"/>
                <w:color w:val="auto"/>
              </w:rPr>
            </w:pPr>
            <w:r>
              <w:rPr>
                <w:rFonts w:eastAsia="Calibri" w:cstheme="minorHAnsi"/>
                <w:noProof/>
                <w:color w:val="auto"/>
              </w:rPr>
              <w:drawing>
                <wp:inline distT="0" distB="0" distL="0" distR="0" wp14:anchorId="5D07A1BE" wp14:editId="5B5B13A4">
                  <wp:extent cx="914400" cy="914400"/>
                  <wp:effectExtent l="0" t="0" r="0" b="0"/>
                  <wp:docPr id="966584237" name="Grafika 65" descr="Znaczek 6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584237" name="Grafika 65" descr="Znaczek 6 z wypełnieniem pełnym"/>
                          <pic:cNvPicPr/>
                        </pic:nvPicPr>
                        <pic:blipFill>
                          <a:blip r:embed="rId182">
                            <a:extLst>
                              <a:ext uri="{96DAC541-7B7A-43D3-8B79-37D633B846F1}">
                                <asvg:svgBlip xmlns:asvg="http://schemas.microsoft.com/office/drawing/2016/SVG/main" r:embed="rId183"/>
                              </a:ext>
                            </a:extLst>
                          </a:blip>
                          <a:stretch>
                            <a:fillRect/>
                          </a:stretch>
                        </pic:blipFill>
                        <pic:spPr>
                          <a:xfrm>
                            <a:off x="0" y="0"/>
                            <a:ext cx="914400" cy="914400"/>
                          </a:xfrm>
                          <a:prstGeom prst="rect">
                            <a:avLst/>
                          </a:prstGeom>
                        </pic:spPr>
                      </pic:pic>
                    </a:graphicData>
                  </a:graphic>
                </wp:inline>
              </w:drawing>
            </w:r>
          </w:p>
        </w:tc>
        <w:tc>
          <w:tcPr>
            <w:tcW w:w="7544" w:type="dxa"/>
            <w:tcBorders>
              <w:top w:val="nil"/>
              <w:left w:val="single" w:sz="24" w:space="0" w:color="FFFFFF" w:themeColor="background1"/>
              <w:bottom w:val="single" w:sz="24" w:space="0" w:color="FFFFFF" w:themeColor="background1"/>
              <w:right w:val="nil"/>
            </w:tcBorders>
            <w:shd w:val="clear" w:color="auto" w:fill="C3E098" w:themeFill="accent1" w:themeFillTint="66"/>
            <w:vAlign w:val="center"/>
          </w:tcPr>
          <w:p w14:paraId="5C35290E" w14:textId="13BBA5BA" w:rsidR="00BC3DFC" w:rsidRPr="003602EA" w:rsidRDefault="00411C8D" w:rsidP="001E5985">
            <w:pPr>
              <w:ind w:firstLine="0"/>
              <w:jc w:val="left"/>
              <w:rPr>
                <w:rFonts w:eastAsia="Calibri" w:cstheme="minorHAnsi"/>
                <w:b/>
                <w:bCs/>
                <w:color w:val="auto"/>
                <w:sz w:val="36"/>
                <w:szCs w:val="36"/>
              </w:rPr>
            </w:pPr>
            <w:r>
              <w:rPr>
                <w:rFonts w:eastAsia="Calibri" w:cstheme="minorHAnsi"/>
                <w:b/>
                <w:bCs/>
                <w:color w:val="auto"/>
                <w:sz w:val="36"/>
                <w:szCs w:val="36"/>
              </w:rPr>
              <w:t>EDUKACJA: angażowanie społeczeństwa w działania związanie z ochroną środowiska i klimatu</w:t>
            </w:r>
          </w:p>
        </w:tc>
      </w:tr>
      <w:tr w:rsidR="00BC3DFC" w14:paraId="0A6B9A35" w14:textId="77777777" w:rsidTr="001E5985">
        <w:trPr>
          <w:trHeight w:val="3167"/>
        </w:trPr>
        <w:tc>
          <w:tcPr>
            <w:tcW w:w="9212" w:type="dxa"/>
            <w:gridSpan w:val="2"/>
            <w:tcBorders>
              <w:top w:val="single" w:sz="24" w:space="0" w:color="FFFFFF" w:themeColor="background1"/>
              <w:left w:val="single" w:sz="24" w:space="0" w:color="FFFFFF" w:themeColor="background1"/>
              <w:bottom w:val="single" w:sz="24" w:space="0" w:color="FFFFFF" w:themeColor="background1"/>
              <w:right w:val="single" w:sz="24" w:space="0" w:color="FFFFFF" w:themeColor="background1"/>
            </w:tcBorders>
            <w:shd w:val="clear" w:color="auto" w:fill="F2F6EA" w:themeFill="accent6" w:themeFillTint="33"/>
          </w:tcPr>
          <w:p w14:paraId="1A4E823E" w14:textId="77777777" w:rsidR="00411C8D" w:rsidRPr="00411C8D" w:rsidRDefault="00411C8D">
            <w:pPr>
              <w:pStyle w:val="Akapitzlist"/>
              <w:numPr>
                <w:ilvl w:val="0"/>
                <w:numId w:val="92"/>
              </w:numPr>
              <w:spacing w:before="240" w:line="360" w:lineRule="auto"/>
              <w:rPr>
                <w:rFonts w:eastAsia="Calibri" w:cstheme="minorHAnsi"/>
                <w:color w:val="auto"/>
                <w:sz w:val="24"/>
                <w:szCs w:val="24"/>
              </w:rPr>
            </w:pPr>
            <w:r w:rsidRPr="00411C8D">
              <w:rPr>
                <w:rFonts w:eastAsia="Calibri" w:cstheme="minorHAnsi"/>
                <w:color w:val="auto"/>
                <w:sz w:val="24"/>
                <w:szCs w:val="24"/>
              </w:rPr>
              <w:t xml:space="preserve">Proekologiczna postawa mieszkańców </w:t>
            </w:r>
          </w:p>
          <w:p w14:paraId="50E752F9" w14:textId="77777777" w:rsidR="00411C8D" w:rsidRPr="00411C8D" w:rsidRDefault="00411C8D">
            <w:pPr>
              <w:pStyle w:val="Akapitzlist"/>
              <w:numPr>
                <w:ilvl w:val="0"/>
                <w:numId w:val="92"/>
              </w:numPr>
              <w:spacing w:before="240" w:line="360" w:lineRule="auto"/>
              <w:rPr>
                <w:rFonts w:eastAsia="Calibri" w:cstheme="minorHAnsi"/>
                <w:color w:val="auto"/>
                <w:sz w:val="24"/>
                <w:szCs w:val="24"/>
              </w:rPr>
            </w:pPr>
            <w:r w:rsidRPr="00411C8D">
              <w:rPr>
                <w:rFonts w:eastAsia="Calibri" w:cstheme="minorHAnsi"/>
                <w:color w:val="auto"/>
                <w:sz w:val="24"/>
                <w:szCs w:val="24"/>
              </w:rPr>
              <w:t>Lekcje ekologiczne dla dzieci</w:t>
            </w:r>
          </w:p>
          <w:p w14:paraId="5566FB1D" w14:textId="77777777" w:rsidR="00411C8D" w:rsidRPr="00411C8D" w:rsidRDefault="00411C8D">
            <w:pPr>
              <w:pStyle w:val="Akapitzlist"/>
              <w:numPr>
                <w:ilvl w:val="0"/>
                <w:numId w:val="92"/>
              </w:numPr>
              <w:spacing w:before="240" w:line="360" w:lineRule="auto"/>
              <w:rPr>
                <w:rFonts w:eastAsia="Calibri" w:cstheme="minorHAnsi"/>
                <w:color w:val="auto"/>
                <w:sz w:val="24"/>
                <w:szCs w:val="24"/>
              </w:rPr>
            </w:pPr>
            <w:r w:rsidRPr="00411C8D">
              <w:rPr>
                <w:rFonts w:eastAsia="Calibri" w:cstheme="minorHAnsi"/>
                <w:color w:val="auto"/>
                <w:sz w:val="24"/>
                <w:szCs w:val="24"/>
              </w:rPr>
              <w:t>Kampania informacyjna skierowana do przedsiębiorców</w:t>
            </w:r>
          </w:p>
          <w:p w14:paraId="6ABC6D83" w14:textId="77777777" w:rsidR="00411C8D" w:rsidRPr="00411C8D" w:rsidRDefault="00411C8D">
            <w:pPr>
              <w:pStyle w:val="Akapitzlist"/>
              <w:numPr>
                <w:ilvl w:val="0"/>
                <w:numId w:val="92"/>
              </w:numPr>
              <w:spacing w:before="240" w:line="360" w:lineRule="auto"/>
              <w:rPr>
                <w:rFonts w:eastAsia="Calibri" w:cstheme="minorHAnsi"/>
                <w:color w:val="auto"/>
                <w:sz w:val="24"/>
                <w:szCs w:val="24"/>
              </w:rPr>
            </w:pPr>
            <w:r w:rsidRPr="00411C8D">
              <w:rPr>
                <w:rFonts w:eastAsia="Calibri" w:cstheme="minorHAnsi"/>
                <w:color w:val="auto"/>
                <w:sz w:val="24"/>
                <w:szCs w:val="24"/>
              </w:rPr>
              <w:t>Pokazy filmów o tematyce ekologicznej</w:t>
            </w:r>
          </w:p>
          <w:p w14:paraId="59C21C98" w14:textId="77777777" w:rsidR="00411C8D" w:rsidRPr="00411C8D" w:rsidRDefault="00411C8D">
            <w:pPr>
              <w:pStyle w:val="Akapitzlist"/>
              <w:numPr>
                <w:ilvl w:val="0"/>
                <w:numId w:val="92"/>
              </w:numPr>
              <w:spacing w:before="240" w:line="360" w:lineRule="auto"/>
              <w:rPr>
                <w:rFonts w:eastAsia="Calibri" w:cstheme="minorHAnsi"/>
                <w:color w:val="auto"/>
                <w:sz w:val="24"/>
                <w:szCs w:val="24"/>
              </w:rPr>
            </w:pPr>
            <w:r w:rsidRPr="00411C8D">
              <w:rPr>
                <w:rFonts w:eastAsia="Calibri" w:cstheme="minorHAnsi"/>
                <w:color w:val="auto"/>
                <w:sz w:val="24"/>
                <w:szCs w:val="24"/>
              </w:rPr>
              <w:t>Spotkania dyskusyjne nad książkami o tematyce ekologicznej</w:t>
            </w:r>
          </w:p>
          <w:p w14:paraId="06CFE38A" w14:textId="77777777" w:rsidR="00411C8D" w:rsidRPr="00411C8D" w:rsidRDefault="00411C8D">
            <w:pPr>
              <w:pStyle w:val="Akapitzlist"/>
              <w:numPr>
                <w:ilvl w:val="0"/>
                <w:numId w:val="92"/>
              </w:numPr>
              <w:spacing w:before="240" w:line="360" w:lineRule="auto"/>
              <w:rPr>
                <w:rFonts w:eastAsia="Calibri" w:cstheme="minorHAnsi"/>
                <w:color w:val="auto"/>
                <w:sz w:val="24"/>
                <w:szCs w:val="24"/>
              </w:rPr>
            </w:pPr>
            <w:r w:rsidRPr="00411C8D">
              <w:rPr>
                <w:rFonts w:eastAsia="Calibri" w:cstheme="minorHAnsi"/>
                <w:color w:val="auto"/>
                <w:sz w:val="24"/>
                <w:szCs w:val="24"/>
              </w:rPr>
              <w:t>Czytanie dla dzieci książek o tematyce ekologicznej</w:t>
            </w:r>
          </w:p>
          <w:p w14:paraId="7058E352" w14:textId="77777777" w:rsidR="00411C8D" w:rsidRPr="00411C8D" w:rsidRDefault="00411C8D">
            <w:pPr>
              <w:pStyle w:val="Akapitzlist"/>
              <w:numPr>
                <w:ilvl w:val="0"/>
                <w:numId w:val="92"/>
              </w:numPr>
              <w:spacing w:before="240" w:line="360" w:lineRule="auto"/>
              <w:rPr>
                <w:rFonts w:eastAsia="Calibri" w:cstheme="minorHAnsi"/>
                <w:color w:val="auto"/>
                <w:sz w:val="24"/>
                <w:szCs w:val="24"/>
              </w:rPr>
            </w:pPr>
            <w:r w:rsidRPr="00411C8D">
              <w:rPr>
                <w:rFonts w:eastAsia="Calibri" w:cstheme="minorHAnsi"/>
                <w:color w:val="auto"/>
                <w:sz w:val="24"/>
                <w:szCs w:val="24"/>
              </w:rPr>
              <w:t>Spektakle teatralne przeplatające tematy ekologiczne</w:t>
            </w:r>
          </w:p>
          <w:p w14:paraId="446C50FC" w14:textId="1D15B7DA" w:rsidR="00BC3DFC" w:rsidRPr="006450DE" w:rsidRDefault="00411C8D">
            <w:pPr>
              <w:pStyle w:val="Akapitzlist"/>
              <w:numPr>
                <w:ilvl w:val="0"/>
                <w:numId w:val="92"/>
              </w:numPr>
              <w:spacing w:line="360" w:lineRule="auto"/>
              <w:rPr>
                <w:rFonts w:eastAsia="Calibri" w:cstheme="minorHAnsi"/>
                <w:color w:val="auto"/>
              </w:rPr>
            </w:pPr>
            <w:r w:rsidRPr="00411C8D">
              <w:rPr>
                <w:rFonts w:eastAsia="Calibri" w:cstheme="minorHAnsi"/>
                <w:color w:val="auto"/>
                <w:sz w:val="24"/>
                <w:szCs w:val="24"/>
              </w:rPr>
              <w:t>Wspieranie organizacji pozarządowych w działaniach związanych z tematyką ochrony przyrody</w:t>
            </w:r>
          </w:p>
        </w:tc>
      </w:tr>
      <w:bookmarkEnd w:id="247"/>
    </w:tbl>
    <w:p w14:paraId="7AA05811" w14:textId="77777777" w:rsidR="003F074D" w:rsidRPr="00655FC7" w:rsidRDefault="003F074D" w:rsidP="00B84907">
      <w:pPr>
        <w:pStyle w:val="Bezodstpw"/>
        <w:tabs>
          <w:tab w:val="left" w:pos="3119"/>
        </w:tabs>
        <w:rPr>
          <w:rFonts w:asciiTheme="minorHAnsi" w:hAnsiTheme="minorHAnsi" w:cstheme="minorHAnsi"/>
        </w:rPr>
      </w:pPr>
    </w:p>
    <w:p w14:paraId="14D4B055" w14:textId="7495667A" w:rsidR="00D4579C" w:rsidRDefault="00D4579C" w:rsidP="00D4579C">
      <w:pPr>
        <w:pStyle w:val="Nagwek4"/>
        <w:rPr>
          <w:rFonts w:eastAsia="Calibri"/>
        </w:rPr>
      </w:pPr>
      <w:r w:rsidRPr="00411C8D">
        <w:rPr>
          <w:rFonts w:eastAsia="Calibri"/>
        </w:rPr>
        <w:t>Proekologiczna postawa mieszkańców</w:t>
      </w:r>
    </w:p>
    <w:p w14:paraId="12889188" w14:textId="1B00C074" w:rsidR="00491157" w:rsidRDefault="00491157" w:rsidP="00491157">
      <w:pPr>
        <w:rPr>
          <w:lang w:eastAsia="pl-PL"/>
        </w:rPr>
      </w:pPr>
      <w:r>
        <w:rPr>
          <w:lang w:eastAsia="pl-PL"/>
        </w:rPr>
        <w:t>Przedsięwzięcie dotyczy uwrażliwienia mieszkańców na zachodzące zmiany klimatyczne oraz sposobów minimalizowania wpływu ich domostw na najbliższe otoczenie. Projekt obejmuje organizację cyklicznych spotkań promocyjno</w:t>
      </w:r>
      <w:r w:rsidR="00FD2C38">
        <w:rPr>
          <w:lang w:eastAsia="pl-PL"/>
        </w:rPr>
        <w:t>-</w:t>
      </w:r>
      <w:r>
        <w:rPr>
          <w:lang w:eastAsia="pl-PL"/>
        </w:rPr>
        <w:t>informacyjnych prowadzonych przez doradcę ekologicznego, na których przedstawione zostaną zarówno przyczyny jak i skutki zmian klimatu oraz propozycje działań im zapobiegających lub minimalizujących. Tematy spotkań obejmować będą ponadto zagadnienia takie jak: instalacje OZE, szkodliwość wyrobów azbestowych oraz niewłaściwe gospodarowanie odpadami. W zakres przedsięwzięcia wchodzą także: plakaty i broszury informacyjne.</w:t>
      </w:r>
    </w:p>
    <w:p w14:paraId="1C43C57B" w14:textId="4F992BD1" w:rsidR="00491157" w:rsidRDefault="00491157" w:rsidP="00491157">
      <w:pPr>
        <w:rPr>
          <w:lang w:eastAsia="pl-PL"/>
        </w:rPr>
      </w:pPr>
      <w:r>
        <w:rPr>
          <w:lang w:eastAsia="pl-PL"/>
        </w:rPr>
        <w:t>Na udział w przedsięwzięciu przewidziano wstępnie 30 miejsc, dedykowanych mieszkańcom Gminy Tarnogród oraz przedsiębiorcom, prowadzącym na terenie Gminy działalność gospodarczą, w</w:t>
      </w:r>
      <w:r w:rsidR="00FD2C38">
        <w:rPr>
          <w:lang w:eastAsia="pl-PL"/>
        </w:rPr>
        <w:t> </w:t>
      </w:r>
      <w:r>
        <w:rPr>
          <w:lang w:eastAsia="pl-PL"/>
        </w:rPr>
        <w:t>szczególności mieszkańcom</w:t>
      </w:r>
      <w:r w:rsidR="006D5EA6">
        <w:rPr>
          <w:lang w:eastAsia="pl-PL"/>
        </w:rPr>
        <w:t>.</w:t>
      </w:r>
      <w:r>
        <w:rPr>
          <w:lang w:eastAsia="pl-PL"/>
        </w:rPr>
        <w:t xml:space="preserve"> Realizacja projektu będzie odbywać się w zrewitalizowanych i</w:t>
      </w:r>
      <w:r w:rsidR="00FD2C38">
        <w:rPr>
          <w:lang w:eastAsia="pl-PL"/>
        </w:rPr>
        <w:t> </w:t>
      </w:r>
      <w:r>
        <w:rPr>
          <w:lang w:eastAsia="pl-PL"/>
        </w:rPr>
        <w:t>przedsiębiorcom z rewitalizowanych obszarów. obiektach (Centrum Aktywności Społecznej Gminy Tarnogród, budynek dawnego Urzędu Miejskiego).</w:t>
      </w:r>
    </w:p>
    <w:p w14:paraId="07CF3B31" w14:textId="72705E99" w:rsidR="00D4579C" w:rsidRDefault="00491157" w:rsidP="00491157">
      <w:pPr>
        <w:rPr>
          <w:lang w:eastAsia="pl-PL"/>
        </w:rPr>
      </w:pPr>
      <w:r>
        <w:rPr>
          <w:lang w:eastAsia="pl-PL"/>
        </w:rPr>
        <w:t>Dodatkowym elementem projektu będzie przeprowadzenie warsztatów proekologicznych w</w:t>
      </w:r>
      <w:r w:rsidR="00FD2C38">
        <w:rPr>
          <w:lang w:eastAsia="pl-PL"/>
        </w:rPr>
        <w:t> </w:t>
      </w:r>
      <w:r>
        <w:rPr>
          <w:lang w:eastAsia="pl-PL"/>
        </w:rPr>
        <w:t>placówkach szkolnych/przedszkolnych na obszarze rewitalizacji, celem kształtowania świadomości ekologicznej najmłodszych członków społeczności lokalnej.</w:t>
      </w:r>
    </w:p>
    <w:p w14:paraId="30AFC6BE" w14:textId="77777777" w:rsidR="00491157" w:rsidRDefault="00491157" w:rsidP="00D4579C">
      <w:pPr>
        <w:rPr>
          <w:lang w:eastAsia="pl-PL"/>
        </w:rPr>
      </w:pPr>
    </w:p>
    <w:p w14:paraId="2E41713C" w14:textId="3EDBC5DC" w:rsidR="00D4579C" w:rsidRPr="00D4579C" w:rsidRDefault="00D4579C" w:rsidP="00D4579C">
      <w:pPr>
        <w:rPr>
          <w:lang w:eastAsia="pl-PL"/>
        </w:rPr>
      </w:pPr>
      <w:r w:rsidRPr="00D4579C">
        <w:rPr>
          <w:lang w:eastAsia="pl-PL"/>
        </w:rPr>
        <w:t>Zadanie zapisano w Gminnym Programie Rewitalizacyjny dla Gminy Tarnogród na lata 2024-2030</w:t>
      </w:r>
      <w:r w:rsidR="008225D3">
        <w:rPr>
          <w:lang w:eastAsia="pl-PL"/>
        </w:rPr>
        <w:t>.</w:t>
      </w:r>
    </w:p>
    <w:p w14:paraId="10B5E26D" w14:textId="77777777" w:rsidR="00D4579C" w:rsidRPr="00D4579C" w:rsidRDefault="00D4579C" w:rsidP="00D4579C">
      <w:pPr>
        <w:rPr>
          <w:lang w:eastAsia="pl-PL"/>
        </w:rPr>
      </w:pPr>
    </w:p>
    <w:p w14:paraId="3E7D7C74" w14:textId="77777777" w:rsidR="00D4579C" w:rsidRDefault="00D4579C" w:rsidP="00D4579C">
      <w:pPr>
        <w:pStyle w:val="Nagwek4"/>
        <w:rPr>
          <w:rFonts w:eastAsia="Calibri"/>
        </w:rPr>
      </w:pPr>
      <w:r w:rsidRPr="00411C8D">
        <w:rPr>
          <w:rFonts w:eastAsia="Calibri"/>
        </w:rPr>
        <w:t>Lekcje ekologiczne dla dzieci</w:t>
      </w:r>
    </w:p>
    <w:p w14:paraId="3AA919A4" w14:textId="5CABCBAA" w:rsidR="006D5EA6" w:rsidRDefault="006D5EA6" w:rsidP="006D5EA6">
      <w:pPr>
        <w:rPr>
          <w:lang w:eastAsia="pl-PL"/>
        </w:rPr>
      </w:pPr>
      <w:r>
        <w:rPr>
          <w:lang w:eastAsia="pl-PL"/>
        </w:rPr>
        <w:t xml:space="preserve">Na działania adaptacyjne z tego zakresu będą składać </w:t>
      </w:r>
      <w:r w:rsidR="00EB6192">
        <w:rPr>
          <w:lang w:eastAsia="pl-PL"/>
        </w:rPr>
        <w:t xml:space="preserve">się </w:t>
      </w:r>
      <w:r>
        <w:rPr>
          <w:lang w:eastAsia="pl-PL"/>
        </w:rPr>
        <w:t>programy edukacyjne, warsztaty</w:t>
      </w:r>
      <w:r w:rsidR="00EB6192">
        <w:rPr>
          <w:lang w:eastAsia="pl-PL"/>
        </w:rPr>
        <w:t xml:space="preserve"> czy</w:t>
      </w:r>
      <w:r>
        <w:rPr>
          <w:lang w:eastAsia="pl-PL"/>
        </w:rPr>
        <w:t xml:space="preserve"> instrukcje postępowania</w:t>
      </w:r>
      <w:r w:rsidR="00EB6192">
        <w:rPr>
          <w:lang w:eastAsia="pl-PL"/>
        </w:rPr>
        <w:t xml:space="preserve"> organizowane w czasie szkolnym lub pozaszkolnym. W ramach zachęcenia </w:t>
      </w:r>
      <w:r w:rsidR="00EB6192">
        <w:rPr>
          <w:lang w:eastAsia="pl-PL"/>
        </w:rPr>
        <w:lastRenderedPageBreak/>
        <w:t xml:space="preserve">młodych osób do partycypacji można również zorganizować np. konkursy z nagrodami. </w:t>
      </w:r>
      <w:r>
        <w:rPr>
          <w:lang w:eastAsia="pl-PL"/>
        </w:rPr>
        <w:t>W poruszanej tematyce</w:t>
      </w:r>
      <w:r w:rsidR="00EB6192">
        <w:rPr>
          <w:lang w:eastAsia="pl-PL"/>
        </w:rPr>
        <w:t xml:space="preserve"> zajęć</w:t>
      </w:r>
      <w:r>
        <w:rPr>
          <w:lang w:eastAsia="pl-PL"/>
        </w:rPr>
        <w:t xml:space="preserve"> należy zawrzeć przede wszystkim wiedzę na temat:</w:t>
      </w:r>
    </w:p>
    <w:p w14:paraId="04497276" w14:textId="042E1B8E" w:rsidR="006D5EA6" w:rsidRDefault="006D5EA6">
      <w:pPr>
        <w:pStyle w:val="Akapitzlist"/>
        <w:numPr>
          <w:ilvl w:val="0"/>
          <w:numId w:val="102"/>
        </w:numPr>
        <w:rPr>
          <w:lang w:eastAsia="pl-PL"/>
        </w:rPr>
      </w:pPr>
      <w:r>
        <w:rPr>
          <w:lang w:eastAsia="pl-PL"/>
        </w:rPr>
        <w:t xml:space="preserve">powodów i skutków zmian klimatu, </w:t>
      </w:r>
    </w:p>
    <w:p w14:paraId="10B8D018" w14:textId="5551FB36" w:rsidR="006D5EA6" w:rsidRDefault="006D5EA6">
      <w:pPr>
        <w:pStyle w:val="Akapitzlist"/>
        <w:numPr>
          <w:ilvl w:val="0"/>
          <w:numId w:val="102"/>
        </w:numPr>
        <w:rPr>
          <w:lang w:eastAsia="pl-PL"/>
        </w:rPr>
      </w:pPr>
      <w:r>
        <w:rPr>
          <w:lang w:eastAsia="pl-PL"/>
        </w:rPr>
        <w:t>zwiększonej wrażliwości obszarów zurbanizowanych na te przemiany,</w:t>
      </w:r>
    </w:p>
    <w:p w14:paraId="1D13D72D" w14:textId="21BB97C4" w:rsidR="006D5EA6" w:rsidRDefault="006D5EA6">
      <w:pPr>
        <w:pStyle w:val="Akapitzlist"/>
        <w:numPr>
          <w:ilvl w:val="0"/>
          <w:numId w:val="102"/>
        </w:numPr>
        <w:rPr>
          <w:lang w:eastAsia="pl-PL"/>
        </w:rPr>
      </w:pPr>
      <w:r>
        <w:rPr>
          <w:lang w:eastAsia="pl-PL"/>
        </w:rPr>
        <w:t>prognozowanych zagrożeniach i szansach,</w:t>
      </w:r>
    </w:p>
    <w:p w14:paraId="1D32A481" w14:textId="63F45B4D" w:rsidR="006D5EA6" w:rsidRDefault="006D5EA6">
      <w:pPr>
        <w:pStyle w:val="Akapitzlist"/>
        <w:numPr>
          <w:ilvl w:val="0"/>
          <w:numId w:val="102"/>
        </w:numPr>
        <w:rPr>
          <w:lang w:eastAsia="pl-PL"/>
        </w:rPr>
      </w:pPr>
      <w:r>
        <w:rPr>
          <w:lang w:eastAsia="pl-PL"/>
        </w:rPr>
        <w:t>możliwościach ograniczenia skutków właśnie poprzez działania adaptacyjne.</w:t>
      </w:r>
    </w:p>
    <w:p w14:paraId="3ADDA375" w14:textId="77777777" w:rsidR="006D5EA6" w:rsidRDefault="006D5EA6" w:rsidP="006D5EA6">
      <w:pPr>
        <w:rPr>
          <w:lang w:eastAsia="pl-PL"/>
        </w:rPr>
      </w:pPr>
    </w:p>
    <w:p w14:paraId="30B23D3F" w14:textId="01FFF4BC" w:rsidR="008F4EBE" w:rsidRDefault="008F4EBE" w:rsidP="008F4EBE">
      <w:pPr>
        <w:rPr>
          <w:lang w:eastAsia="pl-PL"/>
        </w:rPr>
      </w:pPr>
      <w:r>
        <w:rPr>
          <w:lang w:eastAsia="pl-PL"/>
        </w:rPr>
        <w:t>Stopień przekazywania informacji powinien być dostosowany do wieku i wrażliwości uczestników.</w:t>
      </w:r>
      <w:r w:rsidR="007C396F">
        <w:rPr>
          <w:lang w:eastAsia="pl-PL"/>
        </w:rPr>
        <w:t xml:space="preserve"> Edukowanie dzieci na wczesnym etapie życia przyczyni się do stworzenia w przyszłości społeczeństwa obywatelskiego odpowiedzialnego środowiskowo.</w:t>
      </w:r>
    </w:p>
    <w:p w14:paraId="5EF02DA5" w14:textId="77777777" w:rsidR="008F4EBE" w:rsidRDefault="008F4EBE" w:rsidP="006D5EA6">
      <w:pPr>
        <w:rPr>
          <w:lang w:eastAsia="pl-PL"/>
        </w:rPr>
      </w:pPr>
    </w:p>
    <w:p w14:paraId="63D49AFD" w14:textId="02D55221" w:rsidR="006D5EA6" w:rsidRDefault="006D5EA6" w:rsidP="006D5EA6">
      <w:pPr>
        <w:rPr>
          <w:lang w:eastAsia="pl-PL"/>
        </w:rPr>
      </w:pPr>
      <w:r>
        <w:rPr>
          <w:lang w:eastAsia="pl-PL"/>
        </w:rPr>
        <w:t xml:space="preserve">Edukowanie </w:t>
      </w:r>
      <w:r w:rsidR="008F4EBE">
        <w:rPr>
          <w:lang w:eastAsia="pl-PL"/>
        </w:rPr>
        <w:t>powinno</w:t>
      </w:r>
      <w:r>
        <w:rPr>
          <w:lang w:eastAsia="pl-PL"/>
        </w:rPr>
        <w:t xml:space="preserve"> odbywać si</w:t>
      </w:r>
      <w:r w:rsidR="008F4EBE">
        <w:rPr>
          <w:lang w:eastAsia="pl-PL"/>
        </w:rPr>
        <w:t>ę</w:t>
      </w:r>
      <w:r>
        <w:rPr>
          <w:lang w:eastAsia="pl-PL"/>
        </w:rPr>
        <w:t xml:space="preserve"> w zakresie:</w:t>
      </w:r>
    </w:p>
    <w:p w14:paraId="2F4329F1" w14:textId="77777777" w:rsidR="007C396F" w:rsidRDefault="007C396F" w:rsidP="007F2731">
      <w:pPr>
        <w:pStyle w:val="Akapitzlist"/>
        <w:numPr>
          <w:ilvl w:val="0"/>
          <w:numId w:val="103"/>
        </w:numPr>
        <w:ind w:left="714" w:hanging="357"/>
        <w:rPr>
          <w:lang w:eastAsia="pl-PL"/>
        </w:rPr>
      </w:pPr>
      <w:r>
        <w:rPr>
          <w:lang w:eastAsia="pl-PL"/>
        </w:rPr>
        <w:t>suszy, powodzi miejskich, zanieczyszczeniu wód powierzchniowych oraz możliwościach przeciwdziałaniu nim,</w:t>
      </w:r>
    </w:p>
    <w:p w14:paraId="6E4AD3CB" w14:textId="4CBAA470" w:rsidR="006D5EA6" w:rsidRDefault="006D5EA6" w:rsidP="007F2731">
      <w:pPr>
        <w:pStyle w:val="Akapitzlist"/>
        <w:numPr>
          <w:ilvl w:val="0"/>
          <w:numId w:val="103"/>
        </w:numPr>
        <w:ind w:left="714" w:hanging="357"/>
        <w:rPr>
          <w:lang w:eastAsia="pl-PL"/>
        </w:rPr>
      </w:pPr>
      <w:r>
        <w:rPr>
          <w:lang w:eastAsia="pl-PL"/>
        </w:rPr>
        <w:t>prawidłowego postępowania z odpadami komunalnymi,</w:t>
      </w:r>
    </w:p>
    <w:p w14:paraId="2D37DEDB" w14:textId="4A3514DA" w:rsidR="006D5EA6" w:rsidRDefault="006D5EA6" w:rsidP="007F2731">
      <w:pPr>
        <w:pStyle w:val="Akapitzlist"/>
        <w:numPr>
          <w:ilvl w:val="0"/>
          <w:numId w:val="103"/>
        </w:numPr>
        <w:ind w:left="714" w:hanging="357"/>
        <w:rPr>
          <w:lang w:eastAsia="pl-PL"/>
        </w:rPr>
      </w:pPr>
      <w:r>
        <w:rPr>
          <w:lang w:eastAsia="pl-PL"/>
        </w:rPr>
        <w:t>energooszczędności i energetyki,</w:t>
      </w:r>
    </w:p>
    <w:p w14:paraId="536D4987" w14:textId="678D9D63" w:rsidR="006D5EA6" w:rsidRDefault="006D5EA6" w:rsidP="007F2731">
      <w:pPr>
        <w:pStyle w:val="Akapitzlist"/>
        <w:numPr>
          <w:ilvl w:val="0"/>
          <w:numId w:val="103"/>
        </w:numPr>
        <w:ind w:left="714" w:hanging="357"/>
        <w:rPr>
          <w:lang w:eastAsia="pl-PL"/>
        </w:rPr>
      </w:pPr>
      <w:r>
        <w:rPr>
          <w:lang w:eastAsia="pl-PL"/>
        </w:rPr>
        <w:t>zanieczyszczenia powietrza, jego przyczyn oraz skutków,</w:t>
      </w:r>
    </w:p>
    <w:p w14:paraId="22AAB54F" w14:textId="104A7310" w:rsidR="006D5EA6" w:rsidRDefault="006D5EA6" w:rsidP="007F2731">
      <w:pPr>
        <w:pStyle w:val="Akapitzlist"/>
        <w:numPr>
          <w:ilvl w:val="0"/>
          <w:numId w:val="103"/>
        </w:numPr>
        <w:ind w:left="714" w:hanging="357"/>
        <w:rPr>
          <w:lang w:eastAsia="pl-PL"/>
        </w:rPr>
      </w:pPr>
      <w:r>
        <w:rPr>
          <w:lang w:eastAsia="pl-PL"/>
        </w:rPr>
        <w:t>nadmiernej konsumpcji i bycia odpowiedzialnym konsumentem,</w:t>
      </w:r>
    </w:p>
    <w:p w14:paraId="09FA5572" w14:textId="4529406B" w:rsidR="006D5EA6" w:rsidRDefault="006D5EA6" w:rsidP="007F2731">
      <w:pPr>
        <w:pStyle w:val="Akapitzlist"/>
        <w:numPr>
          <w:ilvl w:val="0"/>
          <w:numId w:val="103"/>
        </w:numPr>
        <w:ind w:left="714" w:hanging="357"/>
        <w:rPr>
          <w:lang w:eastAsia="pl-PL"/>
        </w:rPr>
      </w:pPr>
      <w:r>
        <w:rPr>
          <w:lang w:eastAsia="pl-PL"/>
        </w:rPr>
        <w:t>zagadnień związanych z gospodarką obiegu zamkniętego,</w:t>
      </w:r>
    </w:p>
    <w:p w14:paraId="27067887" w14:textId="67BB0022" w:rsidR="006D5EA6" w:rsidRPr="006D5EA6" w:rsidRDefault="006D5EA6" w:rsidP="007F2731">
      <w:pPr>
        <w:pStyle w:val="Akapitzlist"/>
        <w:numPr>
          <w:ilvl w:val="0"/>
          <w:numId w:val="103"/>
        </w:numPr>
        <w:ind w:left="714" w:hanging="357"/>
        <w:rPr>
          <w:lang w:eastAsia="pl-PL"/>
        </w:rPr>
      </w:pPr>
      <w:r>
        <w:rPr>
          <w:lang w:eastAsia="pl-PL"/>
        </w:rPr>
        <w:t>ekosystemów, ich roli oraz świadczonych przez nie usług.</w:t>
      </w:r>
    </w:p>
    <w:p w14:paraId="1289C1D6" w14:textId="77777777" w:rsidR="008F4EBE" w:rsidRPr="006D5EA6" w:rsidRDefault="008F4EBE" w:rsidP="006D5EA6">
      <w:pPr>
        <w:rPr>
          <w:lang w:eastAsia="pl-PL"/>
        </w:rPr>
      </w:pPr>
    </w:p>
    <w:p w14:paraId="6F1C443B" w14:textId="77777777" w:rsidR="00D4579C" w:rsidRDefault="00D4579C" w:rsidP="00D4579C">
      <w:pPr>
        <w:pStyle w:val="Nagwek4"/>
        <w:rPr>
          <w:rFonts w:eastAsia="Calibri"/>
        </w:rPr>
      </w:pPr>
      <w:r w:rsidRPr="00411C8D">
        <w:rPr>
          <w:rFonts w:eastAsia="Calibri"/>
        </w:rPr>
        <w:t>Kampania informacyjna skierowana do przedsiębiorców</w:t>
      </w:r>
    </w:p>
    <w:p w14:paraId="17A1D902" w14:textId="77777777" w:rsidR="006D5EA6" w:rsidRDefault="006D5EA6" w:rsidP="006D5EA6">
      <w:pPr>
        <w:rPr>
          <w:lang w:eastAsia="pl-PL"/>
        </w:rPr>
      </w:pPr>
      <w:r>
        <w:rPr>
          <w:lang w:eastAsia="pl-PL"/>
        </w:rPr>
        <w:t>Budowanie zaangażowania społecznego obywateli jest niezwykle ważnym działaniem w mitygacji i adaptacji do zmian klimatu. W procesie przeciwdziałania i przystosowania obszaru do zmian klimatu kluczowa będzie rola mieszkańców, którzy będą uczestniczyć działaniach podejmowanych przez samorząd oraz, co równie ważne, sami podejmować działania. Cele postawione w MPA wymagają czasem rezygnacji z własnego komfortu (np. zmiana indywidulanego środka transportu na komunikację miejską), dlatego bez zaangażowanego, aktywnego społeczeństwa nie będzie możliwa ich realizacja. Wśród narzędzi na rzecz budowania zaangażowania społecznego dostępnych samorządowi należy wymienić:</w:t>
      </w:r>
    </w:p>
    <w:p w14:paraId="370EDC79" w14:textId="7BB48576" w:rsidR="006D5EA6" w:rsidRDefault="006D5EA6" w:rsidP="00FE7D13">
      <w:pPr>
        <w:pStyle w:val="Akapitzlist"/>
        <w:numPr>
          <w:ilvl w:val="0"/>
          <w:numId w:val="103"/>
        </w:numPr>
        <w:ind w:left="714" w:hanging="357"/>
        <w:rPr>
          <w:lang w:eastAsia="pl-PL"/>
        </w:rPr>
      </w:pPr>
      <w:r>
        <w:rPr>
          <w:lang w:eastAsia="pl-PL"/>
        </w:rPr>
        <w:t>narzędzia organizacyjne:</w:t>
      </w:r>
    </w:p>
    <w:p w14:paraId="502CD104" w14:textId="2FE1F4F1" w:rsidR="006D5EA6" w:rsidRDefault="006D5EA6" w:rsidP="00FE7D13">
      <w:pPr>
        <w:pStyle w:val="Akapitzlist"/>
        <w:numPr>
          <w:ilvl w:val="1"/>
          <w:numId w:val="35"/>
        </w:numPr>
        <w:ind w:left="1321" w:hanging="357"/>
        <w:rPr>
          <w:lang w:eastAsia="pl-PL"/>
        </w:rPr>
      </w:pPr>
      <w:r>
        <w:rPr>
          <w:lang w:eastAsia="pl-PL"/>
        </w:rPr>
        <w:t>wychwytywanie potrzeb wspólnot lokalnych i wspieranie liderów społeczności,</w:t>
      </w:r>
    </w:p>
    <w:p w14:paraId="625B7618" w14:textId="0F2E060D" w:rsidR="006D5EA6" w:rsidRDefault="006D5EA6" w:rsidP="00FE7D13">
      <w:pPr>
        <w:pStyle w:val="Akapitzlist"/>
        <w:numPr>
          <w:ilvl w:val="1"/>
          <w:numId w:val="35"/>
        </w:numPr>
        <w:ind w:left="1321" w:hanging="357"/>
        <w:rPr>
          <w:lang w:eastAsia="pl-PL"/>
        </w:rPr>
      </w:pPr>
      <w:r>
        <w:rPr>
          <w:lang w:eastAsia="pl-PL"/>
        </w:rPr>
        <w:t>wspieranie organizacyjne inicjatyw oddolnych (wskazanie możliwości, doradztwo w zakresie formalno-prawnym itd.),</w:t>
      </w:r>
    </w:p>
    <w:p w14:paraId="69CE6948" w14:textId="6FF70ABD" w:rsidR="006D5EA6" w:rsidRDefault="006D5EA6" w:rsidP="00FE7D13">
      <w:pPr>
        <w:pStyle w:val="Akapitzlist"/>
        <w:numPr>
          <w:ilvl w:val="1"/>
          <w:numId w:val="35"/>
        </w:numPr>
        <w:ind w:left="1321" w:hanging="357"/>
        <w:rPr>
          <w:lang w:eastAsia="pl-PL"/>
        </w:rPr>
      </w:pPr>
      <w:r>
        <w:rPr>
          <w:lang w:eastAsia="pl-PL"/>
        </w:rPr>
        <w:t>otwartość pracowników Urzędu na zgłaszane inicjatywy i pomysły mieszkańców (edukacja i informowanie pracowników wszystkich szczebli Urzędu),</w:t>
      </w:r>
    </w:p>
    <w:p w14:paraId="2EA9E4F2" w14:textId="49619C1A" w:rsidR="006D5EA6" w:rsidRDefault="006D5EA6" w:rsidP="00FE7D13">
      <w:pPr>
        <w:pStyle w:val="Akapitzlist"/>
        <w:numPr>
          <w:ilvl w:val="1"/>
          <w:numId w:val="35"/>
        </w:numPr>
        <w:ind w:left="1321" w:hanging="357"/>
        <w:rPr>
          <w:lang w:eastAsia="pl-PL"/>
        </w:rPr>
      </w:pPr>
      <w:r>
        <w:rPr>
          <w:lang w:eastAsia="pl-PL"/>
        </w:rPr>
        <w:t>tworzenie przepisów prawa lokalnego przychylnych powstawaniu tego typu inicjatyw,</w:t>
      </w:r>
    </w:p>
    <w:p w14:paraId="46C0E012" w14:textId="10A7AE35" w:rsidR="006D5EA6" w:rsidRDefault="006D5EA6" w:rsidP="00FE7D13">
      <w:pPr>
        <w:pStyle w:val="Akapitzlist"/>
        <w:numPr>
          <w:ilvl w:val="1"/>
          <w:numId w:val="35"/>
        </w:numPr>
        <w:ind w:left="1321" w:hanging="357"/>
        <w:rPr>
          <w:lang w:eastAsia="pl-PL"/>
        </w:rPr>
      </w:pPr>
      <w:r>
        <w:rPr>
          <w:lang w:eastAsia="pl-PL"/>
        </w:rPr>
        <w:t>wskazywanie i przekazywanie do użytkowania na inicjatywy oddolne obiektów, terenów gminnych,</w:t>
      </w:r>
    </w:p>
    <w:p w14:paraId="7060E94E" w14:textId="34AE792A" w:rsidR="006D5EA6" w:rsidRDefault="006D5EA6" w:rsidP="00FE7D13">
      <w:pPr>
        <w:pStyle w:val="Akapitzlist"/>
        <w:numPr>
          <w:ilvl w:val="1"/>
          <w:numId w:val="35"/>
        </w:numPr>
        <w:ind w:left="1321" w:hanging="357"/>
        <w:rPr>
          <w:lang w:eastAsia="pl-PL"/>
        </w:rPr>
      </w:pPr>
      <w:r>
        <w:rPr>
          <w:lang w:eastAsia="pl-PL"/>
        </w:rPr>
        <w:t>wspieranie samoorganizowania społecznego,</w:t>
      </w:r>
    </w:p>
    <w:p w14:paraId="50E33C36" w14:textId="3A5E60AC" w:rsidR="006D5EA6" w:rsidRDefault="006D5EA6" w:rsidP="00FE7D13">
      <w:pPr>
        <w:pStyle w:val="Akapitzlist"/>
        <w:numPr>
          <w:ilvl w:val="1"/>
          <w:numId w:val="35"/>
        </w:numPr>
        <w:ind w:left="1321" w:hanging="357"/>
        <w:rPr>
          <w:lang w:eastAsia="pl-PL"/>
        </w:rPr>
      </w:pPr>
      <w:r>
        <w:rPr>
          <w:lang w:eastAsia="pl-PL"/>
        </w:rPr>
        <w:t>wspieranie organizacji pozarządowych i grup nieformalnych,</w:t>
      </w:r>
    </w:p>
    <w:p w14:paraId="3889CC98" w14:textId="0CEAF04A" w:rsidR="006D5EA6" w:rsidRDefault="006D5EA6" w:rsidP="00FE7D13">
      <w:pPr>
        <w:pStyle w:val="Akapitzlist"/>
        <w:numPr>
          <w:ilvl w:val="0"/>
          <w:numId w:val="103"/>
        </w:numPr>
        <w:ind w:left="714" w:hanging="357"/>
        <w:rPr>
          <w:lang w:eastAsia="pl-PL"/>
        </w:rPr>
      </w:pPr>
      <w:r>
        <w:rPr>
          <w:lang w:eastAsia="pl-PL"/>
        </w:rPr>
        <w:t>narzędzia finansowe i inwestycyjne:</w:t>
      </w:r>
    </w:p>
    <w:p w14:paraId="197AA90E" w14:textId="38B1943B" w:rsidR="006D5EA6" w:rsidRDefault="006D5EA6" w:rsidP="00FE7D13">
      <w:pPr>
        <w:pStyle w:val="Akapitzlist"/>
        <w:numPr>
          <w:ilvl w:val="1"/>
          <w:numId w:val="35"/>
        </w:numPr>
        <w:ind w:left="1321" w:hanging="357"/>
        <w:rPr>
          <w:lang w:eastAsia="pl-PL"/>
        </w:rPr>
      </w:pPr>
      <w:r>
        <w:rPr>
          <w:lang w:eastAsia="pl-PL"/>
        </w:rPr>
        <w:t>tworzenie grantów, konkursów,</w:t>
      </w:r>
    </w:p>
    <w:p w14:paraId="11B43CA7" w14:textId="71A392A8" w:rsidR="006D5EA6" w:rsidRDefault="006D5EA6" w:rsidP="00FE7D13">
      <w:pPr>
        <w:pStyle w:val="Akapitzlist"/>
        <w:numPr>
          <w:ilvl w:val="1"/>
          <w:numId w:val="35"/>
        </w:numPr>
        <w:ind w:left="1321" w:hanging="357"/>
        <w:rPr>
          <w:lang w:eastAsia="pl-PL"/>
        </w:rPr>
      </w:pPr>
      <w:r>
        <w:rPr>
          <w:lang w:eastAsia="pl-PL"/>
        </w:rPr>
        <w:t>przekazywanie środków finansowych i materialnych na realizację inicjatyw,</w:t>
      </w:r>
    </w:p>
    <w:p w14:paraId="4A879FD8" w14:textId="1E8364E5" w:rsidR="006D5EA6" w:rsidRDefault="006D5EA6" w:rsidP="00FE7D13">
      <w:pPr>
        <w:pStyle w:val="Akapitzlist"/>
        <w:numPr>
          <w:ilvl w:val="1"/>
          <w:numId w:val="35"/>
        </w:numPr>
        <w:ind w:left="1321" w:hanging="357"/>
        <w:rPr>
          <w:lang w:eastAsia="pl-PL"/>
        </w:rPr>
      </w:pPr>
      <w:r>
        <w:rPr>
          <w:lang w:eastAsia="pl-PL"/>
        </w:rPr>
        <w:lastRenderedPageBreak/>
        <w:t>wsparcie długofalowe inicjatyw,</w:t>
      </w:r>
    </w:p>
    <w:p w14:paraId="500BFEC1" w14:textId="30E9FD6B" w:rsidR="006D5EA6" w:rsidRDefault="006D5EA6" w:rsidP="00FE7D13">
      <w:pPr>
        <w:pStyle w:val="Akapitzlist"/>
        <w:numPr>
          <w:ilvl w:val="0"/>
          <w:numId w:val="103"/>
        </w:numPr>
        <w:ind w:left="714" w:hanging="357"/>
        <w:rPr>
          <w:lang w:eastAsia="pl-PL"/>
        </w:rPr>
      </w:pPr>
      <w:r>
        <w:rPr>
          <w:lang w:eastAsia="pl-PL"/>
        </w:rPr>
        <w:t>narzędzie edukacyjne:</w:t>
      </w:r>
    </w:p>
    <w:p w14:paraId="7739116B" w14:textId="4882C148" w:rsidR="006D5EA6" w:rsidRDefault="006D5EA6" w:rsidP="00FE7D13">
      <w:pPr>
        <w:pStyle w:val="Akapitzlist"/>
        <w:numPr>
          <w:ilvl w:val="1"/>
          <w:numId w:val="35"/>
        </w:numPr>
        <w:ind w:left="1321" w:hanging="357"/>
        <w:rPr>
          <w:lang w:eastAsia="pl-PL"/>
        </w:rPr>
      </w:pPr>
      <w:r>
        <w:rPr>
          <w:lang w:eastAsia="pl-PL"/>
        </w:rPr>
        <w:t>edukowanie kadry o potrzebie budowania zaangażowania społecznego,</w:t>
      </w:r>
    </w:p>
    <w:p w14:paraId="1C490079" w14:textId="3E86BCEA" w:rsidR="006D5EA6" w:rsidRDefault="006D5EA6" w:rsidP="00FE7D13">
      <w:pPr>
        <w:pStyle w:val="Akapitzlist"/>
        <w:numPr>
          <w:ilvl w:val="1"/>
          <w:numId w:val="35"/>
        </w:numPr>
        <w:ind w:left="1321" w:hanging="357"/>
        <w:rPr>
          <w:lang w:eastAsia="pl-PL"/>
        </w:rPr>
      </w:pPr>
      <w:r>
        <w:rPr>
          <w:lang w:eastAsia="pl-PL"/>
        </w:rPr>
        <w:t>edukowanie i informowanie o możliwościach i zachęcanie do aktywności.</w:t>
      </w:r>
    </w:p>
    <w:p w14:paraId="1CCCB4B3" w14:textId="77777777" w:rsidR="006D5EA6" w:rsidRPr="006D5EA6" w:rsidRDefault="006D5EA6" w:rsidP="006D5EA6">
      <w:pPr>
        <w:rPr>
          <w:lang w:eastAsia="pl-PL"/>
        </w:rPr>
      </w:pPr>
    </w:p>
    <w:p w14:paraId="2A728053" w14:textId="77777777" w:rsidR="00D4579C" w:rsidRDefault="00D4579C" w:rsidP="00D4579C">
      <w:pPr>
        <w:pStyle w:val="Nagwek4"/>
        <w:rPr>
          <w:rFonts w:eastAsia="Calibri"/>
        </w:rPr>
      </w:pPr>
      <w:r w:rsidRPr="00411C8D">
        <w:rPr>
          <w:rFonts w:eastAsia="Calibri"/>
        </w:rPr>
        <w:t>Pokazy filmów o tematyce ekologicznej</w:t>
      </w:r>
    </w:p>
    <w:p w14:paraId="778EB600" w14:textId="2E95B02E" w:rsidR="00921D1A" w:rsidRDefault="00CB5ECD" w:rsidP="006D5EA6">
      <w:pPr>
        <w:rPr>
          <w:lang w:eastAsia="pl-PL"/>
        </w:rPr>
      </w:pPr>
      <w:r>
        <w:rPr>
          <w:lang w:eastAsia="pl-PL"/>
        </w:rPr>
        <w:t xml:space="preserve">Tarnogrodzki Ośrodek Kultury jest miejscem spełniającym funkcje </w:t>
      </w:r>
      <w:r w:rsidR="00B62332">
        <w:rPr>
          <w:lang w:eastAsia="pl-PL"/>
        </w:rPr>
        <w:t>szerzenia kultury oraz angażowania mieszkańców w podejmowanie działań kreatywnych. Jednym z bardziej ciekawych pomysłów w zakresie edukacji mieszkańców, mogących wzbudzić ich zainteresowanie jest organizowanie pokazów filmów poruszających tematy ekologiczne połączone z dyskusją z uczestnikami.</w:t>
      </w:r>
    </w:p>
    <w:p w14:paraId="454CB0A7" w14:textId="616C5882" w:rsidR="00B62332" w:rsidRDefault="00B62332" w:rsidP="006D5EA6">
      <w:pPr>
        <w:rPr>
          <w:lang w:eastAsia="pl-PL"/>
        </w:rPr>
      </w:pPr>
      <w:r>
        <w:rPr>
          <w:lang w:eastAsia="pl-PL"/>
        </w:rPr>
        <w:t xml:space="preserve">Inspiracją dla działania może być PNB Paribas Green Film Festival, organizowany od 2018 roku w Krakowie. </w:t>
      </w:r>
      <w:r w:rsidRPr="00B62332">
        <w:rPr>
          <w:lang w:eastAsia="pl-PL"/>
        </w:rPr>
        <w:t>To jedyny w Polsce i jeden z największych na świecie filmowy festiwal o tematyce ekologicznej.</w:t>
      </w:r>
      <w:r>
        <w:rPr>
          <w:lang w:eastAsia="pl-PL"/>
        </w:rPr>
        <w:t xml:space="preserve"> </w:t>
      </w:r>
      <w:r w:rsidRPr="00B62332">
        <w:rPr>
          <w:lang w:eastAsia="pl-PL"/>
        </w:rPr>
        <w:t>Filmom towarzyszą spotkania z twórcami, ekspertami oraz lokalnymi aktywistami klimatycznymi. W czasie festiwalu odbywają się również liczne warsztaty ekologiczne, spotkania edukacyjne, wystawy, wykłady i działania artystyczne ukierunkowane na doskonalenie kultury życia zgodnie z zielonymi wartościami</w:t>
      </w:r>
      <w:r>
        <w:rPr>
          <w:rStyle w:val="Odwoanieprzypisudolnego"/>
          <w:lang w:eastAsia="pl-PL"/>
        </w:rPr>
        <w:footnoteReference w:id="47"/>
      </w:r>
      <w:r w:rsidRPr="00B62332">
        <w:rPr>
          <w:lang w:eastAsia="pl-PL"/>
        </w:rPr>
        <w:t>.</w:t>
      </w:r>
    </w:p>
    <w:p w14:paraId="78DB2C3D" w14:textId="77777777" w:rsidR="009E0A89" w:rsidRPr="006D5EA6" w:rsidRDefault="009E0A89" w:rsidP="006D5EA6">
      <w:pPr>
        <w:rPr>
          <w:lang w:eastAsia="pl-PL"/>
        </w:rPr>
      </w:pPr>
    </w:p>
    <w:p w14:paraId="05B1B16B" w14:textId="77777777" w:rsidR="00D4579C" w:rsidRDefault="00D4579C" w:rsidP="00D4579C">
      <w:pPr>
        <w:pStyle w:val="Nagwek4"/>
        <w:rPr>
          <w:rFonts w:eastAsia="Calibri"/>
        </w:rPr>
      </w:pPr>
      <w:r w:rsidRPr="00411C8D">
        <w:rPr>
          <w:rFonts w:eastAsia="Calibri"/>
        </w:rPr>
        <w:t>Spotkania dyskusyjne nad książkami o tematyce ekologicznej</w:t>
      </w:r>
    </w:p>
    <w:p w14:paraId="40E201A5" w14:textId="3F55E4EB" w:rsidR="006D5EA6" w:rsidRDefault="009E0A89" w:rsidP="006D5EA6">
      <w:pPr>
        <w:rPr>
          <w:lang w:eastAsia="pl-PL"/>
        </w:rPr>
      </w:pPr>
      <w:r>
        <w:rPr>
          <w:lang w:eastAsia="pl-PL"/>
        </w:rPr>
        <w:t>Działalność Dyskusyjnego Klubu Książki może podjąć również tematykę książek przybliżających wartości środowiskowe i klimatyczne. Tak jak w przypadku pokazów filmów, tworz</w:t>
      </w:r>
      <w:r w:rsidR="00B87DFB">
        <w:rPr>
          <w:lang w:eastAsia="pl-PL"/>
        </w:rPr>
        <w:t xml:space="preserve">y to możliwość </w:t>
      </w:r>
      <w:r w:rsidR="004A7133">
        <w:rPr>
          <w:lang w:eastAsia="pl-PL"/>
        </w:rPr>
        <w:t>otwarcia perspektyw i uwrażliwienia mieszkańców na problemy z zakresu ochrony środowiska i zmian klimatu.</w:t>
      </w:r>
    </w:p>
    <w:p w14:paraId="43659DA7" w14:textId="77777777" w:rsidR="009E0A89" w:rsidRPr="006D5EA6" w:rsidRDefault="009E0A89" w:rsidP="006D5EA6">
      <w:pPr>
        <w:rPr>
          <w:lang w:eastAsia="pl-PL"/>
        </w:rPr>
      </w:pPr>
    </w:p>
    <w:p w14:paraId="0CF0115E" w14:textId="77777777" w:rsidR="00D4579C" w:rsidRDefault="00D4579C" w:rsidP="00D4579C">
      <w:pPr>
        <w:pStyle w:val="Nagwek4"/>
        <w:rPr>
          <w:rFonts w:eastAsia="Calibri"/>
        </w:rPr>
      </w:pPr>
      <w:r w:rsidRPr="00411C8D">
        <w:rPr>
          <w:rFonts w:eastAsia="Calibri"/>
        </w:rPr>
        <w:t>Czytanie dla dzieci książek o tematyce ekologicznej</w:t>
      </w:r>
    </w:p>
    <w:p w14:paraId="15ED04AD" w14:textId="09F3A13C" w:rsidR="006D5EA6" w:rsidRDefault="004A7133" w:rsidP="006D5EA6">
      <w:pPr>
        <w:rPr>
          <w:lang w:eastAsia="pl-PL"/>
        </w:rPr>
      </w:pPr>
      <w:r>
        <w:rPr>
          <w:lang w:eastAsia="pl-PL"/>
        </w:rPr>
        <w:t>Organizowanie spotkań, w których czytane będą książki dla dzieci podejmujące tematykę ekologiczną również wpisuje się te same cele, co pokazy filmów i spotkania dyskusyjne nad książkami. Dodatkowo w</w:t>
      </w:r>
      <w:r w:rsidR="00694253">
        <w:rPr>
          <w:lang w:eastAsia="pl-PL"/>
        </w:rPr>
        <w:t xml:space="preserve">zbudzanie w dzieciach odpowiednich postaw na wczesnym etapie życia </w:t>
      </w:r>
      <w:r w:rsidR="00694253" w:rsidRPr="00694253">
        <w:rPr>
          <w:lang w:eastAsia="pl-PL"/>
        </w:rPr>
        <w:t>przyczyni się do stworzenia w przyszłości społeczeństwa obywatelskiego odpowiedzialnego środowiskowo.</w:t>
      </w:r>
      <w:r w:rsidR="00694253">
        <w:rPr>
          <w:lang w:eastAsia="pl-PL"/>
        </w:rPr>
        <w:t xml:space="preserve"> Informacje przekazywane w lekturach będą odpowiednio dostosowane do wieku odbiorców.</w:t>
      </w:r>
    </w:p>
    <w:p w14:paraId="5AC17DB9" w14:textId="77777777" w:rsidR="004A7133" w:rsidRPr="006D5EA6" w:rsidRDefault="004A7133" w:rsidP="006D5EA6">
      <w:pPr>
        <w:rPr>
          <w:lang w:eastAsia="pl-PL"/>
        </w:rPr>
      </w:pPr>
    </w:p>
    <w:p w14:paraId="70D6FF2A" w14:textId="77777777" w:rsidR="00D4579C" w:rsidRDefault="00D4579C" w:rsidP="00D4579C">
      <w:pPr>
        <w:pStyle w:val="Nagwek4"/>
        <w:rPr>
          <w:rFonts w:eastAsia="Calibri"/>
        </w:rPr>
      </w:pPr>
      <w:r w:rsidRPr="00411C8D">
        <w:rPr>
          <w:rFonts w:eastAsia="Calibri"/>
        </w:rPr>
        <w:t>Spektakle teatralne przeplatające tematy ekologiczne</w:t>
      </w:r>
    </w:p>
    <w:p w14:paraId="66461F48" w14:textId="44CDD706" w:rsidR="006D5EA6" w:rsidRDefault="002E301D" w:rsidP="006D5EA6">
      <w:pPr>
        <w:rPr>
          <w:lang w:eastAsia="pl-PL"/>
        </w:rPr>
      </w:pPr>
      <w:r>
        <w:rPr>
          <w:lang w:eastAsia="pl-PL"/>
        </w:rPr>
        <w:t>W działalność Tarnogrodzkiego Ośrodka Kultury wpisanych jest również wiele inicjatyw grup teatralnych. Występują tu zarówno osoby dorosłe, młode, jak i najmłodsze. W ramach tej działalności możliwe jest również podjęcie tematu ekologii i środowiska, poprzez wystawienie spektakli poruszających te kwestie. Z pewnością będzie to ciekawe doświadczenie dla osób zaangażowanych, jak i widzów. Pokazy teatralne mają na celu aktywizowanie mieszkańców oraz kultywowane rodzimych tradycji. Podejmując zagadnienia środowiska również można kultywować lokalną przyrodę oraz zachęcać ludzi do podjęcia działań w celu jej ochrony.</w:t>
      </w:r>
    </w:p>
    <w:p w14:paraId="7922910E" w14:textId="77777777" w:rsidR="00694253" w:rsidRPr="006D5EA6" w:rsidRDefault="00694253" w:rsidP="006D5EA6">
      <w:pPr>
        <w:rPr>
          <w:lang w:eastAsia="pl-PL"/>
        </w:rPr>
      </w:pPr>
    </w:p>
    <w:p w14:paraId="1692B273" w14:textId="0307DB0F" w:rsidR="00D4579C" w:rsidRDefault="00D4579C" w:rsidP="00D4579C">
      <w:pPr>
        <w:pStyle w:val="Nagwek4"/>
        <w:rPr>
          <w:rFonts w:eastAsia="Calibri"/>
          <w:sz w:val="24"/>
          <w:szCs w:val="24"/>
        </w:rPr>
      </w:pPr>
      <w:r w:rsidRPr="00411C8D">
        <w:rPr>
          <w:rFonts w:eastAsia="Calibri"/>
          <w:sz w:val="24"/>
          <w:szCs w:val="24"/>
        </w:rPr>
        <w:lastRenderedPageBreak/>
        <w:t>Wspieranie organizacji pozarządowych w działaniach związanych z tematyką ochrony przyrody</w:t>
      </w:r>
    </w:p>
    <w:p w14:paraId="1EE97398" w14:textId="35B09997" w:rsidR="00185BA9" w:rsidRDefault="00185BA9" w:rsidP="006D5EA6">
      <w:pPr>
        <w:rPr>
          <w:lang w:eastAsia="pl-PL"/>
        </w:rPr>
      </w:pPr>
      <w:r>
        <w:rPr>
          <w:lang w:eastAsia="pl-PL"/>
        </w:rPr>
        <w:t>Istnieje wiele grup, fundacji czy organizacji pozarządowych, które aktywnie działają w zakresie adaptacji i mitygacji do zmian klimatu. Jednostki takie często posiadają szerokie doświadczenie w zakresie współpracy z jednostkami lokalnych samorządów oraz mieszkańcami miejscowości dotkniętych bezpośrednio zmianami klimatu. W celu podjęcia współpracy i wykorzystania tego doświadczenia można podjąć poniższe działania:</w:t>
      </w:r>
    </w:p>
    <w:p w14:paraId="7591CB26" w14:textId="02F9E053" w:rsidR="00185BA9" w:rsidRDefault="00185BA9">
      <w:pPr>
        <w:pStyle w:val="Akapitzlist"/>
        <w:numPr>
          <w:ilvl w:val="0"/>
          <w:numId w:val="35"/>
        </w:numPr>
        <w:ind w:left="714" w:hanging="357"/>
        <w:rPr>
          <w:lang w:eastAsia="pl-PL"/>
        </w:rPr>
      </w:pPr>
      <w:r>
        <w:rPr>
          <w:lang w:eastAsia="pl-PL"/>
        </w:rPr>
        <w:t>wspieranie organizacyjne inicjatyw oddolnych (wskazanie możliwości, doradztwo w zakresie formalno-prawnym itd.),</w:t>
      </w:r>
    </w:p>
    <w:p w14:paraId="752B7726" w14:textId="575A006B" w:rsidR="00185BA9" w:rsidRDefault="00185BA9">
      <w:pPr>
        <w:pStyle w:val="Akapitzlist"/>
        <w:numPr>
          <w:ilvl w:val="0"/>
          <w:numId w:val="35"/>
        </w:numPr>
        <w:ind w:left="714" w:hanging="357"/>
        <w:rPr>
          <w:lang w:eastAsia="pl-PL"/>
        </w:rPr>
      </w:pPr>
      <w:r>
        <w:rPr>
          <w:lang w:eastAsia="pl-PL"/>
        </w:rPr>
        <w:t>otwartość pracowników Urzędu na zgłaszane inicjatywy i pomysły mieszkańców (edukacja i</w:t>
      </w:r>
      <w:r w:rsidR="00921D1A">
        <w:rPr>
          <w:lang w:eastAsia="pl-PL"/>
        </w:rPr>
        <w:t> </w:t>
      </w:r>
      <w:r>
        <w:rPr>
          <w:lang w:eastAsia="pl-PL"/>
        </w:rPr>
        <w:t>informowanie pracowników wszystkich szczebli Urzędu),</w:t>
      </w:r>
    </w:p>
    <w:p w14:paraId="26FD1F7A" w14:textId="43D1CCE2" w:rsidR="00185BA9" w:rsidRDefault="00185BA9">
      <w:pPr>
        <w:pStyle w:val="Akapitzlist"/>
        <w:numPr>
          <w:ilvl w:val="0"/>
          <w:numId w:val="35"/>
        </w:numPr>
        <w:ind w:left="714" w:hanging="357"/>
        <w:rPr>
          <w:lang w:eastAsia="pl-PL"/>
        </w:rPr>
      </w:pPr>
      <w:r>
        <w:rPr>
          <w:lang w:eastAsia="pl-PL"/>
        </w:rPr>
        <w:t>tworzenie przepisów prawa lokalnego przychylnych powstawaniu tego typu inicjatyw</w:t>
      </w:r>
      <w:r w:rsidR="00E810BD">
        <w:rPr>
          <w:lang w:eastAsia="pl-PL"/>
        </w:rPr>
        <w:t>.</w:t>
      </w:r>
    </w:p>
    <w:p w14:paraId="34061ECE" w14:textId="23ED343E" w:rsidR="00FB191B" w:rsidRDefault="00921D1A" w:rsidP="006D5EA6">
      <w:pPr>
        <w:rPr>
          <w:lang w:eastAsia="pl-PL"/>
        </w:rPr>
      </w:pPr>
      <w:r w:rsidRPr="00411C8D">
        <w:rPr>
          <w:rFonts w:eastAsia="Calibri" w:cstheme="minorHAnsi"/>
          <w:color w:val="auto"/>
          <w:sz w:val="24"/>
          <w:szCs w:val="24"/>
        </w:rPr>
        <w:t xml:space="preserve">Wspieranie organizacji pozarządowych </w:t>
      </w:r>
      <w:r>
        <w:rPr>
          <w:rFonts w:eastAsia="Calibri" w:cstheme="minorHAnsi"/>
          <w:color w:val="auto"/>
          <w:sz w:val="24"/>
          <w:szCs w:val="24"/>
        </w:rPr>
        <w:t xml:space="preserve">przyniesienie także większe zaangażowanie mieszkańców. </w:t>
      </w:r>
      <w:r w:rsidR="006D5EA6">
        <w:rPr>
          <w:lang w:eastAsia="pl-PL"/>
        </w:rPr>
        <w:t>Wprowadzanie działań z zakresu partycypacji społecznej pozawala na realizację założeń trzeciej, najnowszej generacji inteligentnego miasta (Smart City 3.0), gdzie kluczową rolę w</w:t>
      </w:r>
      <w:r>
        <w:rPr>
          <w:lang w:eastAsia="pl-PL"/>
        </w:rPr>
        <w:t> </w:t>
      </w:r>
      <w:r w:rsidR="006D5EA6">
        <w:rPr>
          <w:lang w:eastAsia="pl-PL"/>
        </w:rPr>
        <w:t>rozwoju miasta odgrywają jego mieszkańcy. W najnowszym rozumieniu Smart Cities obywatele zaczynają współtworzyć swoje miasta. Stawia się na zachęcanie mieszkańców do korzystania z</w:t>
      </w:r>
      <w:r>
        <w:rPr>
          <w:lang w:eastAsia="pl-PL"/>
        </w:rPr>
        <w:t> </w:t>
      </w:r>
      <w:r w:rsidR="006D5EA6">
        <w:rPr>
          <w:lang w:eastAsia="pl-PL"/>
        </w:rPr>
        <w:t>dostępnych technologii, a zasadniczy wpływ mają prowadzone akcje edukujące oraz promujące taką postawę. Oczywiście najnowsze rozwiązania technologiczne odgrywają ważną kwestię, jednak również istotne są zagadnienia społeczne, ekonomiczne i ekologiczne. W takim rozumieniu Smart City, rolą władz lokalnych jest tworzenie przestrzeni i możliwości do zagospodarowania różnorodnego potencjału mieszkańców.</w:t>
      </w:r>
    </w:p>
    <w:p w14:paraId="498DE73E" w14:textId="77777777" w:rsidR="00921D1A" w:rsidRPr="00655FC7" w:rsidRDefault="00921D1A" w:rsidP="006D5EA6">
      <w:pPr>
        <w:rPr>
          <w:lang w:eastAsia="pl-PL"/>
        </w:rPr>
      </w:pPr>
    </w:p>
    <w:p w14:paraId="503FCD44" w14:textId="565C7632" w:rsidR="00C3065E" w:rsidRPr="00655FC7" w:rsidRDefault="00445369" w:rsidP="00B62479">
      <w:pPr>
        <w:pStyle w:val="Nagwek2"/>
      </w:pPr>
      <w:bookmarkStart w:id="264" w:name="_Toc143596956"/>
      <w:bookmarkStart w:id="265" w:name="_Toc177732090"/>
      <w:bookmarkStart w:id="266" w:name="_Toc21085219"/>
      <w:r w:rsidRPr="00655FC7">
        <w:t xml:space="preserve">Lista </w:t>
      </w:r>
      <w:r w:rsidR="000B3547" w:rsidRPr="00655FC7">
        <w:t>działań adaptacyjnych</w:t>
      </w:r>
      <w:bookmarkEnd w:id="264"/>
      <w:bookmarkEnd w:id="265"/>
    </w:p>
    <w:p w14:paraId="3AB28AA9" w14:textId="51EC492D" w:rsidR="00C3065E" w:rsidRPr="00655FC7" w:rsidRDefault="00C3065E" w:rsidP="00C3065E">
      <w:pPr>
        <w:tabs>
          <w:tab w:val="left" w:pos="3119"/>
        </w:tabs>
        <w:rPr>
          <w:rFonts w:cstheme="minorHAnsi"/>
          <w:color w:val="auto"/>
        </w:rPr>
      </w:pPr>
      <w:r w:rsidRPr="00655FC7">
        <w:rPr>
          <w:rFonts w:cstheme="minorHAnsi"/>
          <w:color w:val="auto"/>
        </w:rPr>
        <w:t>Wdrażanie</w:t>
      </w:r>
      <w:r w:rsidR="005A673A" w:rsidRPr="00655FC7">
        <w:rPr>
          <w:rFonts w:cstheme="minorHAnsi"/>
          <w:color w:val="auto"/>
        </w:rPr>
        <w:t xml:space="preserve"> </w:t>
      </w:r>
      <w:r w:rsidR="00F66461" w:rsidRPr="00655FC7">
        <w:rPr>
          <w:rFonts w:cstheme="minorHAnsi"/>
          <w:color w:val="auto"/>
        </w:rPr>
        <w:t>Planu Adaptacji</w:t>
      </w:r>
      <w:r w:rsidRPr="00655FC7">
        <w:rPr>
          <w:rFonts w:cstheme="minorHAnsi"/>
          <w:color w:val="auto"/>
        </w:rPr>
        <w:t xml:space="preserve"> jest procesem wielostopniowym, za który odpowiadać będzie samorząd gminy we współpracy z interesariuszami zewnętrznymi (zinstytucjonalizowanymi i indywidualnymi). W poniższej tabeli zaprezentowano wybrane działania adaptacyjne z ujęciem okresu realizacji, źródeł finansowania, wartości inwestycji oraz organów odpowiedzialnych za wdrażanie działań.</w:t>
      </w:r>
    </w:p>
    <w:p w14:paraId="181767CB" w14:textId="77777777" w:rsidR="00445369" w:rsidRPr="00655FC7" w:rsidRDefault="00445369" w:rsidP="00C3065E">
      <w:pPr>
        <w:tabs>
          <w:tab w:val="left" w:pos="3119"/>
        </w:tabs>
        <w:rPr>
          <w:rFonts w:cstheme="minorHAnsi"/>
          <w:color w:val="auto"/>
        </w:rPr>
      </w:pPr>
    </w:p>
    <w:p w14:paraId="21C6C87A" w14:textId="77777777" w:rsidR="00445369" w:rsidRPr="00655FC7" w:rsidRDefault="00445369" w:rsidP="00C3065E">
      <w:pPr>
        <w:tabs>
          <w:tab w:val="left" w:pos="3119"/>
        </w:tabs>
        <w:rPr>
          <w:rFonts w:cstheme="minorHAnsi"/>
          <w:color w:val="auto"/>
        </w:rPr>
        <w:sectPr w:rsidR="00445369" w:rsidRPr="00655FC7" w:rsidSect="00491157">
          <w:type w:val="continuous"/>
          <w:pgSz w:w="11906" w:h="16838"/>
          <w:pgMar w:top="1418" w:right="1418" w:bottom="1418" w:left="1418" w:header="709" w:footer="709" w:gutter="0"/>
          <w:cols w:space="708"/>
          <w:docGrid w:linePitch="360"/>
        </w:sectPr>
      </w:pPr>
    </w:p>
    <w:p w14:paraId="34ABD2C6" w14:textId="00EB6C10" w:rsidR="00134F17" w:rsidRPr="00655FC7" w:rsidRDefault="00134F17" w:rsidP="00037816">
      <w:pPr>
        <w:pStyle w:val="Styltabela"/>
        <w:rPr>
          <w:rFonts w:eastAsia="Calibri"/>
        </w:rPr>
      </w:pPr>
      <w:bookmarkStart w:id="267" w:name="_Toc48723041"/>
      <w:bookmarkStart w:id="268" w:name="_Toc178846337"/>
      <w:r w:rsidRPr="00655FC7">
        <w:rPr>
          <w:rFonts w:eastAsiaTheme="minorEastAsia"/>
        </w:rPr>
        <w:lastRenderedPageBreak/>
        <w:t xml:space="preserve">Tabela </w:t>
      </w:r>
      <w:r w:rsidR="00E833A9">
        <w:rPr>
          <w:rFonts w:eastAsiaTheme="minorEastAsia"/>
        </w:rPr>
        <w:fldChar w:fldCharType="begin"/>
      </w:r>
      <w:r w:rsidR="00E833A9">
        <w:rPr>
          <w:rFonts w:eastAsiaTheme="minorEastAsia"/>
        </w:rPr>
        <w:instrText xml:space="preserve"> SEQ Tabela \* ARABIC </w:instrText>
      </w:r>
      <w:r w:rsidR="00E833A9">
        <w:rPr>
          <w:rFonts w:eastAsiaTheme="minorEastAsia"/>
        </w:rPr>
        <w:fldChar w:fldCharType="separate"/>
      </w:r>
      <w:r w:rsidR="00A654D8">
        <w:rPr>
          <w:rFonts w:eastAsiaTheme="minorEastAsia"/>
          <w:noProof/>
        </w:rPr>
        <w:t>31</w:t>
      </w:r>
      <w:r w:rsidR="00E833A9">
        <w:rPr>
          <w:rFonts w:eastAsiaTheme="minorEastAsia"/>
        </w:rPr>
        <w:fldChar w:fldCharType="end"/>
      </w:r>
      <w:r w:rsidRPr="00655FC7">
        <w:rPr>
          <w:rFonts w:eastAsiaTheme="minorEastAsia"/>
        </w:rPr>
        <w:t>. Działania adaptacyjne</w:t>
      </w:r>
      <w:bookmarkEnd w:id="267"/>
      <w:r w:rsidR="00261099">
        <w:rPr>
          <w:rFonts w:eastAsiaTheme="minorEastAsia"/>
        </w:rPr>
        <w:t>.</w:t>
      </w:r>
      <w:bookmarkEnd w:id="268"/>
    </w:p>
    <w:tbl>
      <w:tblPr>
        <w:tblStyle w:val="Tabelasiatki4akcent6"/>
        <w:tblW w:w="15876" w:type="dxa"/>
        <w:jc w:val="center"/>
        <w:tblLayout w:type="fixed"/>
        <w:tblLook w:val="04A0" w:firstRow="1" w:lastRow="0" w:firstColumn="1" w:lastColumn="0" w:noHBand="0" w:noVBand="1"/>
      </w:tblPr>
      <w:tblGrid>
        <w:gridCol w:w="525"/>
        <w:gridCol w:w="1804"/>
        <w:gridCol w:w="1507"/>
        <w:gridCol w:w="1643"/>
        <w:gridCol w:w="963"/>
        <w:gridCol w:w="1098"/>
        <w:gridCol w:w="1915"/>
        <w:gridCol w:w="4711"/>
        <w:gridCol w:w="1710"/>
      </w:tblGrid>
      <w:tr w:rsidR="00E709CC" w:rsidRPr="0062347E" w14:paraId="38654935" w14:textId="77777777" w:rsidTr="009F3A89">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525" w:type="dxa"/>
            <w:tcBorders>
              <w:right w:val="single" w:sz="4" w:space="0" w:color="E6EED6" w:themeColor="accent6" w:themeTint="66"/>
            </w:tcBorders>
            <w:shd w:val="clear" w:color="auto" w:fill="C3E098" w:themeFill="accent1" w:themeFillTint="66"/>
            <w:vAlign w:val="center"/>
          </w:tcPr>
          <w:p w14:paraId="0290E7F5" w14:textId="77777777" w:rsidR="00E709CC" w:rsidRPr="0062347E" w:rsidRDefault="00E709CC" w:rsidP="00E20A97">
            <w:pPr>
              <w:widowControl w:val="0"/>
              <w:ind w:firstLine="0"/>
              <w:jc w:val="center"/>
              <w:rPr>
                <w:rFonts w:ascii="Calibri" w:hAnsi="Calibri" w:cs="Calibri"/>
                <w:b w:val="0"/>
                <w:bCs w:val="0"/>
                <w:color w:val="auto"/>
                <w:sz w:val="18"/>
                <w:szCs w:val="18"/>
                <w:lang w:eastAsia="pl-PL"/>
              </w:rPr>
            </w:pPr>
            <w:bookmarkStart w:id="269" w:name="_Hlk178840443"/>
            <w:r w:rsidRPr="0062347E">
              <w:rPr>
                <w:rFonts w:ascii="Calibri" w:hAnsi="Calibri" w:cs="Calibri"/>
                <w:color w:val="auto"/>
                <w:sz w:val="18"/>
                <w:szCs w:val="18"/>
                <w:lang w:eastAsia="pl-PL"/>
              </w:rPr>
              <w:t>Nr</w:t>
            </w:r>
          </w:p>
        </w:tc>
        <w:tc>
          <w:tcPr>
            <w:tcW w:w="1804" w:type="dxa"/>
            <w:tcBorders>
              <w:left w:val="single" w:sz="4" w:space="0" w:color="E6EED6" w:themeColor="accent6" w:themeTint="66"/>
              <w:right w:val="single" w:sz="4" w:space="0" w:color="E6EED6" w:themeColor="accent6" w:themeTint="66"/>
            </w:tcBorders>
            <w:shd w:val="clear" w:color="auto" w:fill="C3E098" w:themeFill="accent1" w:themeFillTint="66"/>
            <w:vAlign w:val="center"/>
          </w:tcPr>
          <w:p w14:paraId="0C1F49B8" w14:textId="77777777" w:rsidR="00E709CC" w:rsidRPr="0062347E" w:rsidRDefault="00E709CC" w:rsidP="00E20A97">
            <w:pPr>
              <w:widowControl w:val="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auto"/>
                <w:sz w:val="18"/>
                <w:szCs w:val="18"/>
                <w:lang w:eastAsia="pl-PL"/>
              </w:rPr>
            </w:pPr>
            <w:r w:rsidRPr="0062347E">
              <w:rPr>
                <w:rFonts w:ascii="Calibri" w:hAnsi="Calibri" w:cs="Calibri"/>
                <w:color w:val="auto"/>
                <w:sz w:val="18"/>
                <w:szCs w:val="18"/>
                <w:lang w:eastAsia="pl-PL"/>
              </w:rPr>
              <w:t>Nazwa</w:t>
            </w:r>
          </w:p>
        </w:tc>
        <w:tc>
          <w:tcPr>
            <w:tcW w:w="1507" w:type="dxa"/>
            <w:tcBorders>
              <w:left w:val="single" w:sz="4" w:space="0" w:color="E6EED6" w:themeColor="accent6" w:themeTint="66"/>
              <w:right w:val="single" w:sz="4" w:space="0" w:color="E6EED6" w:themeColor="accent6" w:themeTint="66"/>
            </w:tcBorders>
            <w:shd w:val="clear" w:color="auto" w:fill="C3E098" w:themeFill="accent1" w:themeFillTint="66"/>
            <w:vAlign w:val="center"/>
          </w:tcPr>
          <w:p w14:paraId="275BD5AA" w14:textId="77777777" w:rsidR="00E709CC" w:rsidRPr="0062347E" w:rsidRDefault="00E709CC" w:rsidP="00E20A97">
            <w:pPr>
              <w:widowControl w:val="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auto"/>
                <w:sz w:val="18"/>
                <w:szCs w:val="18"/>
                <w:lang w:eastAsia="pl-PL"/>
              </w:rPr>
            </w:pPr>
            <w:r w:rsidRPr="0062347E">
              <w:rPr>
                <w:rFonts w:ascii="Calibri" w:hAnsi="Calibri" w:cs="Calibri"/>
                <w:color w:val="auto"/>
                <w:sz w:val="18"/>
                <w:szCs w:val="18"/>
                <w:lang w:eastAsia="pl-PL"/>
              </w:rPr>
              <w:t xml:space="preserve">Jednostka odpowiedzialna za realizację </w:t>
            </w:r>
            <w:r w:rsidRPr="00880211">
              <w:rPr>
                <w:rFonts w:ascii="Calibri" w:hAnsi="Calibri" w:cs="Calibri"/>
                <w:color w:val="auto"/>
                <w:sz w:val="18"/>
                <w:szCs w:val="18"/>
                <w:lang w:eastAsia="pl-PL"/>
              </w:rPr>
              <w:t>zadania</w:t>
            </w:r>
          </w:p>
        </w:tc>
        <w:tc>
          <w:tcPr>
            <w:tcW w:w="1643" w:type="dxa"/>
            <w:tcBorders>
              <w:left w:val="single" w:sz="4" w:space="0" w:color="E6EED6" w:themeColor="accent6" w:themeTint="66"/>
              <w:right w:val="single" w:sz="4" w:space="0" w:color="E6EED6" w:themeColor="accent6" w:themeTint="66"/>
            </w:tcBorders>
            <w:shd w:val="clear" w:color="auto" w:fill="C3E098" w:themeFill="accent1" w:themeFillTint="66"/>
            <w:vAlign w:val="center"/>
          </w:tcPr>
          <w:p w14:paraId="09209F9C" w14:textId="77EC751C" w:rsidR="00E709CC" w:rsidRPr="0062347E" w:rsidRDefault="00E709CC" w:rsidP="00E20A97">
            <w:pPr>
              <w:widowControl w:val="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auto"/>
                <w:sz w:val="18"/>
                <w:szCs w:val="18"/>
                <w:lang w:eastAsia="pl-PL"/>
              </w:rPr>
            </w:pPr>
            <w:r w:rsidRPr="0062347E">
              <w:rPr>
                <w:rFonts w:ascii="Calibri" w:hAnsi="Calibri" w:cs="Calibri"/>
                <w:color w:val="auto"/>
                <w:sz w:val="18"/>
                <w:szCs w:val="18"/>
                <w:lang w:eastAsia="pl-PL"/>
              </w:rPr>
              <w:t>Działanie krótko-, średnio- czy długoterminowe; natychmiastowe, czy ciągłe</w:t>
            </w:r>
          </w:p>
        </w:tc>
        <w:tc>
          <w:tcPr>
            <w:tcW w:w="963" w:type="dxa"/>
            <w:tcBorders>
              <w:left w:val="single" w:sz="4" w:space="0" w:color="E6EED6" w:themeColor="accent6" w:themeTint="66"/>
              <w:right w:val="single" w:sz="4" w:space="0" w:color="E6EED6" w:themeColor="accent6" w:themeTint="66"/>
            </w:tcBorders>
            <w:shd w:val="clear" w:color="auto" w:fill="C3E098" w:themeFill="accent1" w:themeFillTint="66"/>
            <w:vAlign w:val="center"/>
          </w:tcPr>
          <w:p w14:paraId="4397EB7E" w14:textId="77777777" w:rsidR="00E709CC" w:rsidRPr="0062347E" w:rsidRDefault="00E709CC" w:rsidP="00E20A97">
            <w:pPr>
              <w:widowControl w:val="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auto"/>
                <w:sz w:val="18"/>
                <w:szCs w:val="18"/>
                <w:lang w:eastAsia="pl-PL"/>
              </w:rPr>
            </w:pPr>
            <w:r w:rsidRPr="0062347E">
              <w:rPr>
                <w:rFonts w:ascii="Calibri" w:hAnsi="Calibri" w:cs="Calibri"/>
                <w:color w:val="auto"/>
                <w:sz w:val="18"/>
                <w:szCs w:val="18"/>
                <w:lang w:eastAsia="pl-PL"/>
              </w:rPr>
              <w:t>Horyzont czasowy</w:t>
            </w:r>
          </w:p>
        </w:tc>
        <w:tc>
          <w:tcPr>
            <w:tcW w:w="1098" w:type="dxa"/>
            <w:tcBorders>
              <w:left w:val="single" w:sz="4" w:space="0" w:color="E6EED6" w:themeColor="accent6" w:themeTint="66"/>
              <w:right w:val="single" w:sz="4" w:space="0" w:color="E6EED6" w:themeColor="accent6" w:themeTint="66"/>
            </w:tcBorders>
            <w:shd w:val="clear" w:color="auto" w:fill="C3E098" w:themeFill="accent1" w:themeFillTint="66"/>
            <w:vAlign w:val="center"/>
          </w:tcPr>
          <w:p w14:paraId="36320B5E" w14:textId="283EB8D6" w:rsidR="00E709CC" w:rsidRPr="0062347E" w:rsidRDefault="00E709CC" w:rsidP="00E20A97">
            <w:pPr>
              <w:widowControl w:val="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auto"/>
                <w:sz w:val="18"/>
                <w:szCs w:val="18"/>
                <w:lang w:eastAsia="pl-PL"/>
              </w:rPr>
            </w:pPr>
            <w:r w:rsidRPr="0062347E">
              <w:rPr>
                <w:rFonts w:ascii="Calibri" w:hAnsi="Calibri" w:cs="Calibri"/>
                <w:color w:val="auto"/>
                <w:sz w:val="18"/>
                <w:szCs w:val="18"/>
                <w:lang w:eastAsia="pl-PL"/>
              </w:rPr>
              <w:t xml:space="preserve">Nr celu któremu odpowiada </w:t>
            </w:r>
            <w:r w:rsidR="00880211">
              <w:rPr>
                <w:rFonts w:ascii="Calibri" w:hAnsi="Calibri" w:cs="Calibri"/>
                <w:color w:val="auto"/>
                <w:sz w:val="18"/>
                <w:szCs w:val="18"/>
                <w:lang w:eastAsia="pl-PL"/>
              </w:rPr>
              <w:t>zadanie</w:t>
            </w:r>
          </w:p>
        </w:tc>
        <w:tc>
          <w:tcPr>
            <w:tcW w:w="1915" w:type="dxa"/>
            <w:tcBorders>
              <w:left w:val="single" w:sz="4" w:space="0" w:color="E6EED6" w:themeColor="accent6" w:themeTint="66"/>
              <w:right w:val="single" w:sz="4" w:space="0" w:color="E6EED6" w:themeColor="accent6" w:themeTint="66"/>
            </w:tcBorders>
            <w:shd w:val="clear" w:color="auto" w:fill="C3E098" w:themeFill="accent1" w:themeFillTint="66"/>
            <w:vAlign w:val="center"/>
          </w:tcPr>
          <w:p w14:paraId="38EAD4FD" w14:textId="77777777" w:rsidR="00E709CC" w:rsidRPr="0062347E" w:rsidRDefault="00E709CC" w:rsidP="00E20A97">
            <w:pPr>
              <w:widowControl w:val="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auto"/>
                <w:sz w:val="18"/>
                <w:szCs w:val="18"/>
                <w:lang w:eastAsia="pl-PL"/>
              </w:rPr>
            </w:pPr>
            <w:r w:rsidRPr="0062347E">
              <w:rPr>
                <w:rFonts w:ascii="Calibri" w:hAnsi="Calibri" w:cs="Calibri"/>
                <w:color w:val="auto"/>
                <w:sz w:val="18"/>
                <w:szCs w:val="18"/>
                <w:lang w:eastAsia="pl-PL"/>
              </w:rPr>
              <w:t>Redukowane ryzyko</w:t>
            </w:r>
          </w:p>
        </w:tc>
        <w:tc>
          <w:tcPr>
            <w:tcW w:w="4711" w:type="dxa"/>
            <w:tcBorders>
              <w:left w:val="single" w:sz="4" w:space="0" w:color="E6EED6" w:themeColor="accent6" w:themeTint="66"/>
              <w:right w:val="single" w:sz="4" w:space="0" w:color="E6EED6" w:themeColor="accent6" w:themeTint="66"/>
            </w:tcBorders>
            <w:shd w:val="clear" w:color="auto" w:fill="C3E098" w:themeFill="accent1" w:themeFillTint="66"/>
            <w:vAlign w:val="center"/>
          </w:tcPr>
          <w:p w14:paraId="23F9BE76" w14:textId="77777777" w:rsidR="00E709CC" w:rsidRPr="0062347E" w:rsidRDefault="00E709CC" w:rsidP="00E20A97">
            <w:pPr>
              <w:widowControl w:val="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auto"/>
                <w:sz w:val="18"/>
                <w:szCs w:val="18"/>
                <w:lang w:eastAsia="pl-PL"/>
              </w:rPr>
            </w:pPr>
            <w:r w:rsidRPr="0062347E">
              <w:rPr>
                <w:rFonts w:ascii="Calibri" w:hAnsi="Calibri" w:cs="Calibri"/>
                <w:color w:val="auto"/>
                <w:sz w:val="18"/>
                <w:szCs w:val="18"/>
                <w:lang w:eastAsia="pl-PL"/>
              </w:rPr>
              <w:t>Opis i efekt działania,</w:t>
            </w:r>
          </w:p>
          <w:p w14:paraId="3F0C7275" w14:textId="77777777" w:rsidR="00E709CC" w:rsidRPr="0062347E" w:rsidRDefault="00E709CC" w:rsidP="00E20A97">
            <w:pPr>
              <w:widowControl w:val="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auto"/>
                <w:sz w:val="18"/>
                <w:szCs w:val="18"/>
                <w:lang w:eastAsia="pl-PL"/>
              </w:rPr>
            </w:pPr>
            <w:r w:rsidRPr="0062347E">
              <w:rPr>
                <w:rFonts w:ascii="Calibri" w:hAnsi="Calibri" w:cs="Calibri"/>
                <w:color w:val="auto"/>
                <w:sz w:val="18"/>
                <w:szCs w:val="18"/>
                <w:lang w:eastAsia="pl-PL"/>
              </w:rPr>
              <w:t>lokalizacja</w:t>
            </w:r>
          </w:p>
        </w:tc>
        <w:tc>
          <w:tcPr>
            <w:tcW w:w="1710" w:type="dxa"/>
            <w:tcBorders>
              <w:left w:val="single" w:sz="4" w:space="0" w:color="E6EED6" w:themeColor="accent6" w:themeTint="66"/>
            </w:tcBorders>
            <w:shd w:val="clear" w:color="auto" w:fill="C3E098" w:themeFill="accent1" w:themeFillTint="66"/>
            <w:vAlign w:val="center"/>
          </w:tcPr>
          <w:p w14:paraId="5B8FD82E" w14:textId="77777777" w:rsidR="00E709CC" w:rsidRPr="003C4FAB" w:rsidRDefault="00E709CC" w:rsidP="00E20A97">
            <w:pPr>
              <w:widowControl w:val="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bCs w:val="0"/>
                <w:color w:val="auto"/>
                <w:sz w:val="18"/>
                <w:szCs w:val="18"/>
                <w:lang w:eastAsia="pl-PL"/>
              </w:rPr>
            </w:pPr>
            <w:r w:rsidRPr="003C4FAB">
              <w:rPr>
                <w:rFonts w:ascii="Calibri" w:eastAsia="Aptos" w:hAnsi="Calibri" w:cs="Calibri"/>
                <w:color w:val="auto"/>
                <w:sz w:val="18"/>
                <w:szCs w:val="18"/>
                <w:lang w:eastAsia="pl-PL"/>
              </w:rPr>
              <w:t>Inwestycje zawsze znacząco wpływające na środowisko / Inwestycje potencjalnie znacząco wpływające na środowisko</w:t>
            </w:r>
            <w:r w:rsidRPr="003C4FAB">
              <w:rPr>
                <w:rStyle w:val="Odwoanieprzypisudolnego"/>
                <w:rFonts w:ascii="Calibri" w:eastAsia="Aptos" w:hAnsi="Calibri" w:cs="Calibri"/>
                <w:color w:val="auto"/>
                <w:sz w:val="18"/>
                <w:szCs w:val="18"/>
                <w:lang w:eastAsia="pl-PL"/>
              </w:rPr>
              <w:footnoteReference w:id="48"/>
            </w:r>
          </w:p>
        </w:tc>
      </w:tr>
      <w:tr w:rsidR="00E709CC" w:rsidRPr="0062347E" w14:paraId="4A3676D8" w14:textId="77777777" w:rsidTr="009F3A89">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525" w:type="dxa"/>
            <w:shd w:val="clear" w:color="auto" w:fill="AAC472" w:themeFill="accent5" w:themeFillShade="BF"/>
            <w:vAlign w:val="center"/>
          </w:tcPr>
          <w:p w14:paraId="20B650B2" w14:textId="77777777" w:rsidR="00E709CC" w:rsidRPr="0062347E" w:rsidRDefault="00E709CC">
            <w:pPr>
              <w:pStyle w:val="Akapitzlist"/>
              <w:widowControl w:val="0"/>
              <w:numPr>
                <w:ilvl w:val="0"/>
                <w:numId w:val="86"/>
              </w:numPr>
              <w:ind w:left="0" w:firstLine="0"/>
              <w:jc w:val="center"/>
              <w:rPr>
                <w:rFonts w:ascii="Calibri" w:hAnsi="Calibri" w:cs="Calibri"/>
                <w:color w:val="auto"/>
                <w:sz w:val="18"/>
                <w:szCs w:val="18"/>
                <w:lang w:eastAsia="pl-PL"/>
              </w:rPr>
            </w:pPr>
          </w:p>
        </w:tc>
        <w:tc>
          <w:tcPr>
            <w:tcW w:w="15351" w:type="dxa"/>
            <w:gridSpan w:val="8"/>
            <w:shd w:val="clear" w:color="auto" w:fill="AAC472" w:themeFill="accent5" w:themeFillShade="BF"/>
            <w:vAlign w:val="center"/>
          </w:tcPr>
          <w:p w14:paraId="0D42795C" w14:textId="77777777" w:rsidR="00E709CC" w:rsidRPr="003C4FAB"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auto"/>
                <w:sz w:val="18"/>
                <w:szCs w:val="18"/>
                <w:lang w:eastAsia="pl-PL"/>
              </w:rPr>
            </w:pPr>
            <w:r w:rsidRPr="003C4FAB">
              <w:rPr>
                <w:rFonts w:ascii="Calibri" w:hAnsi="Calibri" w:cs="Calibri"/>
                <w:b/>
                <w:bCs/>
                <w:color w:val="auto"/>
                <w:lang w:eastAsia="pl-PL"/>
              </w:rPr>
              <w:t>OBSZAR ZIELEŃ</w:t>
            </w:r>
          </w:p>
        </w:tc>
      </w:tr>
      <w:tr w:rsidR="00E709CC" w:rsidRPr="0062347E" w14:paraId="20E24694" w14:textId="77777777" w:rsidTr="009F3A89">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267A0DB1" w14:textId="77777777" w:rsidR="00E709CC" w:rsidRPr="0062347E" w:rsidRDefault="00E709CC">
            <w:pPr>
              <w:pStyle w:val="Akapitzlist"/>
              <w:widowControl w:val="0"/>
              <w:numPr>
                <w:ilvl w:val="1"/>
                <w:numId w:val="86"/>
              </w:numPr>
              <w:ind w:left="0" w:firstLine="0"/>
              <w:jc w:val="center"/>
              <w:rPr>
                <w:rFonts w:ascii="Calibri" w:hAnsi="Calibri" w:cs="Calibri"/>
                <w:sz w:val="18"/>
                <w:szCs w:val="18"/>
                <w:lang w:eastAsia="pl-PL"/>
              </w:rPr>
            </w:pPr>
            <w:bookmarkStart w:id="270" w:name="_Hlk178838511"/>
          </w:p>
        </w:tc>
        <w:tc>
          <w:tcPr>
            <w:tcW w:w="1804" w:type="dxa"/>
            <w:vAlign w:val="center"/>
          </w:tcPr>
          <w:p w14:paraId="336C153F"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Zachowanie zieleni istniejącej i rozwój nowej</w:t>
            </w:r>
          </w:p>
        </w:tc>
        <w:tc>
          <w:tcPr>
            <w:tcW w:w="1507" w:type="dxa"/>
            <w:vAlign w:val="center"/>
          </w:tcPr>
          <w:p w14:paraId="5477D279"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13D25BD4"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08198EC3"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578691E6"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1,2,4</w:t>
            </w:r>
          </w:p>
        </w:tc>
        <w:tc>
          <w:tcPr>
            <w:tcW w:w="1915" w:type="dxa"/>
            <w:vAlign w:val="center"/>
          </w:tcPr>
          <w:p w14:paraId="60981432"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Zasklepianie terenu, miejska wyspa ciepła, zanieczyszczenie powietrza</w:t>
            </w:r>
          </w:p>
        </w:tc>
        <w:tc>
          <w:tcPr>
            <w:tcW w:w="4711" w:type="dxa"/>
            <w:vAlign w:val="center"/>
          </w:tcPr>
          <w:p w14:paraId="454BB4BB"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Utrzymanie istniejących terenów zieleni na terenie miasta ma na celu ochronę środowiska, a powstawanie nowych obszarów zieleni pozwoli na ich rozwój. Nastąpi poprawa jakości życia mieszkańców i powietrza oraz redukcja zjawiska miejskiej wyspy ciepła.</w:t>
            </w:r>
          </w:p>
        </w:tc>
        <w:tc>
          <w:tcPr>
            <w:tcW w:w="1710" w:type="dxa"/>
            <w:vAlign w:val="center"/>
          </w:tcPr>
          <w:p w14:paraId="0461395D" w14:textId="77777777" w:rsidR="00E709CC" w:rsidRPr="003C4FAB"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bookmarkEnd w:id="270"/>
      <w:tr w:rsidR="00E709CC" w:rsidRPr="0062347E" w14:paraId="5CB30A04" w14:textId="77777777" w:rsidTr="009F3A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23BA7289" w14:textId="77777777" w:rsidR="00E709CC" w:rsidRPr="0062347E" w:rsidRDefault="00E709CC">
            <w:pPr>
              <w:pStyle w:val="Akapitzlist"/>
              <w:widowControl w:val="0"/>
              <w:numPr>
                <w:ilvl w:val="1"/>
                <w:numId w:val="86"/>
              </w:numPr>
              <w:ind w:left="0" w:firstLine="0"/>
              <w:jc w:val="center"/>
              <w:rPr>
                <w:rFonts w:ascii="Calibri" w:hAnsi="Calibri" w:cs="Calibri"/>
                <w:sz w:val="18"/>
                <w:szCs w:val="18"/>
                <w:lang w:eastAsia="pl-PL"/>
              </w:rPr>
            </w:pPr>
          </w:p>
        </w:tc>
        <w:tc>
          <w:tcPr>
            <w:tcW w:w="1804" w:type="dxa"/>
            <w:vAlign w:val="center"/>
          </w:tcPr>
          <w:p w14:paraId="42C8B248"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Zapewnienie zadrzewień przy obiekcie sportowym</w:t>
            </w:r>
          </w:p>
        </w:tc>
        <w:tc>
          <w:tcPr>
            <w:tcW w:w="1507" w:type="dxa"/>
            <w:vAlign w:val="center"/>
          </w:tcPr>
          <w:p w14:paraId="286C5D0F"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603AC750"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Krótkoterminowe, ciągłe</w:t>
            </w:r>
          </w:p>
        </w:tc>
        <w:tc>
          <w:tcPr>
            <w:tcW w:w="963" w:type="dxa"/>
            <w:vAlign w:val="center"/>
          </w:tcPr>
          <w:p w14:paraId="49FD311D"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1151F257"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1,2,4</w:t>
            </w:r>
          </w:p>
        </w:tc>
        <w:tc>
          <w:tcPr>
            <w:tcW w:w="1915" w:type="dxa"/>
            <w:vAlign w:val="center"/>
          </w:tcPr>
          <w:p w14:paraId="0FCAAE0E"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Wysokie temperatury</w:t>
            </w:r>
          </w:p>
        </w:tc>
        <w:tc>
          <w:tcPr>
            <w:tcW w:w="4711" w:type="dxa"/>
            <w:vAlign w:val="center"/>
          </w:tcPr>
          <w:p w14:paraId="6D83F645"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Zapewnienie drzew w pobliżu obiektu sportowego, które w dłuższej perspektywie, poprzez odpowiednią wysokość zapewnią osłonę w postaci cienia. Zadanie to pozwoli na komfortowe korzystanie z obiektu sportowego.</w:t>
            </w:r>
          </w:p>
        </w:tc>
        <w:tc>
          <w:tcPr>
            <w:tcW w:w="1710" w:type="dxa"/>
            <w:vAlign w:val="center"/>
          </w:tcPr>
          <w:p w14:paraId="7A8BB531" w14:textId="77777777" w:rsidR="00E709CC" w:rsidRPr="003C4FAB"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E709CC" w:rsidRPr="0062347E" w14:paraId="0017EA12" w14:textId="77777777" w:rsidTr="009F3A89">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5B9426F9" w14:textId="77777777" w:rsidR="00E709CC" w:rsidRPr="0062347E" w:rsidRDefault="00E709CC">
            <w:pPr>
              <w:pStyle w:val="Akapitzlist"/>
              <w:widowControl w:val="0"/>
              <w:numPr>
                <w:ilvl w:val="1"/>
                <w:numId w:val="86"/>
              </w:numPr>
              <w:tabs>
                <w:tab w:val="left" w:pos="3119"/>
              </w:tabs>
              <w:ind w:left="0" w:firstLine="0"/>
              <w:jc w:val="center"/>
              <w:rPr>
                <w:rFonts w:ascii="Calibri" w:hAnsi="Calibri" w:cs="Calibri"/>
                <w:sz w:val="18"/>
                <w:szCs w:val="18"/>
                <w:lang w:eastAsia="pl-PL"/>
              </w:rPr>
            </w:pPr>
          </w:p>
        </w:tc>
        <w:tc>
          <w:tcPr>
            <w:tcW w:w="1804" w:type="dxa"/>
            <w:vAlign w:val="center"/>
          </w:tcPr>
          <w:p w14:paraId="5DA81165" w14:textId="77777777" w:rsidR="00E709CC" w:rsidRPr="0062347E" w:rsidRDefault="00E709CC" w:rsidP="00E20A97">
            <w:pPr>
              <w:widowControl w:val="0"/>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Rewitalizacja skweru przy rynku</w:t>
            </w:r>
          </w:p>
        </w:tc>
        <w:tc>
          <w:tcPr>
            <w:tcW w:w="1507" w:type="dxa"/>
            <w:vAlign w:val="center"/>
          </w:tcPr>
          <w:p w14:paraId="13B041F6"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6BDF2DEA"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Krótkoterminowe, natychmiastowe</w:t>
            </w:r>
          </w:p>
        </w:tc>
        <w:tc>
          <w:tcPr>
            <w:tcW w:w="963" w:type="dxa"/>
            <w:vAlign w:val="center"/>
          </w:tcPr>
          <w:p w14:paraId="6BF16902"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27566D6F"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1,2,4,5</w:t>
            </w:r>
          </w:p>
        </w:tc>
        <w:tc>
          <w:tcPr>
            <w:tcW w:w="1915" w:type="dxa"/>
            <w:vAlign w:val="center"/>
          </w:tcPr>
          <w:p w14:paraId="39B110F8"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Miejska wyspa ciepła, zły stan środowiska, zanieczyszczenie powietrza</w:t>
            </w:r>
          </w:p>
        </w:tc>
        <w:tc>
          <w:tcPr>
            <w:tcW w:w="4711" w:type="dxa"/>
            <w:vAlign w:val="center"/>
          </w:tcPr>
          <w:p w14:paraId="58E4C52C" w14:textId="5107BDE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Zakres przedsięwzięcia obejmuje uporządkowanie istniejącej zieleni, montaż zielonej ściany oddzielającej skwer od drogi wojewódzkiej, wyznaczenie alejek. Realizacja zadania zapewni mieszkańc</w:t>
            </w:r>
            <w:r w:rsidR="0009315C">
              <w:rPr>
                <w:rFonts w:ascii="Calibri" w:hAnsi="Calibri" w:cs="Calibri"/>
                <w:sz w:val="18"/>
                <w:szCs w:val="18"/>
                <w:lang w:eastAsia="pl-PL"/>
              </w:rPr>
              <w:t>om</w:t>
            </w:r>
            <w:r w:rsidRPr="0062347E">
              <w:rPr>
                <w:rFonts w:ascii="Calibri" w:hAnsi="Calibri" w:cs="Calibri"/>
                <w:sz w:val="18"/>
                <w:szCs w:val="18"/>
                <w:lang w:eastAsia="pl-PL"/>
              </w:rPr>
              <w:t xml:space="preserve"> zieloną przestrzeń, oddzieloną od ruchliwej drogi wojewódzkiej.</w:t>
            </w:r>
            <w:r w:rsidR="007D5385">
              <w:rPr>
                <w:rFonts w:ascii="Calibri" w:hAnsi="Calibri" w:cs="Calibri"/>
                <w:sz w:val="18"/>
                <w:szCs w:val="18"/>
                <w:lang w:eastAsia="pl-PL"/>
              </w:rPr>
              <w:t xml:space="preserve"> </w:t>
            </w:r>
            <w:r w:rsidR="000757D1">
              <w:rPr>
                <w:rFonts w:ascii="Calibri" w:hAnsi="Calibri" w:cs="Calibri"/>
                <w:sz w:val="18"/>
                <w:szCs w:val="18"/>
                <w:lang w:eastAsia="pl-PL"/>
              </w:rPr>
              <w:t xml:space="preserve">Lokalizacja: dz. nr 1249/2, 1247/11. </w:t>
            </w:r>
            <w:r w:rsidR="007D5385">
              <w:rPr>
                <w:rFonts w:ascii="Calibri" w:hAnsi="Calibri" w:cs="Calibri"/>
                <w:sz w:val="18"/>
                <w:szCs w:val="18"/>
                <w:lang w:eastAsia="pl-PL"/>
              </w:rPr>
              <w:t>Zadanie zawarto w gminnym programie rewitalizacji dla Gminy Tarnogród na lata 2024-2030.</w:t>
            </w:r>
          </w:p>
        </w:tc>
        <w:tc>
          <w:tcPr>
            <w:tcW w:w="1710" w:type="dxa"/>
            <w:vAlign w:val="center"/>
          </w:tcPr>
          <w:p w14:paraId="5B6D02F9" w14:textId="77777777" w:rsidR="00E709CC" w:rsidRPr="003C4FAB"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E709CC" w:rsidRPr="0062347E" w14:paraId="1CDAC77D" w14:textId="77777777" w:rsidTr="009F3A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307B5F53" w14:textId="77777777" w:rsidR="00E709CC" w:rsidRPr="0062347E" w:rsidRDefault="00E709CC">
            <w:pPr>
              <w:pStyle w:val="Akapitzlist"/>
              <w:widowControl w:val="0"/>
              <w:numPr>
                <w:ilvl w:val="1"/>
                <w:numId w:val="86"/>
              </w:numPr>
              <w:tabs>
                <w:tab w:val="left" w:pos="3119"/>
              </w:tabs>
              <w:ind w:left="0" w:firstLine="0"/>
              <w:jc w:val="center"/>
              <w:rPr>
                <w:rFonts w:ascii="Calibri" w:eastAsia="Times New Roman" w:hAnsi="Calibri" w:cs="Calibri"/>
                <w:color w:val="auto"/>
                <w:sz w:val="18"/>
                <w:szCs w:val="18"/>
                <w:lang w:eastAsia="pl-PL"/>
              </w:rPr>
            </w:pPr>
          </w:p>
        </w:tc>
        <w:tc>
          <w:tcPr>
            <w:tcW w:w="1804" w:type="dxa"/>
            <w:vAlign w:val="center"/>
          </w:tcPr>
          <w:p w14:paraId="0804C222" w14:textId="77777777" w:rsidR="00E709CC" w:rsidRPr="0062347E" w:rsidRDefault="00E709CC" w:rsidP="00E20A97">
            <w:pPr>
              <w:widowControl w:val="0"/>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Rozwój zieleni nieuporządkowanej</w:t>
            </w:r>
          </w:p>
        </w:tc>
        <w:tc>
          <w:tcPr>
            <w:tcW w:w="1507" w:type="dxa"/>
            <w:vAlign w:val="center"/>
          </w:tcPr>
          <w:p w14:paraId="39983E56"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bCs/>
                <w:color w:val="auto"/>
                <w:sz w:val="18"/>
                <w:szCs w:val="18"/>
              </w:rPr>
            </w:pPr>
            <w:r w:rsidRPr="0062347E">
              <w:rPr>
                <w:rFonts w:ascii="Calibri" w:eastAsia="Calibri" w:hAnsi="Calibri" w:cs="Calibri"/>
                <w:bCs/>
                <w:color w:val="auto"/>
                <w:sz w:val="18"/>
                <w:szCs w:val="18"/>
              </w:rPr>
              <w:t>Urząd Miejski w Tarnogrodzie</w:t>
            </w:r>
          </w:p>
        </w:tc>
        <w:tc>
          <w:tcPr>
            <w:tcW w:w="1643" w:type="dxa"/>
            <w:vAlign w:val="center"/>
          </w:tcPr>
          <w:p w14:paraId="209C349F"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239B8743"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20A0E477"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1,2,4,5,6</w:t>
            </w:r>
          </w:p>
        </w:tc>
        <w:tc>
          <w:tcPr>
            <w:tcW w:w="1915" w:type="dxa"/>
            <w:vAlign w:val="center"/>
          </w:tcPr>
          <w:p w14:paraId="57697BE0"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Zły stan środowiska, wysokie temperatury, powodzie i podtopienia, niska świadomość mieszkańców</w:t>
            </w:r>
          </w:p>
        </w:tc>
        <w:tc>
          <w:tcPr>
            <w:tcW w:w="4711" w:type="dxa"/>
            <w:vAlign w:val="center"/>
          </w:tcPr>
          <w:p w14:paraId="04C227A1"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Zieleń nieuporządkowana, niewymagająca dodatkowego urządzania i pielęgnacji jest ważna pod względem jej odporności na zmiany klimatu. Pozostawianie obszarów zieleni nieuporządkowanej może wiązać się ze społecznym sprzeciwem, dlatego jednocześnie należy edukować mieszkańców na temat walorów tego rozwiązania.</w:t>
            </w:r>
          </w:p>
        </w:tc>
        <w:tc>
          <w:tcPr>
            <w:tcW w:w="1710" w:type="dxa"/>
            <w:vAlign w:val="center"/>
          </w:tcPr>
          <w:p w14:paraId="27770A81" w14:textId="77777777" w:rsidR="00E709CC" w:rsidRPr="003C4FAB"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E709CC" w:rsidRPr="0062347E" w14:paraId="2969C920" w14:textId="77777777" w:rsidTr="009F3A89">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1023CAF9" w14:textId="77777777" w:rsidR="00E709CC" w:rsidRPr="0062347E" w:rsidRDefault="00E709CC">
            <w:pPr>
              <w:pStyle w:val="Akapitzlist"/>
              <w:widowControl w:val="0"/>
              <w:numPr>
                <w:ilvl w:val="1"/>
                <w:numId w:val="86"/>
              </w:numPr>
              <w:ind w:left="0" w:firstLine="0"/>
              <w:jc w:val="center"/>
              <w:rPr>
                <w:rFonts w:ascii="Calibri" w:hAnsi="Calibri" w:cs="Calibri"/>
                <w:sz w:val="18"/>
                <w:szCs w:val="18"/>
                <w:lang w:eastAsia="pl-PL"/>
              </w:rPr>
            </w:pPr>
          </w:p>
        </w:tc>
        <w:tc>
          <w:tcPr>
            <w:tcW w:w="1804" w:type="dxa"/>
            <w:vAlign w:val="center"/>
          </w:tcPr>
          <w:p w14:paraId="482E6DA6"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Odpowiedni dobór roślin odpornych</w:t>
            </w:r>
          </w:p>
        </w:tc>
        <w:tc>
          <w:tcPr>
            <w:tcW w:w="1507" w:type="dxa"/>
            <w:vAlign w:val="center"/>
          </w:tcPr>
          <w:p w14:paraId="3831662D"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5A29A343"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0A693628"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014F56D4"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1,2,4,5</w:t>
            </w:r>
          </w:p>
        </w:tc>
        <w:tc>
          <w:tcPr>
            <w:tcW w:w="1915" w:type="dxa"/>
            <w:vAlign w:val="center"/>
          </w:tcPr>
          <w:p w14:paraId="5BC2C2A1"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 xml:space="preserve">Zły stan środowiska, powodzie i </w:t>
            </w:r>
            <w:r w:rsidRPr="0062347E">
              <w:rPr>
                <w:rFonts w:ascii="Calibri" w:hAnsi="Calibri" w:cs="Calibri"/>
                <w:sz w:val="18"/>
                <w:szCs w:val="18"/>
                <w:lang w:eastAsia="pl-PL"/>
              </w:rPr>
              <w:lastRenderedPageBreak/>
              <w:t>podtopienia, ekstremalne zjawiska pogodowe</w:t>
            </w:r>
          </w:p>
        </w:tc>
        <w:tc>
          <w:tcPr>
            <w:tcW w:w="4711" w:type="dxa"/>
            <w:vAlign w:val="center"/>
          </w:tcPr>
          <w:p w14:paraId="59B17C7F" w14:textId="6B7A391C"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lastRenderedPageBreak/>
              <w:t>Przy projektowaniu oraz rewitalizowaniu obszarów zieleni, przy doborze roślin do nasadzeń</w:t>
            </w:r>
            <w:r w:rsidR="0009315C">
              <w:rPr>
                <w:rFonts w:ascii="Calibri" w:hAnsi="Calibri" w:cs="Calibri"/>
                <w:sz w:val="18"/>
                <w:szCs w:val="18"/>
                <w:lang w:eastAsia="pl-PL"/>
              </w:rPr>
              <w:t>,</w:t>
            </w:r>
            <w:r w:rsidRPr="0062347E">
              <w:rPr>
                <w:rFonts w:ascii="Calibri" w:hAnsi="Calibri" w:cs="Calibri"/>
                <w:sz w:val="18"/>
                <w:szCs w:val="18"/>
                <w:lang w:eastAsia="pl-PL"/>
              </w:rPr>
              <w:t xml:space="preserve"> należy kierować się </w:t>
            </w:r>
            <w:r w:rsidRPr="0062347E">
              <w:rPr>
                <w:rFonts w:ascii="Calibri" w:hAnsi="Calibri" w:cs="Calibri"/>
                <w:sz w:val="18"/>
                <w:szCs w:val="18"/>
                <w:lang w:eastAsia="pl-PL"/>
              </w:rPr>
              <w:lastRenderedPageBreak/>
              <w:t>kryterium ich odporności na zmiany klimatu i ekstremalne zjawiska pogodowe. Taki dobór zapewni powstanie terenów zieleni odpornych, niewymagających intensywnego wsparcia, funkcjonujących długotrwale.</w:t>
            </w:r>
          </w:p>
        </w:tc>
        <w:tc>
          <w:tcPr>
            <w:tcW w:w="1710" w:type="dxa"/>
            <w:vAlign w:val="center"/>
          </w:tcPr>
          <w:p w14:paraId="0901E98F" w14:textId="77777777" w:rsidR="00E709CC" w:rsidRPr="003C4FAB"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lastRenderedPageBreak/>
              <w:t>NIE</w:t>
            </w:r>
          </w:p>
        </w:tc>
      </w:tr>
      <w:tr w:rsidR="00E709CC" w:rsidRPr="0062347E" w14:paraId="7F4FA8C3" w14:textId="77777777" w:rsidTr="009F3A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5A55909D" w14:textId="77777777" w:rsidR="00E709CC" w:rsidRPr="0062347E" w:rsidRDefault="00E709CC">
            <w:pPr>
              <w:pStyle w:val="Akapitzlist"/>
              <w:widowControl w:val="0"/>
              <w:numPr>
                <w:ilvl w:val="1"/>
                <w:numId w:val="86"/>
              </w:numPr>
              <w:ind w:left="0" w:firstLine="0"/>
              <w:jc w:val="center"/>
              <w:rPr>
                <w:rFonts w:ascii="Calibri" w:eastAsia="Times New Roman" w:hAnsi="Calibri" w:cs="Calibri"/>
                <w:color w:val="auto"/>
                <w:sz w:val="18"/>
                <w:szCs w:val="18"/>
                <w:lang w:eastAsia="pl-PL"/>
              </w:rPr>
            </w:pPr>
          </w:p>
        </w:tc>
        <w:tc>
          <w:tcPr>
            <w:tcW w:w="1804" w:type="dxa"/>
            <w:vAlign w:val="center"/>
          </w:tcPr>
          <w:p w14:paraId="1F99B586"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Ochrona drzew wysokich</w:t>
            </w:r>
          </w:p>
        </w:tc>
        <w:tc>
          <w:tcPr>
            <w:tcW w:w="1507" w:type="dxa"/>
            <w:vAlign w:val="center"/>
          </w:tcPr>
          <w:p w14:paraId="66D58B07"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294371F9"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1B781C8D"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69EBFE73"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1,2,4</w:t>
            </w:r>
          </w:p>
        </w:tc>
        <w:tc>
          <w:tcPr>
            <w:tcW w:w="1915" w:type="dxa"/>
            <w:vAlign w:val="center"/>
          </w:tcPr>
          <w:p w14:paraId="1D8D6895"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Wysokie temperatury, zanieczyszczenie powietrza, zły stan środowiska</w:t>
            </w:r>
          </w:p>
        </w:tc>
        <w:tc>
          <w:tcPr>
            <w:tcW w:w="4711" w:type="dxa"/>
            <w:vAlign w:val="center"/>
          </w:tcPr>
          <w:p w14:paraId="54F1D7B2" w14:textId="21CF96B3"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W przypadku budowy/przebudowy dróg lub innych prac remontowych i budowalnych lub nacisków społeczności, należy zapobiegać wycince drzew wysokich. Drzewa w przestrzeni miejskiej obniżają temperaturę i działają korzystnie na samopoczucie mieszkańców. Ponadto, należy prowadzić monitoring i pielęgnacj</w:t>
            </w:r>
            <w:r w:rsidR="0009315C">
              <w:rPr>
                <w:rFonts w:ascii="Calibri" w:hAnsi="Calibri" w:cs="Calibri"/>
                <w:sz w:val="18"/>
                <w:szCs w:val="18"/>
                <w:lang w:eastAsia="pl-PL"/>
              </w:rPr>
              <w:t>ę</w:t>
            </w:r>
            <w:r w:rsidRPr="0062347E">
              <w:rPr>
                <w:rFonts w:ascii="Calibri" w:hAnsi="Calibri" w:cs="Calibri"/>
                <w:sz w:val="18"/>
                <w:szCs w:val="18"/>
                <w:lang w:eastAsia="pl-PL"/>
              </w:rPr>
              <w:t xml:space="preserve"> drzew, celem zapobiegania chorób.</w:t>
            </w:r>
          </w:p>
        </w:tc>
        <w:tc>
          <w:tcPr>
            <w:tcW w:w="1710" w:type="dxa"/>
            <w:vAlign w:val="center"/>
          </w:tcPr>
          <w:p w14:paraId="5CECB103" w14:textId="77777777" w:rsidR="00E709CC" w:rsidRPr="003C4FAB"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E709CC" w:rsidRPr="0062347E" w14:paraId="7C700E89" w14:textId="77777777" w:rsidTr="009F3A89">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2E0A3787" w14:textId="77777777" w:rsidR="00E709CC" w:rsidRPr="0062347E" w:rsidRDefault="00E709CC">
            <w:pPr>
              <w:pStyle w:val="Akapitzlist"/>
              <w:widowControl w:val="0"/>
              <w:numPr>
                <w:ilvl w:val="1"/>
                <w:numId w:val="86"/>
              </w:numPr>
              <w:ind w:left="0" w:firstLine="0"/>
              <w:jc w:val="center"/>
              <w:rPr>
                <w:rFonts w:ascii="Calibri" w:eastAsia="Times New Roman" w:hAnsi="Calibri" w:cs="Calibri"/>
                <w:color w:val="auto"/>
                <w:sz w:val="18"/>
                <w:szCs w:val="18"/>
                <w:lang w:eastAsia="pl-PL"/>
              </w:rPr>
            </w:pPr>
          </w:p>
        </w:tc>
        <w:tc>
          <w:tcPr>
            <w:tcW w:w="1804" w:type="dxa"/>
            <w:vAlign w:val="center"/>
          </w:tcPr>
          <w:p w14:paraId="59010517"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Ochrona zieleni przy projektach budowy</w:t>
            </w:r>
          </w:p>
        </w:tc>
        <w:tc>
          <w:tcPr>
            <w:tcW w:w="1507" w:type="dxa"/>
            <w:vAlign w:val="center"/>
          </w:tcPr>
          <w:p w14:paraId="172D3566"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3C664F10"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3BF3FDD1"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1A5D0F13"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1,2,4</w:t>
            </w:r>
          </w:p>
        </w:tc>
        <w:tc>
          <w:tcPr>
            <w:tcW w:w="1915" w:type="dxa"/>
            <w:vAlign w:val="center"/>
          </w:tcPr>
          <w:p w14:paraId="7F17FEB3"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Zasklepianie terenu, miejska wyspa ciepła, zanieczyszczenie powietrza</w:t>
            </w:r>
          </w:p>
        </w:tc>
        <w:tc>
          <w:tcPr>
            <w:tcW w:w="4711" w:type="dxa"/>
            <w:vAlign w:val="center"/>
          </w:tcPr>
          <w:p w14:paraId="56931F13"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W przypadku budowy/przebudowy dróg lub innych prac remontowych i budowalnych należy zapobiegać likwidacji terenów zielonych i zastępowaniu ich terenami zasklepionymi. Zieleń miejska poprawia retencję, obniża temperaturę i zwiększa jakość życia, dlatego należy chronić zieleń już istniejącą.</w:t>
            </w:r>
          </w:p>
        </w:tc>
        <w:tc>
          <w:tcPr>
            <w:tcW w:w="1710" w:type="dxa"/>
            <w:vAlign w:val="center"/>
          </w:tcPr>
          <w:p w14:paraId="651BF417" w14:textId="77777777" w:rsidR="00E709CC" w:rsidRPr="003C4FAB"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E709CC" w:rsidRPr="0062347E" w14:paraId="71857F12" w14:textId="77777777" w:rsidTr="009F3A89">
        <w:trPr>
          <w:cnfStyle w:val="000000100000" w:firstRow="0" w:lastRow="0" w:firstColumn="0" w:lastColumn="0" w:oddVBand="0" w:evenVBand="0" w:oddHBand="1" w:evenHBand="0" w:firstRowFirstColumn="0" w:firstRowLastColumn="0" w:lastRowFirstColumn="0" w:lastRowLastColumn="0"/>
          <w:trHeight w:val="228"/>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71EAAB75" w14:textId="77777777" w:rsidR="00E709CC" w:rsidRPr="0062347E" w:rsidRDefault="00E709CC">
            <w:pPr>
              <w:pStyle w:val="Akapitzlist"/>
              <w:widowControl w:val="0"/>
              <w:numPr>
                <w:ilvl w:val="1"/>
                <w:numId w:val="86"/>
              </w:numPr>
              <w:ind w:left="0" w:firstLine="0"/>
              <w:jc w:val="center"/>
              <w:rPr>
                <w:rFonts w:ascii="Calibri" w:eastAsia="Times New Roman" w:hAnsi="Calibri" w:cs="Calibri"/>
                <w:color w:val="auto"/>
                <w:sz w:val="18"/>
                <w:szCs w:val="18"/>
                <w:lang w:eastAsia="pl-PL"/>
              </w:rPr>
            </w:pPr>
          </w:p>
        </w:tc>
        <w:tc>
          <w:tcPr>
            <w:tcW w:w="1804" w:type="dxa"/>
            <w:vAlign w:val="center"/>
          </w:tcPr>
          <w:p w14:paraId="52C093ED"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Przeciwdziałanie rozprzestrzenianiu się IGO</w:t>
            </w:r>
          </w:p>
        </w:tc>
        <w:tc>
          <w:tcPr>
            <w:tcW w:w="1507" w:type="dxa"/>
            <w:vAlign w:val="center"/>
          </w:tcPr>
          <w:p w14:paraId="40F7BEA5"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7B5987B8"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34B89E7F"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29A54355"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1,5</w:t>
            </w:r>
          </w:p>
        </w:tc>
        <w:tc>
          <w:tcPr>
            <w:tcW w:w="1915" w:type="dxa"/>
            <w:vAlign w:val="center"/>
          </w:tcPr>
          <w:p w14:paraId="4414DB83"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Zły stan środowiska</w:t>
            </w:r>
          </w:p>
        </w:tc>
        <w:tc>
          <w:tcPr>
            <w:tcW w:w="4711" w:type="dxa"/>
            <w:vAlign w:val="center"/>
          </w:tcPr>
          <w:p w14:paraId="6F35FCF0" w14:textId="7E2F3D05"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Należy przeprowadzać stały monitoring gatunków obcych i przeciwdziałać ich rozprzestrzenianiu. W warunkach zmieniającego się klimatu</w:t>
            </w:r>
            <w:r w:rsidR="0009315C">
              <w:rPr>
                <w:rFonts w:ascii="Calibri" w:hAnsi="Calibri" w:cs="Calibri"/>
                <w:sz w:val="18"/>
                <w:szCs w:val="18"/>
                <w:lang w:eastAsia="pl-PL"/>
              </w:rPr>
              <w:t>,</w:t>
            </w:r>
            <w:r w:rsidRPr="0062347E">
              <w:rPr>
                <w:rFonts w:ascii="Calibri" w:hAnsi="Calibri" w:cs="Calibri"/>
                <w:sz w:val="18"/>
                <w:szCs w:val="18"/>
                <w:lang w:eastAsia="pl-PL"/>
              </w:rPr>
              <w:t xml:space="preserve"> IGO będą coraz bardziej zagrażać lokalnej bioróżnorodności i stabilności. Efektem działania będzie długotrwałe funkcjonowanie ekosystemów.</w:t>
            </w:r>
          </w:p>
        </w:tc>
        <w:tc>
          <w:tcPr>
            <w:tcW w:w="1710" w:type="dxa"/>
            <w:vAlign w:val="center"/>
          </w:tcPr>
          <w:p w14:paraId="053586EA" w14:textId="77777777" w:rsidR="00E709CC" w:rsidRPr="003C4FAB"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E709CC" w:rsidRPr="0062347E" w14:paraId="20172853" w14:textId="77777777" w:rsidTr="009F3A89">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2968BAFE" w14:textId="77777777" w:rsidR="00E709CC" w:rsidRPr="0062347E" w:rsidRDefault="00E709CC">
            <w:pPr>
              <w:pStyle w:val="Akapitzlist"/>
              <w:widowControl w:val="0"/>
              <w:numPr>
                <w:ilvl w:val="1"/>
                <w:numId w:val="86"/>
              </w:numPr>
              <w:ind w:left="0" w:firstLine="0"/>
              <w:jc w:val="center"/>
              <w:rPr>
                <w:rFonts w:ascii="Calibri" w:eastAsia="Times New Roman" w:hAnsi="Calibri" w:cs="Calibri"/>
                <w:color w:val="auto"/>
                <w:sz w:val="18"/>
                <w:szCs w:val="18"/>
                <w:lang w:eastAsia="pl-PL"/>
              </w:rPr>
            </w:pPr>
          </w:p>
        </w:tc>
        <w:tc>
          <w:tcPr>
            <w:tcW w:w="1804" w:type="dxa"/>
            <w:vAlign w:val="center"/>
          </w:tcPr>
          <w:p w14:paraId="31DA7A04"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Prawidłowa pielęgnacja zieleni</w:t>
            </w:r>
          </w:p>
        </w:tc>
        <w:tc>
          <w:tcPr>
            <w:tcW w:w="1507" w:type="dxa"/>
            <w:vAlign w:val="center"/>
          </w:tcPr>
          <w:p w14:paraId="2587B9D4"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62F0D3B4"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4BF68A7D"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4C2BBF0B"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1,2,4,5</w:t>
            </w:r>
          </w:p>
        </w:tc>
        <w:tc>
          <w:tcPr>
            <w:tcW w:w="1915" w:type="dxa"/>
            <w:vAlign w:val="center"/>
          </w:tcPr>
          <w:p w14:paraId="454CD679"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Zły stan środowiska, podtopienia i powodzie, wysokie temperatury</w:t>
            </w:r>
          </w:p>
        </w:tc>
        <w:tc>
          <w:tcPr>
            <w:tcW w:w="4711" w:type="dxa"/>
            <w:vAlign w:val="center"/>
          </w:tcPr>
          <w:p w14:paraId="2FCCB2C1" w14:textId="7544E0A0"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W warunkach zmieniającego się klimatu</w:t>
            </w:r>
            <w:r w:rsidR="0009315C">
              <w:rPr>
                <w:rFonts w:ascii="Calibri" w:hAnsi="Calibri" w:cs="Calibri"/>
                <w:sz w:val="18"/>
                <w:szCs w:val="18"/>
                <w:lang w:eastAsia="pl-PL"/>
              </w:rPr>
              <w:t>,</w:t>
            </w:r>
            <w:r w:rsidRPr="0062347E">
              <w:rPr>
                <w:rFonts w:ascii="Calibri" w:hAnsi="Calibri" w:cs="Calibri"/>
                <w:sz w:val="18"/>
                <w:szCs w:val="18"/>
                <w:lang w:eastAsia="pl-PL"/>
              </w:rPr>
              <w:t xml:space="preserve"> zieleń może stać się coraz mniej odporna na te zmiany. Należy wprowadzić odpowiednie praktyki pielęgnacyjne, m.in. ograniczenie koszenia łąk i traw, mniej intensywne nawożenie, celem uodpornienia zieleni i zapewnienie jej długotrwałego funkcjonowania.</w:t>
            </w:r>
          </w:p>
        </w:tc>
        <w:tc>
          <w:tcPr>
            <w:tcW w:w="1710" w:type="dxa"/>
            <w:vAlign w:val="center"/>
          </w:tcPr>
          <w:p w14:paraId="5AF264F0" w14:textId="77777777" w:rsidR="00E709CC" w:rsidRPr="003C4FAB"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E709CC" w:rsidRPr="0062347E" w14:paraId="07414F4B" w14:textId="77777777" w:rsidTr="009F3A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3372C987" w14:textId="77777777" w:rsidR="00E709CC" w:rsidRPr="0062347E" w:rsidRDefault="00E709CC">
            <w:pPr>
              <w:pStyle w:val="Akapitzlist"/>
              <w:widowControl w:val="0"/>
              <w:numPr>
                <w:ilvl w:val="1"/>
                <w:numId w:val="86"/>
              </w:numPr>
              <w:ind w:left="0" w:firstLine="0"/>
              <w:jc w:val="center"/>
              <w:rPr>
                <w:rFonts w:ascii="Calibri" w:eastAsia="Times New Roman" w:hAnsi="Calibri" w:cs="Calibri"/>
                <w:color w:val="auto"/>
                <w:sz w:val="18"/>
                <w:szCs w:val="18"/>
                <w:lang w:eastAsia="pl-PL"/>
              </w:rPr>
            </w:pPr>
          </w:p>
        </w:tc>
        <w:tc>
          <w:tcPr>
            <w:tcW w:w="1804" w:type="dxa"/>
            <w:vAlign w:val="center"/>
          </w:tcPr>
          <w:p w14:paraId="55A9FD8F"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Ochrona zieleni na obszarach rolniczych</w:t>
            </w:r>
          </w:p>
        </w:tc>
        <w:tc>
          <w:tcPr>
            <w:tcW w:w="1507" w:type="dxa"/>
            <w:vAlign w:val="center"/>
          </w:tcPr>
          <w:p w14:paraId="757135A8"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 xml:space="preserve">Urząd Miejski w Tarnogrodzie, </w:t>
            </w:r>
            <w:r w:rsidRPr="0062347E">
              <w:rPr>
                <w:rFonts w:ascii="Calibri" w:hAnsi="Calibri" w:cs="Calibri"/>
                <w:sz w:val="18"/>
                <w:szCs w:val="18"/>
                <w:lang w:eastAsia="pl-PL"/>
              </w:rPr>
              <w:lastRenderedPageBreak/>
              <w:t>mieszkańcy</w:t>
            </w:r>
          </w:p>
        </w:tc>
        <w:tc>
          <w:tcPr>
            <w:tcW w:w="1643" w:type="dxa"/>
            <w:vAlign w:val="center"/>
          </w:tcPr>
          <w:p w14:paraId="13245EA7"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lastRenderedPageBreak/>
              <w:t>Długoterminowe, ciągłe</w:t>
            </w:r>
          </w:p>
        </w:tc>
        <w:tc>
          <w:tcPr>
            <w:tcW w:w="963" w:type="dxa"/>
            <w:vAlign w:val="center"/>
          </w:tcPr>
          <w:p w14:paraId="754FE071"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14623C99"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1,2,4,5</w:t>
            </w:r>
          </w:p>
        </w:tc>
        <w:tc>
          <w:tcPr>
            <w:tcW w:w="1915" w:type="dxa"/>
            <w:vAlign w:val="center"/>
          </w:tcPr>
          <w:p w14:paraId="17BB82A4"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 xml:space="preserve">Zły stan środowiska, podtopienia i </w:t>
            </w:r>
            <w:r w:rsidRPr="0062347E">
              <w:rPr>
                <w:rFonts w:ascii="Calibri" w:hAnsi="Calibri" w:cs="Calibri"/>
                <w:sz w:val="18"/>
                <w:szCs w:val="18"/>
                <w:lang w:eastAsia="pl-PL"/>
              </w:rPr>
              <w:lastRenderedPageBreak/>
              <w:t>powodzie, susze, wysokie temperatury</w:t>
            </w:r>
          </w:p>
        </w:tc>
        <w:tc>
          <w:tcPr>
            <w:tcW w:w="4711" w:type="dxa"/>
            <w:vAlign w:val="center"/>
          </w:tcPr>
          <w:p w14:paraId="0F8F84E1" w14:textId="7B268671"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lastRenderedPageBreak/>
              <w:t xml:space="preserve">Zieleń na obszarach rolniczych stanowi naturalny bufor ochrony zmniejszający negatywny wpływ zmian klimatu. </w:t>
            </w:r>
            <w:r w:rsidRPr="0062347E">
              <w:rPr>
                <w:rFonts w:ascii="Calibri" w:hAnsi="Calibri" w:cs="Calibri"/>
                <w:sz w:val="18"/>
                <w:szCs w:val="18"/>
                <w:lang w:eastAsia="pl-PL"/>
              </w:rPr>
              <w:lastRenderedPageBreak/>
              <w:t>Należy utrzymać w krajobrazie takie siedliska jak zagajniki, pasy zadrzewień śródpolnych, tereny podmokłe oraz biologiczne otuliny rze</w:t>
            </w:r>
            <w:r w:rsidR="0009315C">
              <w:rPr>
                <w:rFonts w:ascii="Calibri" w:hAnsi="Calibri" w:cs="Calibri"/>
                <w:sz w:val="18"/>
                <w:szCs w:val="18"/>
                <w:lang w:eastAsia="pl-PL"/>
              </w:rPr>
              <w:t>k.</w:t>
            </w:r>
          </w:p>
        </w:tc>
        <w:tc>
          <w:tcPr>
            <w:tcW w:w="1710" w:type="dxa"/>
            <w:vAlign w:val="center"/>
          </w:tcPr>
          <w:p w14:paraId="0FE9612A" w14:textId="77777777" w:rsidR="00E709CC" w:rsidRPr="003C4FAB"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lastRenderedPageBreak/>
              <w:t>NIE</w:t>
            </w:r>
          </w:p>
        </w:tc>
      </w:tr>
      <w:tr w:rsidR="00E709CC" w:rsidRPr="0062347E" w14:paraId="59E00B58" w14:textId="77777777" w:rsidTr="009F3A89">
        <w:trPr>
          <w:trHeight w:val="567"/>
          <w:jc w:val="center"/>
        </w:trPr>
        <w:tc>
          <w:tcPr>
            <w:cnfStyle w:val="001000000000" w:firstRow="0" w:lastRow="0" w:firstColumn="1" w:lastColumn="0" w:oddVBand="0" w:evenVBand="0" w:oddHBand="0" w:evenHBand="0" w:firstRowFirstColumn="0" w:firstRowLastColumn="0" w:lastRowFirstColumn="0" w:lastRowLastColumn="0"/>
            <w:tcW w:w="525" w:type="dxa"/>
            <w:shd w:val="clear" w:color="auto" w:fill="AAC472" w:themeFill="accent5" w:themeFillShade="BF"/>
            <w:vAlign w:val="center"/>
          </w:tcPr>
          <w:p w14:paraId="6F8BAB36" w14:textId="77777777" w:rsidR="00E709CC" w:rsidRPr="0062347E" w:rsidRDefault="00E709CC">
            <w:pPr>
              <w:pStyle w:val="Akapitzlist"/>
              <w:widowControl w:val="0"/>
              <w:numPr>
                <w:ilvl w:val="0"/>
                <w:numId w:val="86"/>
              </w:numPr>
              <w:ind w:left="0" w:firstLine="0"/>
              <w:jc w:val="center"/>
              <w:rPr>
                <w:rFonts w:ascii="Calibri" w:hAnsi="Calibri" w:cs="Calibri"/>
                <w:color w:val="auto"/>
                <w:sz w:val="18"/>
                <w:szCs w:val="18"/>
                <w:lang w:eastAsia="pl-PL"/>
              </w:rPr>
            </w:pPr>
          </w:p>
        </w:tc>
        <w:tc>
          <w:tcPr>
            <w:tcW w:w="15351" w:type="dxa"/>
            <w:gridSpan w:val="8"/>
            <w:shd w:val="clear" w:color="auto" w:fill="AAC472" w:themeFill="accent5" w:themeFillShade="BF"/>
            <w:vAlign w:val="center"/>
          </w:tcPr>
          <w:p w14:paraId="5C3434F2" w14:textId="77777777" w:rsidR="00E709CC" w:rsidRPr="003C4FAB"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sz w:val="18"/>
                <w:szCs w:val="18"/>
                <w:lang w:eastAsia="pl-PL"/>
              </w:rPr>
            </w:pPr>
            <w:r w:rsidRPr="003C4FAB">
              <w:rPr>
                <w:rFonts w:ascii="Calibri" w:hAnsi="Calibri" w:cs="Calibri"/>
                <w:b/>
                <w:bCs/>
                <w:color w:val="auto"/>
                <w:lang w:eastAsia="pl-PL"/>
              </w:rPr>
              <w:t>OBSZAR RETENCJA</w:t>
            </w:r>
          </w:p>
        </w:tc>
      </w:tr>
      <w:tr w:rsidR="00E709CC" w:rsidRPr="0062347E" w14:paraId="0EB63690" w14:textId="77777777" w:rsidTr="009F3A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03200A3C" w14:textId="77777777" w:rsidR="00E709CC" w:rsidRPr="0062347E" w:rsidRDefault="00E709CC">
            <w:pPr>
              <w:pStyle w:val="Akapitzlist"/>
              <w:widowControl w:val="0"/>
              <w:numPr>
                <w:ilvl w:val="1"/>
                <w:numId w:val="86"/>
              </w:numPr>
              <w:ind w:left="0" w:firstLine="0"/>
              <w:jc w:val="center"/>
              <w:rPr>
                <w:rFonts w:ascii="Calibri" w:hAnsi="Calibri" w:cs="Calibri"/>
                <w:sz w:val="18"/>
                <w:szCs w:val="18"/>
                <w:lang w:eastAsia="pl-PL"/>
              </w:rPr>
            </w:pPr>
            <w:bookmarkStart w:id="271" w:name="_Hlk174000611"/>
            <w:bookmarkStart w:id="272" w:name="_Hlk178838078"/>
          </w:p>
        </w:tc>
        <w:tc>
          <w:tcPr>
            <w:tcW w:w="1804" w:type="dxa"/>
            <w:vAlign w:val="center"/>
          </w:tcPr>
          <w:p w14:paraId="7F355C69"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Budowa trzech zbiorników retencyjnych</w:t>
            </w:r>
          </w:p>
        </w:tc>
        <w:tc>
          <w:tcPr>
            <w:tcW w:w="1507" w:type="dxa"/>
            <w:vAlign w:val="center"/>
          </w:tcPr>
          <w:p w14:paraId="3D272654"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21F62A93"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Krótkoterminowe, natychmiastowe</w:t>
            </w:r>
          </w:p>
        </w:tc>
        <w:tc>
          <w:tcPr>
            <w:tcW w:w="963" w:type="dxa"/>
            <w:vAlign w:val="center"/>
          </w:tcPr>
          <w:p w14:paraId="7BCC1CDE"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607C7E30"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2,4,5</w:t>
            </w:r>
          </w:p>
        </w:tc>
        <w:tc>
          <w:tcPr>
            <w:tcW w:w="1915" w:type="dxa"/>
            <w:vAlign w:val="center"/>
          </w:tcPr>
          <w:p w14:paraId="2301D5ED"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Podtopienia i powodzie, susze, zanieczyszczenie wody, ekstremalne zjawiska pogodowe</w:t>
            </w:r>
          </w:p>
        </w:tc>
        <w:tc>
          <w:tcPr>
            <w:tcW w:w="4711" w:type="dxa"/>
            <w:vAlign w:val="center"/>
          </w:tcPr>
          <w:p w14:paraId="18789A73" w14:textId="073066F8"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Budowa trzech zbiorników retencyjnych obejmujących lokalizacje</w:t>
            </w:r>
            <w:r w:rsidR="00A82C90">
              <w:rPr>
                <w:rFonts w:ascii="Calibri" w:hAnsi="Calibri" w:cs="Calibri"/>
                <w:sz w:val="18"/>
                <w:szCs w:val="18"/>
                <w:lang w:eastAsia="pl-PL"/>
              </w:rPr>
              <w:t xml:space="preserve"> ulic:</w:t>
            </w:r>
            <w:r w:rsidRPr="0062347E">
              <w:rPr>
                <w:rFonts w:ascii="Calibri" w:hAnsi="Calibri" w:cs="Calibri"/>
                <w:sz w:val="18"/>
                <w:szCs w:val="18"/>
                <w:lang w:eastAsia="pl-PL"/>
              </w:rPr>
              <w:t xml:space="preserve"> Przedmieście Płuskie Wschód, Przedmieście Płuskie Zachód, Przedmieście Bukowskie. Zbiorniki będą retencjonować wody opadowe zapobiegając występowaniu powodzi i podtopień po intensywnych opadach.</w:t>
            </w:r>
          </w:p>
        </w:tc>
        <w:tc>
          <w:tcPr>
            <w:tcW w:w="1710" w:type="dxa"/>
            <w:vAlign w:val="center"/>
          </w:tcPr>
          <w:p w14:paraId="65C9EDD7" w14:textId="77777777" w:rsidR="00E709CC" w:rsidRPr="003C4FAB"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TAK</w:t>
            </w:r>
          </w:p>
        </w:tc>
      </w:tr>
      <w:bookmarkEnd w:id="272"/>
      <w:tr w:rsidR="00E709CC" w:rsidRPr="0062347E" w14:paraId="1089394A" w14:textId="77777777" w:rsidTr="009F3A89">
        <w:trPr>
          <w:trHeight w:val="449"/>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7F57E389" w14:textId="77777777" w:rsidR="00E709CC" w:rsidRPr="0062347E" w:rsidRDefault="00E709CC">
            <w:pPr>
              <w:pStyle w:val="Akapitzlist"/>
              <w:widowControl w:val="0"/>
              <w:numPr>
                <w:ilvl w:val="1"/>
                <w:numId w:val="86"/>
              </w:numPr>
              <w:ind w:left="0" w:firstLine="0"/>
              <w:jc w:val="center"/>
              <w:rPr>
                <w:rFonts w:ascii="Calibri" w:hAnsi="Calibri" w:cs="Calibri"/>
                <w:sz w:val="18"/>
                <w:szCs w:val="18"/>
                <w:lang w:eastAsia="pl-PL"/>
              </w:rPr>
            </w:pPr>
          </w:p>
        </w:tc>
        <w:tc>
          <w:tcPr>
            <w:tcW w:w="1804" w:type="dxa"/>
            <w:vAlign w:val="center"/>
          </w:tcPr>
          <w:p w14:paraId="69C10BEF" w14:textId="4F429D65" w:rsidR="00E709CC" w:rsidRPr="0062347E" w:rsidRDefault="009E3930"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bookmarkStart w:id="273" w:name="_Hlk178838060"/>
            <w:r>
              <w:rPr>
                <w:rFonts w:ascii="Calibri" w:hAnsi="Calibri" w:cs="Calibri"/>
                <w:sz w:val="18"/>
                <w:szCs w:val="18"/>
                <w:lang w:eastAsia="pl-PL"/>
              </w:rPr>
              <w:t>Poprawa funkcjonowania gospodarki wodno-ściekowej</w:t>
            </w:r>
            <w:bookmarkEnd w:id="273"/>
          </w:p>
        </w:tc>
        <w:tc>
          <w:tcPr>
            <w:tcW w:w="1507" w:type="dxa"/>
            <w:vAlign w:val="center"/>
          </w:tcPr>
          <w:p w14:paraId="2DF3B1C2"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 Tarnogrodzki Zakład Komunalny Sp. z o.o.</w:t>
            </w:r>
          </w:p>
        </w:tc>
        <w:tc>
          <w:tcPr>
            <w:tcW w:w="1643" w:type="dxa"/>
            <w:vAlign w:val="center"/>
          </w:tcPr>
          <w:p w14:paraId="78F72276"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Krótkoterminowe, natychmiastowe</w:t>
            </w:r>
          </w:p>
        </w:tc>
        <w:tc>
          <w:tcPr>
            <w:tcW w:w="963" w:type="dxa"/>
            <w:vAlign w:val="center"/>
          </w:tcPr>
          <w:p w14:paraId="3BF1F18B"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4BCC31E5"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1,2,4,5</w:t>
            </w:r>
          </w:p>
        </w:tc>
        <w:tc>
          <w:tcPr>
            <w:tcW w:w="1915" w:type="dxa"/>
            <w:vAlign w:val="center"/>
          </w:tcPr>
          <w:p w14:paraId="73A2F435"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Zanieczyszczenie wody, zły stan środowiska, zanieczyszczenie powierzchni ziemi, awarie</w:t>
            </w:r>
          </w:p>
        </w:tc>
        <w:tc>
          <w:tcPr>
            <w:tcW w:w="4711" w:type="dxa"/>
            <w:vAlign w:val="center"/>
          </w:tcPr>
          <w:p w14:paraId="4D7F832C" w14:textId="0CA37FC6"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 xml:space="preserve">Zadanie polegać będzie </w:t>
            </w:r>
            <w:r w:rsidR="00411C8D">
              <w:rPr>
                <w:rFonts w:ascii="Calibri" w:hAnsi="Calibri" w:cs="Calibri"/>
                <w:sz w:val="18"/>
                <w:szCs w:val="18"/>
                <w:lang w:eastAsia="pl-PL"/>
              </w:rPr>
              <w:t>na rozwoju gospodarki wodno-ściekowej</w:t>
            </w:r>
            <w:r w:rsidRPr="0062347E">
              <w:rPr>
                <w:rFonts w:ascii="Calibri" w:hAnsi="Calibri" w:cs="Calibri"/>
                <w:sz w:val="18"/>
                <w:szCs w:val="18"/>
                <w:lang w:eastAsia="pl-PL"/>
              </w:rPr>
              <w:t xml:space="preserve"> w zakresie m.in. zwiększenia przepustowości </w:t>
            </w:r>
            <w:r w:rsidR="00411C8D">
              <w:rPr>
                <w:rFonts w:ascii="Calibri" w:hAnsi="Calibri" w:cs="Calibri"/>
                <w:sz w:val="18"/>
                <w:szCs w:val="18"/>
                <w:lang w:eastAsia="pl-PL"/>
              </w:rPr>
              <w:t xml:space="preserve">oczyszczalni ścieków </w:t>
            </w:r>
            <w:r w:rsidRPr="0062347E">
              <w:rPr>
                <w:rFonts w:ascii="Calibri" w:hAnsi="Calibri" w:cs="Calibri"/>
                <w:sz w:val="18"/>
                <w:szCs w:val="18"/>
                <w:lang w:eastAsia="pl-PL"/>
              </w:rPr>
              <w:t>celem przyłączenia nowych odbiorców, budowy sieci wodociągowej i kanalizacyjnej, wykonani</w:t>
            </w:r>
            <w:r w:rsidR="00F012DE">
              <w:rPr>
                <w:rFonts w:ascii="Calibri" w:hAnsi="Calibri" w:cs="Calibri"/>
                <w:sz w:val="18"/>
                <w:szCs w:val="18"/>
                <w:lang w:eastAsia="pl-PL"/>
              </w:rPr>
              <w:t>a</w:t>
            </w:r>
            <w:r w:rsidRPr="0062347E">
              <w:rPr>
                <w:rFonts w:ascii="Calibri" w:hAnsi="Calibri" w:cs="Calibri"/>
                <w:sz w:val="18"/>
                <w:szCs w:val="18"/>
                <w:lang w:eastAsia="pl-PL"/>
              </w:rPr>
              <w:t xml:space="preserve"> nowego odwiertu ujęcia wody podziemnej, budow</w:t>
            </w:r>
            <w:r w:rsidR="00F012DE">
              <w:rPr>
                <w:rFonts w:ascii="Calibri" w:hAnsi="Calibri" w:cs="Calibri"/>
                <w:sz w:val="18"/>
                <w:szCs w:val="18"/>
                <w:lang w:eastAsia="pl-PL"/>
              </w:rPr>
              <w:t>y</w:t>
            </w:r>
            <w:r w:rsidRPr="0062347E">
              <w:rPr>
                <w:rFonts w:ascii="Calibri" w:hAnsi="Calibri" w:cs="Calibri"/>
                <w:sz w:val="18"/>
                <w:szCs w:val="18"/>
                <w:lang w:eastAsia="pl-PL"/>
              </w:rPr>
              <w:t xml:space="preserve"> zbiornika do wstępnego oczyszczania ścieków</w:t>
            </w:r>
            <w:r w:rsidR="00855B6D">
              <w:rPr>
                <w:rFonts w:ascii="Calibri" w:hAnsi="Calibri" w:cs="Calibri"/>
                <w:sz w:val="18"/>
                <w:szCs w:val="18"/>
                <w:lang w:eastAsia="pl-PL"/>
              </w:rPr>
              <w:t>.</w:t>
            </w:r>
            <w:r w:rsidR="00411C8D">
              <w:rPr>
                <w:rFonts w:ascii="Calibri" w:hAnsi="Calibri" w:cs="Calibri"/>
                <w:sz w:val="18"/>
                <w:szCs w:val="18"/>
                <w:lang w:eastAsia="pl-PL"/>
              </w:rPr>
              <w:t xml:space="preserve"> Zadanie realizowane zgodnie z Uchwałą Nr XXXXII/213/2021 Rady Miejskiej w Tarnogrodzie.</w:t>
            </w:r>
          </w:p>
        </w:tc>
        <w:tc>
          <w:tcPr>
            <w:tcW w:w="1710" w:type="dxa"/>
            <w:vAlign w:val="center"/>
          </w:tcPr>
          <w:p w14:paraId="2FD81ACF" w14:textId="77777777" w:rsidR="00E709CC" w:rsidRPr="003C4FAB"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TAK</w:t>
            </w:r>
          </w:p>
        </w:tc>
      </w:tr>
      <w:tr w:rsidR="00E709CC" w:rsidRPr="0062347E" w14:paraId="363CCEFE" w14:textId="77777777" w:rsidTr="009F3A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7B67874C" w14:textId="77777777" w:rsidR="00E709CC" w:rsidRPr="0062347E" w:rsidRDefault="00E709CC">
            <w:pPr>
              <w:pStyle w:val="Akapitzlist"/>
              <w:widowControl w:val="0"/>
              <w:numPr>
                <w:ilvl w:val="1"/>
                <w:numId w:val="86"/>
              </w:numPr>
              <w:tabs>
                <w:tab w:val="left" w:pos="3119"/>
              </w:tabs>
              <w:ind w:left="0" w:firstLine="0"/>
              <w:jc w:val="center"/>
              <w:rPr>
                <w:rFonts w:ascii="Calibri" w:eastAsia="Times New Roman" w:hAnsi="Calibri" w:cs="Calibri"/>
                <w:color w:val="auto"/>
                <w:sz w:val="18"/>
                <w:szCs w:val="18"/>
                <w:lang w:eastAsia="pl-PL"/>
              </w:rPr>
            </w:pPr>
          </w:p>
        </w:tc>
        <w:tc>
          <w:tcPr>
            <w:tcW w:w="1804" w:type="dxa"/>
            <w:vAlign w:val="center"/>
          </w:tcPr>
          <w:p w14:paraId="4DBE7062" w14:textId="77777777" w:rsidR="00E709CC" w:rsidRPr="0062347E" w:rsidRDefault="00E709CC" w:rsidP="00E20A97">
            <w:pPr>
              <w:widowControl w:val="0"/>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Renaturalizacja cieków oraz zbiorników wodnych</w:t>
            </w:r>
          </w:p>
        </w:tc>
        <w:tc>
          <w:tcPr>
            <w:tcW w:w="1507" w:type="dxa"/>
            <w:vAlign w:val="center"/>
          </w:tcPr>
          <w:p w14:paraId="1DEA5085" w14:textId="56847E82" w:rsidR="00E709CC" w:rsidRPr="0062347E" w:rsidRDefault="0097287A"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97287A">
              <w:rPr>
                <w:rFonts w:ascii="Calibri" w:hAnsi="Calibri" w:cs="Calibri"/>
                <w:sz w:val="18"/>
                <w:szCs w:val="18"/>
                <w:lang w:eastAsia="pl-PL"/>
              </w:rPr>
              <w:t>Państwowe Gospodarstwo Wodne</w:t>
            </w:r>
            <w:r w:rsidRPr="0097287A">
              <w:rPr>
                <w:rFonts w:ascii="Calibri" w:hAnsi="Calibri" w:cs="Calibri"/>
                <w:sz w:val="18"/>
                <w:szCs w:val="18"/>
                <w:lang w:eastAsia="pl-PL"/>
              </w:rPr>
              <w:t xml:space="preserve"> </w:t>
            </w:r>
            <w:r>
              <w:rPr>
                <w:rFonts w:ascii="Calibri" w:hAnsi="Calibri" w:cs="Calibri"/>
                <w:sz w:val="18"/>
                <w:szCs w:val="18"/>
                <w:lang w:eastAsia="pl-PL"/>
              </w:rPr>
              <w:t>Wody Polskie</w:t>
            </w:r>
            <w:r w:rsidR="00E709CC" w:rsidRPr="0062347E">
              <w:rPr>
                <w:rFonts w:ascii="Calibri" w:hAnsi="Calibri" w:cs="Calibri"/>
                <w:sz w:val="18"/>
                <w:szCs w:val="18"/>
                <w:lang w:eastAsia="pl-PL"/>
              </w:rPr>
              <w:t>, Urząd Miejski w Tarnogrodzie</w:t>
            </w:r>
          </w:p>
        </w:tc>
        <w:tc>
          <w:tcPr>
            <w:tcW w:w="1643" w:type="dxa"/>
            <w:vAlign w:val="center"/>
          </w:tcPr>
          <w:p w14:paraId="411FCDE4"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7C2A79EB"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04942143"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1,2,4,5</w:t>
            </w:r>
          </w:p>
        </w:tc>
        <w:tc>
          <w:tcPr>
            <w:tcW w:w="1915" w:type="dxa"/>
            <w:vAlign w:val="center"/>
          </w:tcPr>
          <w:p w14:paraId="41CCC89A"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Zły stan środowiska, zanieczyszczenie wody, powodzie i podtopienia</w:t>
            </w:r>
          </w:p>
        </w:tc>
        <w:tc>
          <w:tcPr>
            <w:tcW w:w="4711" w:type="dxa"/>
            <w:vAlign w:val="center"/>
          </w:tcPr>
          <w:p w14:paraId="68389DCD"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Działania z zakresu renaturalizacji poprawią jakość wód, zwiększą bioróżnorodność obszaru oraz zminimalizują ryzyko powodzi. Działania mogą również dostarczyć obszarów rekreacyjnych dla mieszkańców miasta.</w:t>
            </w:r>
          </w:p>
        </w:tc>
        <w:tc>
          <w:tcPr>
            <w:tcW w:w="1710" w:type="dxa"/>
            <w:vAlign w:val="center"/>
          </w:tcPr>
          <w:p w14:paraId="5F0AA3DA" w14:textId="77777777" w:rsidR="00E709CC" w:rsidRPr="003C4FAB"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E709CC" w:rsidRPr="0062347E" w14:paraId="0702325E" w14:textId="77777777" w:rsidTr="009F3A89">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55DDB639" w14:textId="77777777" w:rsidR="00E709CC" w:rsidRPr="0062347E" w:rsidRDefault="00E709CC">
            <w:pPr>
              <w:pStyle w:val="Akapitzlist"/>
              <w:widowControl w:val="0"/>
              <w:numPr>
                <w:ilvl w:val="1"/>
                <w:numId w:val="86"/>
              </w:numPr>
              <w:tabs>
                <w:tab w:val="left" w:pos="3119"/>
              </w:tabs>
              <w:ind w:left="0" w:firstLine="0"/>
              <w:jc w:val="center"/>
              <w:rPr>
                <w:rFonts w:ascii="Calibri" w:eastAsia="Calibri" w:hAnsi="Calibri" w:cs="Calibri"/>
                <w:color w:val="auto"/>
                <w:sz w:val="18"/>
                <w:szCs w:val="18"/>
              </w:rPr>
            </w:pPr>
          </w:p>
        </w:tc>
        <w:tc>
          <w:tcPr>
            <w:tcW w:w="1804" w:type="dxa"/>
            <w:vAlign w:val="center"/>
          </w:tcPr>
          <w:p w14:paraId="35A47B47" w14:textId="77777777" w:rsidR="00E709CC" w:rsidRPr="0062347E" w:rsidRDefault="00E709CC" w:rsidP="00E20A97">
            <w:pPr>
              <w:widowControl w:val="0"/>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auto"/>
                <w:sz w:val="18"/>
                <w:szCs w:val="18"/>
              </w:rPr>
            </w:pPr>
            <w:r w:rsidRPr="0062347E">
              <w:rPr>
                <w:rFonts w:ascii="Calibri" w:eastAsia="Calibri" w:hAnsi="Calibri" w:cs="Calibri"/>
                <w:color w:val="auto"/>
                <w:sz w:val="18"/>
                <w:szCs w:val="18"/>
              </w:rPr>
              <w:t>Wsparcie obiektów małej retencji</w:t>
            </w:r>
          </w:p>
        </w:tc>
        <w:tc>
          <w:tcPr>
            <w:tcW w:w="1507" w:type="dxa"/>
            <w:vAlign w:val="center"/>
          </w:tcPr>
          <w:p w14:paraId="021A3314"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 mieszkańcy</w:t>
            </w:r>
          </w:p>
        </w:tc>
        <w:tc>
          <w:tcPr>
            <w:tcW w:w="1643" w:type="dxa"/>
            <w:vAlign w:val="center"/>
          </w:tcPr>
          <w:p w14:paraId="42264967"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51DAC4AB"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50B7B334"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1,2,4,5,6</w:t>
            </w:r>
          </w:p>
        </w:tc>
        <w:tc>
          <w:tcPr>
            <w:tcW w:w="1915" w:type="dxa"/>
            <w:vAlign w:val="center"/>
          </w:tcPr>
          <w:p w14:paraId="3262BEFD"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Powodzie i podtopienia, susze, zanieczyszczenie wody, niska świadomość mieszkańców</w:t>
            </w:r>
          </w:p>
        </w:tc>
        <w:tc>
          <w:tcPr>
            <w:tcW w:w="4711" w:type="dxa"/>
            <w:vAlign w:val="center"/>
          </w:tcPr>
          <w:p w14:paraId="1145B55F" w14:textId="4CD3F1FC"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 xml:space="preserve">W </w:t>
            </w:r>
            <w:r w:rsidR="00855B6D">
              <w:rPr>
                <w:rFonts w:ascii="Calibri" w:hAnsi="Calibri" w:cs="Calibri"/>
                <w:sz w:val="18"/>
                <w:szCs w:val="18"/>
                <w:lang w:eastAsia="pl-PL"/>
              </w:rPr>
              <w:t>ramach działania</w:t>
            </w:r>
            <w:r w:rsidRPr="0062347E">
              <w:rPr>
                <w:rFonts w:ascii="Calibri" w:hAnsi="Calibri" w:cs="Calibri"/>
                <w:sz w:val="18"/>
                <w:szCs w:val="18"/>
                <w:lang w:eastAsia="pl-PL"/>
              </w:rPr>
              <w:t xml:space="preserve"> należy wspierać mieszkańców w zakładaniu obiektów małej retencji we własnym zakresie np. oczek wodnych. Obiekty małej retencji skuteczn</w:t>
            </w:r>
            <w:r w:rsidR="00855B6D">
              <w:rPr>
                <w:rFonts w:ascii="Calibri" w:hAnsi="Calibri" w:cs="Calibri"/>
                <w:sz w:val="18"/>
                <w:szCs w:val="18"/>
                <w:lang w:eastAsia="pl-PL"/>
              </w:rPr>
              <w:t>i</w:t>
            </w:r>
            <w:r w:rsidRPr="0062347E">
              <w:rPr>
                <w:rFonts w:ascii="Calibri" w:hAnsi="Calibri" w:cs="Calibri"/>
                <w:sz w:val="18"/>
                <w:szCs w:val="18"/>
                <w:lang w:eastAsia="pl-PL"/>
              </w:rPr>
              <w:t>e wspomagają system retencji na obszarze miasta, zmniejszając ryzyko powodzi oraz suszy, a w działaniu można także edukować mieszkańców na temat zalet retencji.</w:t>
            </w:r>
          </w:p>
        </w:tc>
        <w:tc>
          <w:tcPr>
            <w:tcW w:w="1710" w:type="dxa"/>
            <w:vAlign w:val="center"/>
          </w:tcPr>
          <w:p w14:paraId="3A4BBF99" w14:textId="77777777" w:rsidR="00E709CC" w:rsidRPr="003C4FAB"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E709CC" w:rsidRPr="0062347E" w14:paraId="353DBCB5" w14:textId="77777777" w:rsidTr="009F3A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7A52F532" w14:textId="77777777" w:rsidR="00E709CC" w:rsidRPr="0062347E" w:rsidRDefault="00E709CC">
            <w:pPr>
              <w:pStyle w:val="Akapitzlist"/>
              <w:widowControl w:val="0"/>
              <w:numPr>
                <w:ilvl w:val="1"/>
                <w:numId w:val="86"/>
              </w:numPr>
              <w:tabs>
                <w:tab w:val="left" w:pos="3119"/>
              </w:tabs>
              <w:ind w:left="0" w:firstLine="0"/>
              <w:jc w:val="center"/>
              <w:rPr>
                <w:rFonts w:ascii="Calibri" w:eastAsia="Times New Roman" w:hAnsi="Calibri" w:cs="Calibri"/>
                <w:color w:val="auto"/>
                <w:sz w:val="18"/>
                <w:szCs w:val="18"/>
                <w:lang w:eastAsia="pl-PL"/>
              </w:rPr>
            </w:pPr>
          </w:p>
        </w:tc>
        <w:tc>
          <w:tcPr>
            <w:tcW w:w="1804" w:type="dxa"/>
            <w:vAlign w:val="center"/>
          </w:tcPr>
          <w:p w14:paraId="5B957014" w14:textId="77777777" w:rsidR="00E709CC" w:rsidRPr="0062347E" w:rsidRDefault="00E709CC" w:rsidP="00E20A97">
            <w:pPr>
              <w:widowControl w:val="0"/>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auto"/>
                <w:sz w:val="18"/>
                <w:szCs w:val="18"/>
              </w:rPr>
            </w:pPr>
            <w:r w:rsidRPr="0062347E">
              <w:rPr>
                <w:rFonts w:ascii="Calibri" w:eastAsia="Times New Roman" w:hAnsi="Calibri" w:cs="Calibri"/>
                <w:color w:val="auto"/>
                <w:sz w:val="18"/>
                <w:szCs w:val="18"/>
                <w:lang w:eastAsia="pl-PL"/>
              </w:rPr>
              <w:t>Błękitno-zielona infrastruktura i rozwiązania bazujące na przyrodzie</w:t>
            </w:r>
          </w:p>
        </w:tc>
        <w:tc>
          <w:tcPr>
            <w:tcW w:w="1507" w:type="dxa"/>
            <w:vAlign w:val="center"/>
          </w:tcPr>
          <w:p w14:paraId="0EF9A548"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1A4671DB"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1B8AA8F7"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3180CD5E"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1,2,4,5</w:t>
            </w:r>
          </w:p>
        </w:tc>
        <w:tc>
          <w:tcPr>
            <w:tcW w:w="1915" w:type="dxa"/>
            <w:vAlign w:val="center"/>
          </w:tcPr>
          <w:p w14:paraId="35536D7C"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Zły stan środowiska, podtopienia i powodzie, susze, wysokie temperatury, zasklepianie terenu</w:t>
            </w:r>
          </w:p>
        </w:tc>
        <w:tc>
          <w:tcPr>
            <w:tcW w:w="4711" w:type="dxa"/>
            <w:vAlign w:val="center"/>
          </w:tcPr>
          <w:p w14:paraId="5C9BFBD2" w14:textId="77777777" w:rsidR="00E709CC" w:rsidRPr="0062347E"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Zastosowanie w planowaniu błękitno-zielonej infrastruktury pozwoli na odejście od tradycyjnego systemu zarządzania wodami opadowymi. Zielono-niebieska infrastruktura wspomaga rozwój zieleni, bioróżnorodności oraz retencji i poprawia stosunki wodne.</w:t>
            </w:r>
          </w:p>
        </w:tc>
        <w:tc>
          <w:tcPr>
            <w:tcW w:w="1710" w:type="dxa"/>
            <w:vAlign w:val="center"/>
          </w:tcPr>
          <w:p w14:paraId="671895F5" w14:textId="77777777" w:rsidR="00E709CC" w:rsidRPr="003C4FAB" w:rsidRDefault="00E709CC" w:rsidP="00E20A97">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E709CC" w:rsidRPr="0062347E" w14:paraId="7716AE51" w14:textId="77777777" w:rsidTr="009F3A89">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1C7D4A64" w14:textId="77777777" w:rsidR="00E709CC" w:rsidRPr="0062347E" w:rsidRDefault="00E709CC">
            <w:pPr>
              <w:pStyle w:val="Akapitzlist"/>
              <w:widowControl w:val="0"/>
              <w:numPr>
                <w:ilvl w:val="1"/>
                <w:numId w:val="86"/>
              </w:numPr>
              <w:tabs>
                <w:tab w:val="left" w:pos="3119"/>
              </w:tabs>
              <w:ind w:left="0" w:firstLine="0"/>
              <w:jc w:val="center"/>
              <w:rPr>
                <w:rFonts w:ascii="Calibri" w:eastAsia="Calibri" w:hAnsi="Calibri" w:cs="Calibri"/>
                <w:color w:val="auto"/>
                <w:sz w:val="18"/>
                <w:szCs w:val="18"/>
              </w:rPr>
            </w:pPr>
          </w:p>
        </w:tc>
        <w:tc>
          <w:tcPr>
            <w:tcW w:w="1804" w:type="dxa"/>
            <w:vAlign w:val="center"/>
          </w:tcPr>
          <w:p w14:paraId="0D9BA19E" w14:textId="77777777" w:rsidR="00E709CC" w:rsidRPr="0062347E" w:rsidRDefault="00E709CC" w:rsidP="00E20A97">
            <w:pPr>
              <w:widowControl w:val="0"/>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auto"/>
                <w:sz w:val="18"/>
                <w:szCs w:val="18"/>
              </w:rPr>
            </w:pPr>
            <w:r w:rsidRPr="0062347E">
              <w:rPr>
                <w:rFonts w:ascii="Calibri" w:eastAsia="Calibri" w:hAnsi="Calibri" w:cs="Calibri"/>
                <w:color w:val="auto"/>
                <w:sz w:val="18"/>
                <w:szCs w:val="18"/>
              </w:rPr>
              <w:t>Rozwój zieleni miejskiej zatrzymującej wodę</w:t>
            </w:r>
          </w:p>
        </w:tc>
        <w:tc>
          <w:tcPr>
            <w:tcW w:w="1507" w:type="dxa"/>
            <w:vAlign w:val="center"/>
          </w:tcPr>
          <w:p w14:paraId="2693E239"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125A648D"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30D01F69"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3B51BCBC"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1,2,4,5</w:t>
            </w:r>
          </w:p>
        </w:tc>
        <w:tc>
          <w:tcPr>
            <w:tcW w:w="1915" w:type="dxa"/>
            <w:vAlign w:val="center"/>
          </w:tcPr>
          <w:p w14:paraId="49C25DF9" w14:textId="77777777"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Zły stan środowiska, podtopienia i powodzie, susze, wysokie temperatury, zasklepianie terenu</w:t>
            </w:r>
          </w:p>
        </w:tc>
        <w:tc>
          <w:tcPr>
            <w:tcW w:w="4711" w:type="dxa"/>
            <w:vAlign w:val="center"/>
          </w:tcPr>
          <w:p w14:paraId="409C05F4" w14:textId="53EAD68B" w:rsidR="00E709CC" w:rsidRPr="0062347E"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W planowaniu zieleni miejskiej, oprócz gatunków odpornych, należy również uwzględnić rośliny mające zdolność magazynowania wody. Takie rozwiązani</w:t>
            </w:r>
            <w:r w:rsidR="00865116">
              <w:rPr>
                <w:rFonts w:ascii="Calibri" w:hAnsi="Calibri" w:cs="Calibri"/>
                <w:sz w:val="18"/>
                <w:szCs w:val="18"/>
                <w:lang w:eastAsia="pl-PL"/>
              </w:rPr>
              <w:t>e</w:t>
            </w:r>
            <w:r w:rsidRPr="0062347E">
              <w:rPr>
                <w:rFonts w:ascii="Calibri" w:hAnsi="Calibri" w:cs="Calibri"/>
                <w:sz w:val="18"/>
                <w:szCs w:val="18"/>
                <w:lang w:eastAsia="pl-PL"/>
              </w:rPr>
              <w:t xml:space="preserve"> poprawia stosunki wodne i zmniejsza zjawisko suszy, ponieważ woda magazynowana w roślinach jest później powoli infiltrowana do gleby.</w:t>
            </w:r>
          </w:p>
        </w:tc>
        <w:tc>
          <w:tcPr>
            <w:tcW w:w="1710" w:type="dxa"/>
            <w:vAlign w:val="center"/>
          </w:tcPr>
          <w:p w14:paraId="3C9D3C14" w14:textId="77777777" w:rsidR="00E709CC" w:rsidRPr="003C4FAB" w:rsidRDefault="00E709CC" w:rsidP="00E20A97">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bookmarkEnd w:id="271"/>
      <w:tr w:rsidR="00850F8A" w:rsidRPr="0062347E" w14:paraId="2DED8411" w14:textId="77777777" w:rsidTr="009F3A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0248143A" w14:textId="77777777" w:rsidR="00850F8A" w:rsidRPr="0062347E" w:rsidRDefault="00850F8A" w:rsidP="00850F8A">
            <w:pPr>
              <w:pStyle w:val="Akapitzlist"/>
              <w:widowControl w:val="0"/>
              <w:numPr>
                <w:ilvl w:val="1"/>
                <w:numId w:val="86"/>
              </w:numPr>
              <w:tabs>
                <w:tab w:val="left" w:pos="3119"/>
              </w:tabs>
              <w:ind w:left="0" w:firstLine="0"/>
              <w:jc w:val="center"/>
              <w:rPr>
                <w:rFonts w:ascii="Calibri" w:eastAsia="Calibri" w:hAnsi="Calibri" w:cs="Calibri"/>
                <w:color w:val="auto"/>
                <w:sz w:val="18"/>
                <w:szCs w:val="18"/>
              </w:rPr>
            </w:pPr>
          </w:p>
        </w:tc>
        <w:tc>
          <w:tcPr>
            <w:tcW w:w="1804" w:type="dxa"/>
            <w:vAlign w:val="center"/>
          </w:tcPr>
          <w:p w14:paraId="223CA28E" w14:textId="217311DF" w:rsidR="00850F8A" w:rsidRPr="0062347E" w:rsidRDefault="00850F8A" w:rsidP="00850F8A">
            <w:pPr>
              <w:widowControl w:val="0"/>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auto"/>
                <w:sz w:val="18"/>
                <w:szCs w:val="18"/>
              </w:rPr>
            </w:pPr>
            <w:r>
              <w:rPr>
                <w:rFonts w:ascii="Calibri" w:eastAsia="Calibri" w:hAnsi="Calibri" w:cs="Calibri"/>
                <w:color w:val="auto"/>
                <w:sz w:val="18"/>
                <w:szCs w:val="18"/>
              </w:rPr>
              <w:t>P</w:t>
            </w:r>
            <w:r w:rsidRPr="0097287A">
              <w:rPr>
                <w:rFonts w:ascii="Calibri" w:eastAsia="Calibri" w:hAnsi="Calibri" w:cs="Calibri"/>
                <w:color w:val="auto"/>
                <w:sz w:val="18"/>
                <w:szCs w:val="18"/>
              </w:rPr>
              <w:t>rzebudowa placu za budynkiem Urzędu Miejskiego</w:t>
            </w:r>
            <w:r>
              <w:rPr>
                <w:rFonts w:ascii="Calibri" w:eastAsia="Calibri" w:hAnsi="Calibri" w:cs="Calibri"/>
                <w:color w:val="auto"/>
                <w:sz w:val="18"/>
                <w:szCs w:val="18"/>
              </w:rPr>
              <w:t xml:space="preserve"> w Tarnogrodzie</w:t>
            </w:r>
            <w:r w:rsidRPr="0097287A">
              <w:rPr>
                <w:rFonts w:ascii="Calibri" w:eastAsia="Calibri" w:hAnsi="Calibri" w:cs="Calibri"/>
                <w:color w:val="auto"/>
                <w:sz w:val="18"/>
                <w:szCs w:val="18"/>
              </w:rPr>
              <w:t xml:space="preserve"> z zastosowaniem nawierzchni</w:t>
            </w:r>
            <w:r w:rsidRPr="0097287A">
              <w:rPr>
                <w:rFonts w:ascii="Calibri" w:eastAsia="Calibri" w:hAnsi="Calibri" w:cs="Calibri"/>
                <w:color w:val="auto"/>
                <w:sz w:val="18"/>
                <w:szCs w:val="18"/>
              </w:rPr>
              <w:t xml:space="preserve"> </w:t>
            </w:r>
            <w:r w:rsidRPr="0097287A">
              <w:rPr>
                <w:rFonts w:ascii="Calibri" w:eastAsia="Calibri" w:hAnsi="Calibri" w:cs="Calibri"/>
                <w:color w:val="auto"/>
                <w:sz w:val="18"/>
                <w:szCs w:val="18"/>
              </w:rPr>
              <w:t xml:space="preserve">przepuszczalnej </w:t>
            </w:r>
          </w:p>
        </w:tc>
        <w:tc>
          <w:tcPr>
            <w:tcW w:w="1507" w:type="dxa"/>
            <w:vAlign w:val="center"/>
          </w:tcPr>
          <w:p w14:paraId="0B34DEE2" w14:textId="2EB2D61E"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06573E8D" w14:textId="40E51C3F"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Krótkoterminowe, natychmiastowe</w:t>
            </w:r>
          </w:p>
        </w:tc>
        <w:tc>
          <w:tcPr>
            <w:tcW w:w="963" w:type="dxa"/>
            <w:vAlign w:val="center"/>
          </w:tcPr>
          <w:p w14:paraId="5C074E69" w14:textId="61C237EC"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Pr>
                <w:rFonts w:ascii="Calibri" w:hAnsi="Calibri" w:cs="Calibri"/>
                <w:sz w:val="18"/>
                <w:szCs w:val="18"/>
                <w:lang w:eastAsia="pl-PL"/>
              </w:rPr>
              <w:t>2030</w:t>
            </w:r>
          </w:p>
        </w:tc>
        <w:tc>
          <w:tcPr>
            <w:tcW w:w="1098" w:type="dxa"/>
            <w:vAlign w:val="center"/>
          </w:tcPr>
          <w:p w14:paraId="1F57EBE9" w14:textId="5EF157BA"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Pr>
                <w:rFonts w:ascii="Calibri" w:hAnsi="Calibri" w:cs="Calibri"/>
                <w:sz w:val="18"/>
                <w:szCs w:val="18"/>
                <w:lang w:eastAsia="pl-PL"/>
              </w:rPr>
              <w:t>1,2,3,5</w:t>
            </w:r>
          </w:p>
        </w:tc>
        <w:tc>
          <w:tcPr>
            <w:tcW w:w="1915" w:type="dxa"/>
            <w:vAlign w:val="center"/>
          </w:tcPr>
          <w:p w14:paraId="0B02145A" w14:textId="3AF2DF80"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Miejska wyspa ciepła, powodzie i podtopienia, susze, zasklepianie terenu</w:t>
            </w:r>
          </w:p>
        </w:tc>
        <w:tc>
          <w:tcPr>
            <w:tcW w:w="4711" w:type="dxa"/>
            <w:vAlign w:val="center"/>
          </w:tcPr>
          <w:p w14:paraId="69D377D7" w14:textId="14ED964D"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Pr>
                <w:rFonts w:ascii="Calibri" w:hAnsi="Calibri" w:cs="Calibri"/>
                <w:sz w:val="18"/>
                <w:szCs w:val="18"/>
                <w:lang w:eastAsia="pl-PL"/>
              </w:rPr>
              <w:t xml:space="preserve">W zadaniu przewiduje się przebudowę obszaru zabudowanego </w:t>
            </w:r>
            <w:r w:rsidR="00AD1D93">
              <w:rPr>
                <w:rFonts w:ascii="Calibri" w:hAnsi="Calibri" w:cs="Calibri"/>
                <w:sz w:val="18"/>
                <w:szCs w:val="18"/>
                <w:lang w:eastAsia="pl-PL"/>
              </w:rPr>
              <w:t>z</w:t>
            </w:r>
            <w:r>
              <w:rPr>
                <w:rFonts w:ascii="Calibri" w:hAnsi="Calibri" w:cs="Calibri"/>
                <w:sz w:val="18"/>
                <w:szCs w:val="18"/>
                <w:lang w:eastAsia="pl-PL"/>
              </w:rPr>
              <w:t>a budynkiem Urzędu Miejskiego w Tarnogrodzie</w:t>
            </w:r>
            <w:r w:rsidRPr="0062347E">
              <w:rPr>
                <w:rFonts w:ascii="Calibri" w:hAnsi="Calibri" w:cs="Calibri"/>
                <w:sz w:val="18"/>
                <w:szCs w:val="18"/>
                <w:lang w:eastAsia="pl-PL"/>
              </w:rPr>
              <w:t xml:space="preserve"> </w:t>
            </w:r>
            <w:r w:rsidR="00AD1D93">
              <w:rPr>
                <w:rFonts w:ascii="Calibri" w:hAnsi="Calibri" w:cs="Calibri"/>
                <w:sz w:val="18"/>
                <w:szCs w:val="18"/>
                <w:lang w:eastAsia="pl-PL"/>
              </w:rPr>
              <w:t xml:space="preserve">z zastosowaniem nawierzchni przepuszczalnej, tym samym rozszczelniając powierzchnię. </w:t>
            </w:r>
            <w:r w:rsidRPr="0062347E">
              <w:rPr>
                <w:rFonts w:ascii="Calibri" w:hAnsi="Calibri" w:cs="Calibri"/>
                <w:sz w:val="18"/>
                <w:szCs w:val="18"/>
                <w:lang w:eastAsia="pl-PL"/>
              </w:rPr>
              <w:t>Rozszczelnienie powierzchni poprawia stosunki wodne i jakość środowiska, przeciwdziałając zjawisku powodzi.</w:t>
            </w:r>
          </w:p>
        </w:tc>
        <w:tc>
          <w:tcPr>
            <w:tcW w:w="1710" w:type="dxa"/>
            <w:vAlign w:val="center"/>
          </w:tcPr>
          <w:p w14:paraId="70A96751" w14:textId="7959E87E" w:rsidR="00850F8A" w:rsidRPr="003C4FAB"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Pr>
                <w:rFonts w:ascii="Calibri" w:hAnsi="Calibri" w:cs="Calibri"/>
                <w:sz w:val="18"/>
                <w:szCs w:val="18"/>
                <w:lang w:eastAsia="pl-PL"/>
              </w:rPr>
              <w:t>NIE</w:t>
            </w:r>
          </w:p>
        </w:tc>
      </w:tr>
      <w:tr w:rsidR="00850F8A" w:rsidRPr="0062347E" w14:paraId="76B64D76" w14:textId="77777777" w:rsidTr="009F3A89">
        <w:trPr>
          <w:trHeight w:val="329"/>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3C2A5E93" w14:textId="77777777" w:rsidR="00850F8A" w:rsidRPr="0062347E" w:rsidRDefault="00850F8A" w:rsidP="00850F8A">
            <w:pPr>
              <w:pStyle w:val="Akapitzlist"/>
              <w:widowControl w:val="0"/>
              <w:numPr>
                <w:ilvl w:val="1"/>
                <w:numId w:val="86"/>
              </w:numPr>
              <w:tabs>
                <w:tab w:val="left" w:pos="3119"/>
              </w:tabs>
              <w:ind w:left="0" w:firstLine="0"/>
              <w:jc w:val="center"/>
              <w:rPr>
                <w:rFonts w:ascii="Calibri" w:eastAsia="Calibri" w:hAnsi="Calibri" w:cs="Calibri"/>
                <w:color w:val="auto"/>
                <w:sz w:val="18"/>
                <w:szCs w:val="18"/>
              </w:rPr>
            </w:pPr>
          </w:p>
        </w:tc>
        <w:tc>
          <w:tcPr>
            <w:tcW w:w="1804" w:type="dxa"/>
            <w:vAlign w:val="center"/>
          </w:tcPr>
          <w:p w14:paraId="407AFEB3" w14:textId="77777777" w:rsidR="00850F8A" w:rsidRPr="0062347E" w:rsidRDefault="00850F8A" w:rsidP="00850F8A">
            <w:pPr>
              <w:widowControl w:val="0"/>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auto"/>
                <w:sz w:val="18"/>
                <w:szCs w:val="18"/>
              </w:rPr>
            </w:pPr>
            <w:r w:rsidRPr="0062347E">
              <w:rPr>
                <w:rFonts w:ascii="Calibri" w:eastAsia="Calibri" w:hAnsi="Calibri" w:cs="Calibri"/>
                <w:color w:val="auto"/>
                <w:sz w:val="18"/>
                <w:szCs w:val="18"/>
              </w:rPr>
              <w:t>System magazynowania wody deszczowej na obiektach publicznych</w:t>
            </w:r>
          </w:p>
        </w:tc>
        <w:tc>
          <w:tcPr>
            <w:tcW w:w="1507" w:type="dxa"/>
            <w:vAlign w:val="center"/>
          </w:tcPr>
          <w:p w14:paraId="4989F5F0"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4CACDB04"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1E5B18B3"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27CF4240"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1,2,5</w:t>
            </w:r>
          </w:p>
        </w:tc>
        <w:tc>
          <w:tcPr>
            <w:tcW w:w="1915" w:type="dxa"/>
            <w:vAlign w:val="center"/>
          </w:tcPr>
          <w:p w14:paraId="552D6611"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Zanieczyszczenie wód, wysoki pobór wód, podtopienia i powodzie, susze</w:t>
            </w:r>
          </w:p>
        </w:tc>
        <w:tc>
          <w:tcPr>
            <w:tcW w:w="4711" w:type="dxa"/>
            <w:vAlign w:val="center"/>
          </w:tcPr>
          <w:p w14:paraId="49B18BB1"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System magazynowania wody deszczowej na obiektach publicznych pozwoli na jej wykorzystanie, np. w celu podlewania zieleni miejskiej, czy mycia ulic. Pozwoli to na zmniejszenie zużycia wody oraz stanowić będzie rozwiązanie w przypadku suszy i konieczności ograniczenia zużycia wody wodociągowej.</w:t>
            </w:r>
          </w:p>
        </w:tc>
        <w:tc>
          <w:tcPr>
            <w:tcW w:w="1710" w:type="dxa"/>
            <w:vAlign w:val="center"/>
          </w:tcPr>
          <w:p w14:paraId="3B48E642" w14:textId="77777777" w:rsidR="00850F8A" w:rsidRPr="003C4FAB"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850F8A" w:rsidRPr="0062347E" w14:paraId="642DBCE5" w14:textId="77777777" w:rsidTr="009F3A89">
        <w:trPr>
          <w:cnfStyle w:val="000000100000" w:firstRow="0" w:lastRow="0" w:firstColumn="0" w:lastColumn="0" w:oddVBand="0" w:evenVBand="0" w:oddHBand="1" w:evenHBand="0" w:firstRowFirstColumn="0" w:firstRowLastColumn="0" w:lastRowFirstColumn="0" w:lastRowLastColumn="0"/>
          <w:trHeight w:val="329"/>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4AC69FC1" w14:textId="77777777" w:rsidR="00850F8A" w:rsidRPr="0062347E" w:rsidRDefault="00850F8A" w:rsidP="00850F8A">
            <w:pPr>
              <w:pStyle w:val="Akapitzlist"/>
              <w:widowControl w:val="0"/>
              <w:numPr>
                <w:ilvl w:val="1"/>
                <w:numId w:val="86"/>
              </w:numPr>
              <w:tabs>
                <w:tab w:val="left" w:pos="3119"/>
              </w:tabs>
              <w:ind w:left="0" w:firstLine="0"/>
              <w:jc w:val="center"/>
              <w:rPr>
                <w:rFonts w:ascii="Calibri" w:eastAsia="Calibri" w:hAnsi="Calibri" w:cs="Calibri"/>
                <w:color w:val="auto"/>
                <w:sz w:val="18"/>
                <w:szCs w:val="18"/>
              </w:rPr>
            </w:pPr>
          </w:p>
        </w:tc>
        <w:tc>
          <w:tcPr>
            <w:tcW w:w="1804" w:type="dxa"/>
            <w:vAlign w:val="center"/>
          </w:tcPr>
          <w:p w14:paraId="40EB7A91" w14:textId="77777777" w:rsidR="00850F8A" w:rsidRPr="0062347E" w:rsidRDefault="00850F8A" w:rsidP="00850F8A">
            <w:pPr>
              <w:widowControl w:val="0"/>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auto"/>
                <w:sz w:val="18"/>
                <w:szCs w:val="18"/>
              </w:rPr>
            </w:pPr>
            <w:r w:rsidRPr="0062347E">
              <w:rPr>
                <w:rFonts w:ascii="Calibri" w:eastAsia="Calibri" w:hAnsi="Calibri" w:cs="Calibri"/>
                <w:color w:val="auto"/>
                <w:sz w:val="18"/>
                <w:szCs w:val="18"/>
              </w:rPr>
              <w:t>Wymiana wodomierzy na przystosowane do odczytu radiowego</w:t>
            </w:r>
          </w:p>
        </w:tc>
        <w:tc>
          <w:tcPr>
            <w:tcW w:w="1507" w:type="dxa"/>
            <w:vAlign w:val="center"/>
          </w:tcPr>
          <w:p w14:paraId="24C9E325" w14:textId="5528CBFC"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Pr>
                <w:rFonts w:ascii="Calibri" w:hAnsi="Calibri" w:cs="Calibri"/>
                <w:sz w:val="18"/>
                <w:szCs w:val="18"/>
                <w:lang w:eastAsia="pl-PL"/>
              </w:rPr>
              <w:t xml:space="preserve">Tarnogrodzki </w:t>
            </w:r>
            <w:r w:rsidRPr="0062347E">
              <w:rPr>
                <w:rFonts w:ascii="Calibri" w:hAnsi="Calibri" w:cs="Calibri"/>
                <w:sz w:val="18"/>
                <w:szCs w:val="18"/>
                <w:lang w:eastAsia="pl-PL"/>
              </w:rPr>
              <w:t>Zakład Komunalny Sp. z o.o.</w:t>
            </w:r>
          </w:p>
        </w:tc>
        <w:tc>
          <w:tcPr>
            <w:tcW w:w="1643" w:type="dxa"/>
            <w:vAlign w:val="center"/>
          </w:tcPr>
          <w:p w14:paraId="701BCD71" w14:textId="77777777"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75A5616F" w14:textId="77777777"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6497C30D" w14:textId="77777777"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1,2,4,5</w:t>
            </w:r>
          </w:p>
        </w:tc>
        <w:tc>
          <w:tcPr>
            <w:tcW w:w="1915" w:type="dxa"/>
            <w:vAlign w:val="center"/>
          </w:tcPr>
          <w:p w14:paraId="2D22C0EF" w14:textId="77777777"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Wysoki pobór wód, susze</w:t>
            </w:r>
          </w:p>
        </w:tc>
        <w:tc>
          <w:tcPr>
            <w:tcW w:w="4711" w:type="dxa"/>
            <w:vAlign w:val="center"/>
          </w:tcPr>
          <w:p w14:paraId="29506A4A" w14:textId="24F1EBA4"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Modernizacja systemu odczytów poboru wody pozwoli na zmniejszenie zużycia wody oraz zapobiegnie kradzieżom wody na wodociągu</w:t>
            </w:r>
            <w:r>
              <w:rPr>
                <w:rFonts w:ascii="Calibri" w:hAnsi="Calibri" w:cs="Calibri"/>
                <w:sz w:val="18"/>
                <w:szCs w:val="18"/>
                <w:lang w:eastAsia="pl-PL"/>
              </w:rPr>
              <w:t>.</w:t>
            </w:r>
          </w:p>
        </w:tc>
        <w:tc>
          <w:tcPr>
            <w:tcW w:w="1710" w:type="dxa"/>
            <w:vAlign w:val="center"/>
          </w:tcPr>
          <w:p w14:paraId="0D0A6E14" w14:textId="77777777" w:rsidR="00850F8A" w:rsidRPr="003C4FAB"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850F8A" w:rsidRPr="0062347E" w14:paraId="6C94CB4E" w14:textId="77777777" w:rsidTr="009F3A89">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49B48FE8" w14:textId="77777777" w:rsidR="00850F8A" w:rsidRPr="0062347E" w:rsidRDefault="00850F8A" w:rsidP="00850F8A">
            <w:pPr>
              <w:pStyle w:val="Akapitzlist"/>
              <w:widowControl w:val="0"/>
              <w:numPr>
                <w:ilvl w:val="1"/>
                <w:numId w:val="86"/>
              </w:numPr>
              <w:tabs>
                <w:tab w:val="left" w:pos="3119"/>
              </w:tabs>
              <w:ind w:left="0" w:firstLine="0"/>
              <w:jc w:val="center"/>
              <w:rPr>
                <w:rFonts w:ascii="Calibri" w:eastAsia="Times New Roman" w:hAnsi="Calibri" w:cs="Calibri"/>
                <w:color w:val="auto"/>
                <w:sz w:val="18"/>
                <w:szCs w:val="18"/>
                <w:lang w:eastAsia="pl-PL"/>
              </w:rPr>
            </w:pPr>
          </w:p>
        </w:tc>
        <w:tc>
          <w:tcPr>
            <w:tcW w:w="1804" w:type="dxa"/>
            <w:vAlign w:val="center"/>
          </w:tcPr>
          <w:p w14:paraId="2F0194A5" w14:textId="271D3FF3" w:rsidR="00850F8A" w:rsidRPr="0062347E" w:rsidRDefault="00850F8A" w:rsidP="00850F8A">
            <w:pPr>
              <w:widowControl w:val="0"/>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5F63CC">
              <w:rPr>
                <w:rFonts w:ascii="Calibri" w:eastAsia="Times New Roman" w:hAnsi="Calibri" w:cs="Calibri"/>
                <w:color w:val="auto"/>
                <w:sz w:val="18"/>
                <w:szCs w:val="18"/>
                <w:lang w:eastAsia="pl-PL"/>
              </w:rPr>
              <w:t xml:space="preserve">Rozbudowa sieci kanalizacji </w:t>
            </w:r>
            <w:r w:rsidRPr="005F63CC">
              <w:rPr>
                <w:rFonts w:ascii="Calibri" w:eastAsia="Times New Roman" w:hAnsi="Calibri" w:cs="Calibri"/>
                <w:color w:val="auto"/>
                <w:sz w:val="18"/>
                <w:szCs w:val="18"/>
                <w:lang w:eastAsia="pl-PL"/>
              </w:rPr>
              <w:lastRenderedPageBreak/>
              <w:t>deszczowej (zadanie realizowane tylko w przypadku braku możliwości realizacji innych zadań z zakresu retencji)</w:t>
            </w:r>
          </w:p>
        </w:tc>
        <w:tc>
          <w:tcPr>
            <w:tcW w:w="1507" w:type="dxa"/>
            <w:vAlign w:val="center"/>
          </w:tcPr>
          <w:p w14:paraId="6AB03DDA"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lastRenderedPageBreak/>
              <w:t>Urząd Miejski w Tarnogrodzie</w:t>
            </w:r>
          </w:p>
        </w:tc>
        <w:tc>
          <w:tcPr>
            <w:tcW w:w="1643" w:type="dxa"/>
            <w:vAlign w:val="center"/>
          </w:tcPr>
          <w:p w14:paraId="0641D214"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262502BD"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74E6CC59" w14:textId="710EE3FC"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w:t>
            </w:r>
            <w:r>
              <w:rPr>
                <w:rFonts w:ascii="Calibri" w:hAnsi="Calibri" w:cs="Calibri"/>
                <w:sz w:val="18"/>
                <w:szCs w:val="18"/>
                <w:lang w:eastAsia="pl-PL"/>
              </w:rPr>
              <w:t>,4</w:t>
            </w:r>
          </w:p>
        </w:tc>
        <w:tc>
          <w:tcPr>
            <w:tcW w:w="1915" w:type="dxa"/>
            <w:vAlign w:val="center"/>
          </w:tcPr>
          <w:p w14:paraId="553A5B4E"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 xml:space="preserve">Podtopienia i powodzie, </w:t>
            </w:r>
            <w:r w:rsidRPr="0062347E">
              <w:rPr>
                <w:rFonts w:ascii="Calibri" w:hAnsi="Calibri" w:cs="Calibri"/>
                <w:sz w:val="18"/>
                <w:szCs w:val="18"/>
                <w:lang w:eastAsia="pl-PL"/>
              </w:rPr>
              <w:lastRenderedPageBreak/>
              <w:t>zanieczyszczenie wód</w:t>
            </w:r>
          </w:p>
        </w:tc>
        <w:tc>
          <w:tcPr>
            <w:tcW w:w="4711" w:type="dxa"/>
            <w:vAlign w:val="center"/>
          </w:tcPr>
          <w:p w14:paraId="3ACDAB9C" w14:textId="5C697C1A"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lastRenderedPageBreak/>
              <w:t xml:space="preserve">Rozbudowa kanalizacji deszczowej wzdłuż dróg wojewódzkich nr 835 i 836 pozwoli na odprowadzenie wody opadowej i </w:t>
            </w:r>
            <w:r w:rsidRPr="0062347E">
              <w:rPr>
                <w:rFonts w:ascii="Calibri" w:hAnsi="Calibri" w:cs="Calibri"/>
                <w:sz w:val="18"/>
                <w:szCs w:val="18"/>
                <w:lang w:eastAsia="pl-PL"/>
              </w:rPr>
              <w:lastRenderedPageBreak/>
              <w:t>redukcję zjawiska powodzi. Ze względu na wysoką presję na wody powierzchniowe, wody odprowadzane kanalizacją deszczową powinny być jak najlepiej oczyszczone.</w:t>
            </w:r>
            <w:r>
              <w:rPr>
                <w:rFonts w:ascii="Calibri" w:hAnsi="Calibri" w:cs="Calibri"/>
                <w:sz w:val="18"/>
                <w:szCs w:val="18"/>
                <w:lang w:eastAsia="pl-PL"/>
              </w:rPr>
              <w:t xml:space="preserve"> Odprowadzenie wody opadowej kanalizacją deszczową wzmaga zjawisko suszy, dlatego priorytet powinny stanowić zadania z zakresu retencji.</w:t>
            </w:r>
          </w:p>
        </w:tc>
        <w:tc>
          <w:tcPr>
            <w:tcW w:w="1710" w:type="dxa"/>
            <w:vAlign w:val="center"/>
          </w:tcPr>
          <w:p w14:paraId="7F3D4534" w14:textId="77777777" w:rsidR="00850F8A" w:rsidRPr="003C4FAB"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lastRenderedPageBreak/>
              <w:t>TAK</w:t>
            </w:r>
          </w:p>
        </w:tc>
      </w:tr>
      <w:tr w:rsidR="00850F8A" w:rsidRPr="0062347E" w14:paraId="54536469" w14:textId="77777777" w:rsidTr="009F3A89">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525" w:type="dxa"/>
            <w:shd w:val="clear" w:color="auto" w:fill="AAC472" w:themeFill="accent5" w:themeFillShade="BF"/>
            <w:vAlign w:val="center"/>
          </w:tcPr>
          <w:p w14:paraId="23487370" w14:textId="77777777" w:rsidR="00850F8A" w:rsidRPr="0062347E" w:rsidRDefault="00850F8A" w:rsidP="00850F8A">
            <w:pPr>
              <w:pStyle w:val="Akapitzlist"/>
              <w:widowControl w:val="0"/>
              <w:numPr>
                <w:ilvl w:val="0"/>
                <w:numId w:val="86"/>
              </w:numPr>
              <w:ind w:left="0" w:firstLine="0"/>
              <w:jc w:val="center"/>
              <w:rPr>
                <w:rFonts w:ascii="Calibri" w:hAnsi="Calibri" w:cs="Calibri"/>
                <w:sz w:val="18"/>
                <w:szCs w:val="18"/>
                <w:lang w:eastAsia="pl-PL"/>
              </w:rPr>
            </w:pPr>
          </w:p>
        </w:tc>
        <w:tc>
          <w:tcPr>
            <w:tcW w:w="15351" w:type="dxa"/>
            <w:gridSpan w:val="8"/>
            <w:shd w:val="clear" w:color="auto" w:fill="AAC472" w:themeFill="accent5" w:themeFillShade="BF"/>
            <w:vAlign w:val="center"/>
          </w:tcPr>
          <w:p w14:paraId="2D814C28" w14:textId="77777777" w:rsidR="00850F8A" w:rsidRPr="003C4FAB"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 w:val="18"/>
                <w:szCs w:val="18"/>
                <w:lang w:eastAsia="pl-PL"/>
              </w:rPr>
            </w:pPr>
            <w:r w:rsidRPr="003C4FAB">
              <w:rPr>
                <w:rFonts w:ascii="Calibri" w:hAnsi="Calibri" w:cs="Calibri"/>
                <w:b/>
                <w:bCs/>
                <w:lang w:eastAsia="pl-PL"/>
              </w:rPr>
              <w:t>OBSZAR TRANSPORT</w:t>
            </w:r>
          </w:p>
        </w:tc>
      </w:tr>
      <w:tr w:rsidR="00850F8A" w:rsidRPr="0062347E" w14:paraId="7C4C6E40" w14:textId="77777777" w:rsidTr="009F3A89">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1E3FEDBB" w14:textId="77777777" w:rsidR="00850F8A" w:rsidRPr="0062347E" w:rsidRDefault="00850F8A" w:rsidP="00850F8A">
            <w:pPr>
              <w:pStyle w:val="Akapitzlist"/>
              <w:widowControl w:val="0"/>
              <w:numPr>
                <w:ilvl w:val="1"/>
                <w:numId w:val="86"/>
              </w:numPr>
              <w:ind w:left="0" w:firstLine="0"/>
              <w:jc w:val="center"/>
              <w:rPr>
                <w:rFonts w:ascii="Calibri" w:hAnsi="Calibri" w:cs="Calibri"/>
                <w:sz w:val="18"/>
                <w:szCs w:val="18"/>
                <w:lang w:eastAsia="pl-PL"/>
              </w:rPr>
            </w:pPr>
          </w:p>
        </w:tc>
        <w:tc>
          <w:tcPr>
            <w:tcW w:w="1804" w:type="dxa"/>
            <w:vAlign w:val="center"/>
          </w:tcPr>
          <w:p w14:paraId="158FF3C1"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Budowa ścieżki rowerowej</w:t>
            </w:r>
          </w:p>
        </w:tc>
        <w:tc>
          <w:tcPr>
            <w:tcW w:w="1507" w:type="dxa"/>
            <w:vAlign w:val="center"/>
          </w:tcPr>
          <w:p w14:paraId="4E86FE44" w14:textId="77777777" w:rsidR="00850F8A" w:rsidRPr="0062347E" w:rsidRDefault="00850F8A" w:rsidP="00850F8A">
            <w:pPr>
              <w:widowControl w:val="0"/>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2BD557A9"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natychmiastowe</w:t>
            </w:r>
          </w:p>
        </w:tc>
        <w:tc>
          <w:tcPr>
            <w:tcW w:w="963" w:type="dxa"/>
            <w:vAlign w:val="center"/>
          </w:tcPr>
          <w:p w14:paraId="3290C9E2"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779DB49F" w14:textId="59B15C8F"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1,3,</w:t>
            </w:r>
            <w:r>
              <w:rPr>
                <w:rFonts w:ascii="Calibri" w:hAnsi="Calibri" w:cs="Calibri"/>
                <w:sz w:val="18"/>
                <w:szCs w:val="18"/>
                <w:lang w:eastAsia="pl-PL"/>
              </w:rPr>
              <w:t>4</w:t>
            </w:r>
            <w:r w:rsidRPr="0062347E">
              <w:rPr>
                <w:rFonts w:ascii="Calibri" w:hAnsi="Calibri" w:cs="Calibri"/>
                <w:sz w:val="18"/>
                <w:szCs w:val="18"/>
                <w:lang w:eastAsia="pl-PL"/>
              </w:rPr>
              <w:t>,6</w:t>
            </w:r>
          </w:p>
        </w:tc>
        <w:tc>
          <w:tcPr>
            <w:tcW w:w="1915" w:type="dxa"/>
            <w:vAlign w:val="center"/>
          </w:tcPr>
          <w:p w14:paraId="78272993"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Zanieczyszczenie powietrza, zanieczyszczenie powierzchni ziemi, niska świadomość mieszkańców</w:t>
            </w:r>
          </w:p>
        </w:tc>
        <w:tc>
          <w:tcPr>
            <w:tcW w:w="4711" w:type="dxa"/>
            <w:vAlign w:val="center"/>
          </w:tcPr>
          <w:p w14:paraId="1172E950" w14:textId="0450000F"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Rozwój systemu ścieżek rowerowych w mieście zachęci mieszkańców do korzystania z tej formy transportu, przyczyni się do poprawy jakości powietrza oraz zwiększy świadomość mieszkańców na temat odpowiedzialności. Szlak rowerowy będzie przebiegał wzdłuż drogi DW 835 i częściowo wykorzystywać będzie infrastrukturę istniejącą.</w:t>
            </w:r>
            <w:r>
              <w:rPr>
                <w:rFonts w:ascii="Calibri" w:hAnsi="Calibri" w:cs="Calibri"/>
                <w:sz w:val="18"/>
                <w:szCs w:val="18"/>
                <w:lang w:eastAsia="pl-PL"/>
              </w:rPr>
              <w:t xml:space="preserve"> Zadanie zawarto w Strategii </w:t>
            </w:r>
            <w:r w:rsidRPr="007D5385">
              <w:rPr>
                <w:rFonts w:ascii="Calibri" w:hAnsi="Calibri" w:cs="Calibri"/>
                <w:sz w:val="18"/>
                <w:szCs w:val="18"/>
                <w:lang w:eastAsia="pl-PL"/>
              </w:rPr>
              <w:t>Partnerstwa Gmin Powiatu Biłgorajskiego dla rozwoju gospodarczego</w:t>
            </w:r>
            <w:r>
              <w:rPr>
                <w:rFonts w:ascii="Calibri" w:hAnsi="Calibri" w:cs="Calibri"/>
                <w:sz w:val="18"/>
                <w:szCs w:val="18"/>
                <w:lang w:eastAsia="pl-PL"/>
              </w:rPr>
              <w:t>.</w:t>
            </w:r>
          </w:p>
        </w:tc>
        <w:tc>
          <w:tcPr>
            <w:tcW w:w="1710" w:type="dxa"/>
            <w:vAlign w:val="center"/>
          </w:tcPr>
          <w:p w14:paraId="006D4DC0" w14:textId="1801F57B" w:rsidR="00850F8A" w:rsidRPr="003C4FAB"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850F8A" w:rsidRPr="0062347E" w14:paraId="56C5382A" w14:textId="77777777" w:rsidTr="009F3A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1B2E939A" w14:textId="77777777" w:rsidR="00850F8A" w:rsidRPr="0062347E" w:rsidRDefault="00850F8A" w:rsidP="00850F8A">
            <w:pPr>
              <w:pStyle w:val="Akapitzlist"/>
              <w:widowControl w:val="0"/>
              <w:numPr>
                <w:ilvl w:val="1"/>
                <w:numId w:val="86"/>
              </w:numPr>
              <w:tabs>
                <w:tab w:val="left" w:pos="3119"/>
              </w:tabs>
              <w:ind w:left="0" w:firstLine="0"/>
              <w:jc w:val="center"/>
              <w:rPr>
                <w:rFonts w:ascii="Calibri" w:eastAsia="Calibri" w:hAnsi="Calibri" w:cs="Calibri"/>
                <w:color w:val="auto"/>
                <w:sz w:val="18"/>
                <w:szCs w:val="18"/>
              </w:rPr>
            </w:pPr>
          </w:p>
        </w:tc>
        <w:tc>
          <w:tcPr>
            <w:tcW w:w="1804" w:type="dxa"/>
            <w:vAlign w:val="center"/>
          </w:tcPr>
          <w:p w14:paraId="64E12DD2" w14:textId="77777777" w:rsidR="00850F8A" w:rsidRPr="0062347E" w:rsidRDefault="00850F8A" w:rsidP="00850F8A">
            <w:pPr>
              <w:widowControl w:val="0"/>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auto"/>
                <w:sz w:val="18"/>
                <w:szCs w:val="18"/>
              </w:rPr>
            </w:pPr>
            <w:r w:rsidRPr="0062347E">
              <w:rPr>
                <w:rFonts w:ascii="Calibri" w:eastAsia="Calibri" w:hAnsi="Calibri" w:cs="Calibri"/>
                <w:color w:val="auto"/>
                <w:sz w:val="18"/>
                <w:szCs w:val="18"/>
              </w:rPr>
              <w:t>Rozwój transportu publicznego</w:t>
            </w:r>
          </w:p>
        </w:tc>
        <w:tc>
          <w:tcPr>
            <w:tcW w:w="1507" w:type="dxa"/>
            <w:vAlign w:val="center"/>
          </w:tcPr>
          <w:p w14:paraId="2DA7B7F1" w14:textId="77777777"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16486C8C" w14:textId="77777777"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73790216" w14:textId="77777777"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0451EDEC" w14:textId="77777777"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1,3,4,6</w:t>
            </w:r>
          </w:p>
        </w:tc>
        <w:tc>
          <w:tcPr>
            <w:tcW w:w="1915" w:type="dxa"/>
            <w:vAlign w:val="center"/>
          </w:tcPr>
          <w:p w14:paraId="562127D0" w14:textId="77777777"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Zanieczyszczenie powietrza, zanieczyszczenie powierzchni ziemi, niska świadomość mieszkańców</w:t>
            </w:r>
          </w:p>
        </w:tc>
        <w:tc>
          <w:tcPr>
            <w:tcW w:w="4711" w:type="dxa"/>
            <w:vAlign w:val="center"/>
          </w:tcPr>
          <w:p w14:paraId="51012F6D" w14:textId="6E9A9CB4"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Transport publiczny powinien stanowić podstawowy rodzaj transportu na obszarze miasta oraz gminy. Transport publiczny oddziałuje na środowisko w mniejszym stopniu niż transport prywatny oraz odznacza się mniejszymi emisjami. Ponadto, wspiera osoby z grup wykluczonych, które są szczególnie narażone na ryzyka związane ze zmianą klimatu. Działanie powinno być realizowane po uprzedniej analizie możliwości koordynacji</w:t>
            </w:r>
            <w:r>
              <w:rPr>
                <w:rFonts w:ascii="Calibri" w:hAnsi="Calibri" w:cs="Calibri"/>
                <w:sz w:val="18"/>
                <w:szCs w:val="18"/>
                <w:lang w:eastAsia="pl-PL"/>
              </w:rPr>
              <w:t xml:space="preserve"> transportu</w:t>
            </w:r>
            <w:r w:rsidRPr="0062347E">
              <w:rPr>
                <w:rFonts w:ascii="Calibri" w:hAnsi="Calibri" w:cs="Calibri"/>
                <w:sz w:val="18"/>
                <w:szCs w:val="18"/>
                <w:lang w:eastAsia="pl-PL"/>
              </w:rPr>
              <w:t xml:space="preserve"> z gminami sąsiednimi.</w:t>
            </w:r>
          </w:p>
        </w:tc>
        <w:tc>
          <w:tcPr>
            <w:tcW w:w="1710" w:type="dxa"/>
            <w:vAlign w:val="center"/>
          </w:tcPr>
          <w:p w14:paraId="358552C6" w14:textId="77777777" w:rsidR="00850F8A" w:rsidRPr="003C4FAB"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850F8A" w:rsidRPr="0062347E" w14:paraId="205BC677" w14:textId="77777777" w:rsidTr="009F3A89">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670892F9" w14:textId="77777777" w:rsidR="00850F8A" w:rsidRPr="0062347E" w:rsidRDefault="00850F8A" w:rsidP="00850F8A">
            <w:pPr>
              <w:pStyle w:val="Akapitzlist"/>
              <w:widowControl w:val="0"/>
              <w:numPr>
                <w:ilvl w:val="1"/>
                <w:numId w:val="86"/>
              </w:numPr>
              <w:ind w:left="0" w:firstLine="0"/>
              <w:jc w:val="center"/>
              <w:rPr>
                <w:rFonts w:ascii="Calibri" w:eastAsia="Calibri" w:hAnsi="Calibri" w:cs="Calibri"/>
                <w:color w:val="auto"/>
                <w:sz w:val="18"/>
                <w:szCs w:val="18"/>
                <w:lang w:eastAsia="pl-PL"/>
              </w:rPr>
            </w:pPr>
          </w:p>
        </w:tc>
        <w:tc>
          <w:tcPr>
            <w:tcW w:w="1804" w:type="dxa"/>
            <w:vAlign w:val="center"/>
          </w:tcPr>
          <w:p w14:paraId="4EFB53FD"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auto"/>
                <w:sz w:val="18"/>
                <w:szCs w:val="18"/>
                <w:lang w:eastAsia="pl-PL"/>
              </w:rPr>
            </w:pPr>
            <w:r w:rsidRPr="0062347E">
              <w:rPr>
                <w:rFonts w:ascii="Calibri" w:eastAsia="Calibri" w:hAnsi="Calibri" w:cs="Calibri"/>
                <w:color w:val="auto"/>
                <w:sz w:val="18"/>
                <w:szCs w:val="18"/>
                <w:lang w:eastAsia="pl-PL"/>
              </w:rPr>
              <w:t>Zazielenienie przystanków i miejsc postojowych dla rowerów</w:t>
            </w:r>
          </w:p>
        </w:tc>
        <w:tc>
          <w:tcPr>
            <w:tcW w:w="1507" w:type="dxa"/>
            <w:vAlign w:val="center"/>
          </w:tcPr>
          <w:p w14:paraId="1AD20294" w14:textId="77777777" w:rsidR="00850F8A" w:rsidRPr="0062347E" w:rsidRDefault="00850F8A" w:rsidP="00850F8A">
            <w:pPr>
              <w:widowControl w:val="0"/>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05B9B04D"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3FAD26DB"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70B871D4"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1,2,3,4,5</w:t>
            </w:r>
          </w:p>
        </w:tc>
        <w:tc>
          <w:tcPr>
            <w:tcW w:w="1915" w:type="dxa"/>
            <w:vAlign w:val="center"/>
          </w:tcPr>
          <w:p w14:paraId="6EF3BCC9"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Zanieczyszczenie powietrza, miejska wyspa ciepła, powodzie i podtopienia, susze</w:t>
            </w:r>
          </w:p>
        </w:tc>
        <w:tc>
          <w:tcPr>
            <w:tcW w:w="4711" w:type="dxa"/>
            <w:vAlign w:val="center"/>
          </w:tcPr>
          <w:p w14:paraId="179E6515"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Zielona infrastruktura na i w pobliżu przystanków i miejsc postojowych zachęci mieszkańców do korzystania z transportu publicznego i rowerowego. Ponadto, poprawi stan środowiska w mieście poprzez rozwój terenów zielonych i możliwość retencji wody.</w:t>
            </w:r>
          </w:p>
        </w:tc>
        <w:tc>
          <w:tcPr>
            <w:tcW w:w="1710" w:type="dxa"/>
            <w:vAlign w:val="center"/>
          </w:tcPr>
          <w:p w14:paraId="3298860F" w14:textId="77777777" w:rsidR="00850F8A" w:rsidRPr="003C4FAB"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850F8A" w:rsidRPr="0062347E" w14:paraId="614DCD0A" w14:textId="77777777" w:rsidTr="009F3A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7BD994F9" w14:textId="77777777" w:rsidR="00850F8A" w:rsidRPr="0062347E" w:rsidRDefault="00850F8A" w:rsidP="00850F8A">
            <w:pPr>
              <w:pStyle w:val="Akapitzlist"/>
              <w:widowControl w:val="0"/>
              <w:numPr>
                <w:ilvl w:val="1"/>
                <w:numId w:val="86"/>
              </w:numPr>
              <w:tabs>
                <w:tab w:val="left" w:pos="3119"/>
              </w:tabs>
              <w:ind w:left="0" w:firstLine="0"/>
              <w:jc w:val="center"/>
              <w:rPr>
                <w:rFonts w:ascii="Calibri" w:eastAsia="Times New Roman" w:hAnsi="Calibri" w:cs="Calibri"/>
                <w:color w:val="auto"/>
                <w:sz w:val="18"/>
                <w:szCs w:val="18"/>
                <w:lang w:eastAsia="pl-PL"/>
              </w:rPr>
            </w:pPr>
          </w:p>
        </w:tc>
        <w:tc>
          <w:tcPr>
            <w:tcW w:w="1804" w:type="dxa"/>
            <w:vAlign w:val="center"/>
          </w:tcPr>
          <w:p w14:paraId="65351B2D" w14:textId="77777777" w:rsidR="00850F8A" w:rsidRPr="0062347E" w:rsidRDefault="00850F8A" w:rsidP="00850F8A">
            <w:pPr>
              <w:widowControl w:val="0"/>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 xml:space="preserve">Parkingi rowerowe i </w:t>
            </w:r>
            <w:r w:rsidRPr="0062347E">
              <w:rPr>
                <w:rFonts w:ascii="Calibri" w:eastAsia="Times New Roman" w:hAnsi="Calibri" w:cs="Calibri"/>
                <w:color w:val="auto"/>
                <w:sz w:val="18"/>
                <w:szCs w:val="18"/>
                <w:lang w:eastAsia="pl-PL"/>
              </w:rPr>
              <w:lastRenderedPageBreak/>
              <w:t>samochodowe z nawierzchni przepuszczalnej</w:t>
            </w:r>
          </w:p>
        </w:tc>
        <w:tc>
          <w:tcPr>
            <w:tcW w:w="1507" w:type="dxa"/>
            <w:vAlign w:val="center"/>
          </w:tcPr>
          <w:p w14:paraId="41607DF7" w14:textId="77777777"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lastRenderedPageBreak/>
              <w:t xml:space="preserve">Urząd Miejski w </w:t>
            </w:r>
            <w:r w:rsidRPr="0062347E">
              <w:rPr>
                <w:rFonts w:ascii="Calibri" w:hAnsi="Calibri" w:cs="Calibri"/>
                <w:sz w:val="18"/>
                <w:szCs w:val="18"/>
                <w:lang w:eastAsia="pl-PL"/>
              </w:rPr>
              <w:lastRenderedPageBreak/>
              <w:t>Tarnogrodzie</w:t>
            </w:r>
          </w:p>
        </w:tc>
        <w:tc>
          <w:tcPr>
            <w:tcW w:w="1643" w:type="dxa"/>
            <w:vAlign w:val="center"/>
          </w:tcPr>
          <w:p w14:paraId="2DCD46CC" w14:textId="77777777"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lastRenderedPageBreak/>
              <w:t xml:space="preserve">Długoterminowe, </w:t>
            </w:r>
            <w:r w:rsidRPr="0062347E">
              <w:rPr>
                <w:rFonts w:ascii="Calibri" w:hAnsi="Calibri" w:cs="Calibri"/>
                <w:sz w:val="18"/>
                <w:szCs w:val="18"/>
                <w:lang w:eastAsia="pl-PL"/>
              </w:rPr>
              <w:lastRenderedPageBreak/>
              <w:t>ciągłe</w:t>
            </w:r>
          </w:p>
        </w:tc>
        <w:tc>
          <w:tcPr>
            <w:tcW w:w="963" w:type="dxa"/>
            <w:vAlign w:val="center"/>
          </w:tcPr>
          <w:p w14:paraId="3721C053" w14:textId="77777777"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lastRenderedPageBreak/>
              <w:t>2030</w:t>
            </w:r>
          </w:p>
        </w:tc>
        <w:tc>
          <w:tcPr>
            <w:tcW w:w="1098" w:type="dxa"/>
            <w:vAlign w:val="center"/>
          </w:tcPr>
          <w:p w14:paraId="24DBFD2E" w14:textId="77777777"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1,2,3,5</w:t>
            </w:r>
          </w:p>
        </w:tc>
        <w:tc>
          <w:tcPr>
            <w:tcW w:w="1915" w:type="dxa"/>
            <w:vAlign w:val="center"/>
          </w:tcPr>
          <w:p w14:paraId="268C9D10" w14:textId="77777777"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 xml:space="preserve">Miejska wyspa ciepła, </w:t>
            </w:r>
            <w:r w:rsidRPr="0062347E">
              <w:rPr>
                <w:rFonts w:ascii="Calibri" w:hAnsi="Calibri" w:cs="Calibri"/>
                <w:sz w:val="18"/>
                <w:szCs w:val="18"/>
                <w:lang w:eastAsia="pl-PL"/>
              </w:rPr>
              <w:lastRenderedPageBreak/>
              <w:t>powodzie i podtopienia, susze, zasklepianie terenu</w:t>
            </w:r>
          </w:p>
        </w:tc>
        <w:tc>
          <w:tcPr>
            <w:tcW w:w="4711" w:type="dxa"/>
            <w:vAlign w:val="center"/>
          </w:tcPr>
          <w:p w14:paraId="7B722FFF" w14:textId="77777777"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lastRenderedPageBreak/>
              <w:t xml:space="preserve">W przypadku budowy i przebudowy ciągów rowerowych i </w:t>
            </w:r>
            <w:r w:rsidRPr="0062347E">
              <w:rPr>
                <w:rFonts w:ascii="Calibri" w:hAnsi="Calibri" w:cs="Calibri"/>
                <w:sz w:val="18"/>
                <w:szCs w:val="18"/>
                <w:lang w:eastAsia="pl-PL"/>
              </w:rPr>
              <w:lastRenderedPageBreak/>
              <w:t>samochodowych, należy rozważyć możliwość zastosowania nawierzchni przepuszczalnych. Rozszczelnienie powierzchni poprawia stosunki wodne i jakość środowiska, przeciwdziałając zjawisku powodzi.</w:t>
            </w:r>
          </w:p>
        </w:tc>
        <w:tc>
          <w:tcPr>
            <w:tcW w:w="1710" w:type="dxa"/>
            <w:vAlign w:val="center"/>
          </w:tcPr>
          <w:p w14:paraId="66A84AE3" w14:textId="77777777" w:rsidR="00850F8A" w:rsidRPr="003C4FAB"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lastRenderedPageBreak/>
              <w:t>NIE</w:t>
            </w:r>
          </w:p>
        </w:tc>
      </w:tr>
      <w:tr w:rsidR="00850F8A" w:rsidRPr="0062347E" w14:paraId="1AE12782" w14:textId="77777777" w:rsidTr="009F3A89">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00BFEC07" w14:textId="77777777" w:rsidR="00850F8A" w:rsidRPr="0062347E" w:rsidRDefault="00850F8A" w:rsidP="00850F8A">
            <w:pPr>
              <w:pStyle w:val="Akapitzlist"/>
              <w:widowControl w:val="0"/>
              <w:numPr>
                <w:ilvl w:val="1"/>
                <w:numId w:val="86"/>
              </w:numPr>
              <w:tabs>
                <w:tab w:val="left" w:pos="3119"/>
              </w:tabs>
              <w:ind w:left="0" w:firstLine="0"/>
              <w:jc w:val="center"/>
              <w:rPr>
                <w:rFonts w:ascii="Calibri" w:eastAsia="Calibri" w:hAnsi="Calibri" w:cs="Calibri"/>
                <w:color w:val="auto"/>
                <w:sz w:val="18"/>
                <w:szCs w:val="18"/>
                <w:lang w:eastAsia="pl-PL"/>
              </w:rPr>
            </w:pPr>
          </w:p>
        </w:tc>
        <w:tc>
          <w:tcPr>
            <w:tcW w:w="1804" w:type="dxa"/>
            <w:vAlign w:val="center"/>
          </w:tcPr>
          <w:p w14:paraId="5DCE7187" w14:textId="77777777" w:rsidR="00850F8A" w:rsidRPr="0062347E" w:rsidRDefault="00850F8A" w:rsidP="00850F8A">
            <w:pPr>
              <w:widowControl w:val="0"/>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auto"/>
                <w:sz w:val="18"/>
                <w:szCs w:val="18"/>
                <w:lang w:eastAsia="pl-PL"/>
              </w:rPr>
            </w:pPr>
            <w:r w:rsidRPr="0062347E">
              <w:rPr>
                <w:rFonts w:ascii="Calibri" w:eastAsia="Calibri" w:hAnsi="Calibri" w:cs="Calibri"/>
                <w:color w:val="auto"/>
                <w:sz w:val="18"/>
                <w:szCs w:val="18"/>
                <w:lang w:eastAsia="pl-PL"/>
              </w:rPr>
              <w:t>Uspokojenie ruchu na drogach wojewódzkich</w:t>
            </w:r>
          </w:p>
        </w:tc>
        <w:tc>
          <w:tcPr>
            <w:tcW w:w="1507" w:type="dxa"/>
            <w:vAlign w:val="center"/>
          </w:tcPr>
          <w:p w14:paraId="53E62F98"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40BCC092"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24347F87"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0D0D1365"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1,3,4</w:t>
            </w:r>
          </w:p>
        </w:tc>
        <w:tc>
          <w:tcPr>
            <w:tcW w:w="1915" w:type="dxa"/>
            <w:vAlign w:val="center"/>
          </w:tcPr>
          <w:p w14:paraId="49ADC9C1"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Zanieczyszczenie powietrza, zanieczyszczenie powierzchni ziemi, zły stan środowiska, bezpieczeństwo mieszkańców</w:t>
            </w:r>
          </w:p>
        </w:tc>
        <w:tc>
          <w:tcPr>
            <w:tcW w:w="4711" w:type="dxa"/>
            <w:vAlign w:val="center"/>
          </w:tcPr>
          <w:p w14:paraId="2B21D691" w14:textId="77777777"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W przypadku przeprowadzania remontów na drogach wojewódzkich nr 835 i 836 należy adekwatnie do możliwości wprowadzić strefy ruchu uspokojonego w centrum Miasta. Dodatkowym zagadnieniem jest również rozwój terenów zielonych wzdłuż dróg oraz rozwiązania oddzielające ruch pieszy i rowerowy od ruchu kołowego. W efekcie transport samochodowy w centrum będzie mniej uciążliwy dla otoczenia, a bezpieczeństwo mieszkańców zwiększy się.</w:t>
            </w:r>
          </w:p>
        </w:tc>
        <w:tc>
          <w:tcPr>
            <w:tcW w:w="1710" w:type="dxa"/>
            <w:vAlign w:val="center"/>
          </w:tcPr>
          <w:p w14:paraId="4C315044" w14:textId="77777777" w:rsidR="00850F8A" w:rsidRPr="003C4FAB"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850F8A" w:rsidRPr="0062347E" w14:paraId="0A22EF33" w14:textId="77777777" w:rsidTr="009F3A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2100CE88" w14:textId="77777777" w:rsidR="00850F8A" w:rsidRPr="0062347E" w:rsidRDefault="00850F8A" w:rsidP="00850F8A">
            <w:pPr>
              <w:pStyle w:val="Akapitzlist"/>
              <w:widowControl w:val="0"/>
              <w:numPr>
                <w:ilvl w:val="1"/>
                <w:numId w:val="86"/>
              </w:numPr>
              <w:tabs>
                <w:tab w:val="left" w:pos="3119"/>
              </w:tabs>
              <w:ind w:left="0" w:firstLine="0"/>
              <w:jc w:val="center"/>
              <w:rPr>
                <w:rFonts w:ascii="Calibri" w:eastAsia="Times New Roman" w:hAnsi="Calibri" w:cs="Calibri"/>
                <w:color w:val="auto"/>
                <w:sz w:val="18"/>
                <w:szCs w:val="18"/>
                <w:lang w:eastAsia="pl-PL"/>
              </w:rPr>
            </w:pPr>
          </w:p>
        </w:tc>
        <w:tc>
          <w:tcPr>
            <w:tcW w:w="1804" w:type="dxa"/>
            <w:vAlign w:val="center"/>
          </w:tcPr>
          <w:p w14:paraId="37000C00" w14:textId="77777777" w:rsidR="00850F8A" w:rsidRPr="0062347E" w:rsidRDefault="00850F8A" w:rsidP="00850F8A">
            <w:pPr>
              <w:widowControl w:val="0"/>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Eko-rajd rowerowy</w:t>
            </w:r>
          </w:p>
        </w:tc>
        <w:tc>
          <w:tcPr>
            <w:tcW w:w="1507" w:type="dxa"/>
            <w:vAlign w:val="center"/>
          </w:tcPr>
          <w:p w14:paraId="17D9389D" w14:textId="77777777"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035DA5FF" w14:textId="77777777"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Krótkoterminowe, natychmiastowe</w:t>
            </w:r>
          </w:p>
        </w:tc>
        <w:tc>
          <w:tcPr>
            <w:tcW w:w="963" w:type="dxa"/>
            <w:vAlign w:val="center"/>
          </w:tcPr>
          <w:p w14:paraId="3AB5DBA3" w14:textId="77777777"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6DB7D84D" w14:textId="77777777"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3,4,6</w:t>
            </w:r>
          </w:p>
        </w:tc>
        <w:tc>
          <w:tcPr>
            <w:tcW w:w="1915" w:type="dxa"/>
            <w:vAlign w:val="center"/>
          </w:tcPr>
          <w:p w14:paraId="40F1E4E1" w14:textId="77777777"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Zanieczyszczenie powietrza, złe gospodarowanie odpadami, niska świadomość mieszkańców</w:t>
            </w:r>
          </w:p>
        </w:tc>
        <w:tc>
          <w:tcPr>
            <w:tcW w:w="4711" w:type="dxa"/>
            <w:vAlign w:val="center"/>
          </w:tcPr>
          <w:p w14:paraId="1AE65C97" w14:textId="77777777" w:rsidR="00850F8A" w:rsidRPr="0062347E"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Organizacja eko-rajdu rowerowego trasą Tarnogród Rynek – Las „Czerwony Bród”. Biletem wstępu na rajd będzie posiadanie bidonu z wodą. Zadanie ma na celu promocję transportu rowerowego oraz korzystanie z artykułów wielokrotnego użytku.</w:t>
            </w:r>
          </w:p>
        </w:tc>
        <w:tc>
          <w:tcPr>
            <w:tcW w:w="1710" w:type="dxa"/>
            <w:vAlign w:val="center"/>
          </w:tcPr>
          <w:p w14:paraId="127ABFF6" w14:textId="77777777" w:rsidR="00850F8A" w:rsidRPr="003C4FAB" w:rsidRDefault="00850F8A" w:rsidP="00850F8A">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850F8A" w:rsidRPr="0062347E" w14:paraId="491B66B9" w14:textId="77777777" w:rsidTr="009F3A89">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2D793D89" w14:textId="77777777" w:rsidR="00850F8A" w:rsidRPr="0062347E" w:rsidRDefault="00850F8A" w:rsidP="00850F8A">
            <w:pPr>
              <w:pStyle w:val="Akapitzlist"/>
              <w:widowControl w:val="0"/>
              <w:numPr>
                <w:ilvl w:val="1"/>
                <w:numId w:val="86"/>
              </w:numPr>
              <w:tabs>
                <w:tab w:val="left" w:pos="3119"/>
              </w:tabs>
              <w:ind w:left="0" w:firstLine="0"/>
              <w:jc w:val="center"/>
              <w:rPr>
                <w:rFonts w:ascii="Calibri" w:eastAsia="Times New Roman" w:hAnsi="Calibri" w:cs="Calibri"/>
                <w:color w:val="auto"/>
                <w:sz w:val="18"/>
                <w:szCs w:val="18"/>
                <w:lang w:eastAsia="pl-PL"/>
              </w:rPr>
            </w:pPr>
          </w:p>
        </w:tc>
        <w:tc>
          <w:tcPr>
            <w:tcW w:w="1804" w:type="dxa"/>
            <w:vAlign w:val="center"/>
          </w:tcPr>
          <w:p w14:paraId="1F3A8C2F" w14:textId="02235509" w:rsidR="00850F8A" w:rsidRPr="0062347E" w:rsidRDefault="00850F8A" w:rsidP="00850F8A">
            <w:pPr>
              <w:widowControl w:val="0"/>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Pr>
                <w:rFonts w:ascii="Calibri" w:eastAsia="Times New Roman" w:hAnsi="Calibri" w:cs="Calibri"/>
                <w:color w:val="auto"/>
                <w:sz w:val="18"/>
                <w:szCs w:val="18"/>
                <w:lang w:eastAsia="pl-PL"/>
              </w:rPr>
              <w:t>Zakup e</w:t>
            </w:r>
            <w:r w:rsidRPr="0062347E">
              <w:rPr>
                <w:rFonts w:ascii="Calibri" w:eastAsia="Times New Roman" w:hAnsi="Calibri" w:cs="Calibri"/>
                <w:color w:val="auto"/>
                <w:sz w:val="18"/>
                <w:szCs w:val="18"/>
                <w:lang w:eastAsia="pl-PL"/>
              </w:rPr>
              <w:t>lektryczn</w:t>
            </w:r>
            <w:r>
              <w:rPr>
                <w:rFonts w:ascii="Calibri" w:eastAsia="Times New Roman" w:hAnsi="Calibri" w:cs="Calibri"/>
                <w:color w:val="auto"/>
                <w:sz w:val="18"/>
                <w:szCs w:val="18"/>
                <w:lang w:eastAsia="pl-PL"/>
              </w:rPr>
              <w:t>ej</w:t>
            </w:r>
            <w:r w:rsidRPr="0062347E">
              <w:rPr>
                <w:rFonts w:ascii="Calibri" w:eastAsia="Times New Roman" w:hAnsi="Calibri" w:cs="Calibri"/>
                <w:color w:val="auto"/>
                <w:sz w:val="18"/>
                <w:szCs w:val="18"/>
                <w:lang w:eastAsia="pl-PL"/>
              </w:rPr>
              <w:t xml:space="preserve"> hulajnog</w:t>
            </w:r>
            <w:r>
              <w:rPr>
                <w:rFonts w:ascii="Calibri" w:eastAsia="Times New Roman" w:hAnsi="Calibri" w:cs="Calibri"/>
                <w:color w:val="auto"/>
                <w:sz w:val="18"/>
                <w:szCs w:val="18"/>
                <w:lang w:eastAsia="pl-PL"/>
              </w:rPr>
              <w:t>i</w:t>
            </w:r>
            <w:r>
              <w:rPr>
                <w:rFonts w:ascii="Calibri" w:eastAsia="Times New Roman" w:hAnsi="Calibri" w:cs="Calibri"/>
                <w:color w:val="auto"/>
                <w:sz w:val="18"/>
                <w:szCs w:val="18"/>
                <w:lang w:eastAsia="pl-PL"/>
              </w:rPr>
              <w:t xml:space="preserve"> </w:t>
            </w:r>
            <w:r w:rsidRPr="0062347E">
              <w:rPr>
                <w:rFonts w:ascii="Calibri" w:eastAsia="Times New Roman" w:hAnsi="Calibri" w:cs="Calibri"/>
                <w:color w:val="auto"/>
                <w:sz w:val="18"/>
                <w:szCs w:val="18"/>
                <w:lang w:eastAsia="pl-PL"/>
              </w:rPr>
              <w:t>do rozwożenia korespondencji</w:t>
            </w:r>
          </w:p>
        </w:tc>
        <w:tc>
          <w:tcPr>
            <w:tcW w:w="1507" w:type="dxa"/>
            <w:vAlign w:val="center"/>
          </w:tcPr>
          <w:p w14:paraId="2420B1A1" w14:textId="0E28FDC8"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154B3D11" w14:textId="5E40869B"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Krótkoterminowe, natychmiastowe</w:t>
            </w:r>
          </w:p>
        </w:tc>
        <w:tc>
          <w:tcPr>
            <w:tcW w:w="963" w:type="dxa"/>
            <w:vAlign w:val="center"/>
          </w:tcPr>
          <w:p w14:paraId="027264E9" w14:textId="6C78D6C0"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7995E6CE" w14:textId="72D379E9"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1,3,4,5</w:t>
            </w:r>
          </w:p>
        </w:tc>
        <w:tc>
          <w:tcPr>
            <w:tcW w:w="1915" w:type="dxa"/>
            <w:vAlign w:val="center"/>
          </w:tcPr>
          <w:p w14:paraId="06C45478" w14:textId="35F8CAB8"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Zanieczyszczenie powietrza, zanieczyszczenie powierzchni ziemi, zły stan środowiska</w:t>
            </w:r>
          </w:p>
        </w:tc>
        <w:tc>
          <w:tcPr>
            <w:tcW w:w="4711" w:type="dxa"/>
            <w:vAlign w:val="center"/>
          </w:tcPr>
          <w:p w14:paraId="34E92BBA" w14:textId="75E8C5D4" w:rsidR="00850F8A" w:rsidRPr="0062347E"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Zadanie obejmuje zakup hulajnogi elektrycznej dla pracowników Urzędu celem rozwożenia korespondencji, która zastąpić ma samochód. Działani</w:t>
            </w:r>
            <w:r w:rsidR="00C80352">
              <w:rPr>
                <w:rFonts w:ascii="Calibri" w:hAnsi="Calibri" w:cs="Calibri"/>
                <w:sz w:val="18"/>
                <w:szCs w:val="18"/>
                <w:lang w:eastAsia="pl-PL"/>
              </w:rPr>
              <w:t>e</w:t>
            </w:r>
            <w:r w:rsidRPr="0062347E">
              <w:rPr>
                <w:rFonts w:ascii="Calibri" w:hAnsi="Calibri" w:cs="Calibri"/>
                <w:sz w:val="18"/>
                <w:szCs w:val="18"/>
                <w:lang w:eastAsia="pl-PL"/>
              </w:rPr>
              <w:t xml:space="preserve"> przyniesie korzyści w postaci zmniejszeni</w:t>
            </w:r>
            <w:r w:rsidR="00C80352">
              <w:rPr>
                <w:rFonts w:ascii="Calibri" w:hAnsi="Calibri" w:cs="Calibri"/>
                <w:sz w:val="18"/>
                <w:szCs w:val="18"/>
                <w:lang w:eastAsia="pl-PL"/>
              </w:rPr>
              <w:t>a</w:t>
            </w:r>
            <w:r w:rsidRPr="0062347E">
              <w:rPr>
                <w:rFonts w:ascii="Calibri" w:hAnsi="Calibri" w:cs="Calibri"/>
                <w:sz w:val="18"/>
                <w:szCs w:val="18"/>
                <w:lang w:eastAsia="pl-PL"/>
              </w:rPr>
              <w:t xml:space="preserve"> emisji i mniejszego oddziaływania na środowisko.</w:t>
            </w:r>
          </w:p>
        </w:tc>
        <w:tc>
          <w:tcPr>
            <w:tcW w:w="1710" w:type="dxa"/>
            <w:vAlign w:val="center"/>
          </w:tcPr>
          <w:p w14:paraId="703F57E2" w14:textId="39D8BDF5" w:rsidR="00850F8A" w:rsidRPr="003C4FAB" w:rsidRDefault="00850F8A" w:rsidP="00850F8A">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C80352" w:rsidRPr="0062347E" w14:paraId="77F6E4F5" w14:textId="77777777" w:rsidTr="00BB11E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3ABDDFAA" w14:textId="77777777" w:rsidR="00C80352" w:rsidRPr="0062347E" w:rsidRDefault="00C80352" w:rsidP="00C80352">
            <w:pPr>
              <w:pStyle w:val="Akapitzlist"/>
              <w:widowControl w:val="0"/>
              <w:numPr>
                <w:ilvl w:val="1"/>
                <w:numId w:val="86"/>
              </w:numPr>
              <w:tabs>
                <w:tab w:val="left" w:pos="3119"/>
              </w:tabs>
              <w:ind w:left="0" w:firstLine="0"/>
              <w:jc w:val="center"/>
              <w:rPr>
                <w:rFonts w:ascii="Calibri" w:eastAsia="Times New Roman" w:hAnsi="Calibri" w:cs="Calibri"/>
                <w:color w:val="auto"/>
                <w:sz w:val="18"/>
                <w:szCs w:val="18"/>
                <w:lang w:eastAsia="pl-PL"/>
              </w:rPr>
            </w:pPr>
          </w:p>
        </w:tc>
        <w:tc>
          <w:tcPr>
            <w:tcW w:w="1804" w:type="dxa"/>
            <w:vAlign w:val="center"/>
          </w:tcPr>
          <w:p w14:paraId="213A3E06" w14:textId="0FDCF878" w:rsidR="00C80352" w:rsidRPr="0062347E" w:rsidRDefault="00C80352" w:rsidP="00C80352">
            <w:pPr>
              <w:widowControl w:val="0"/>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Pr>
                <w:rFonts w:ascii="Calibri" w:eastAsia="Calibri" w:hAnsi="Calibri" w:cs="Calibri"/>
                <w:color w:val="auto"/>
                <w:sz w:val="18"/>
                <w:szCs w:val="18"/>
              </w:rPr>
              <w:t xml:space="preserve">Zakup elektrycznego </w:t>
            </w:r>
            <w:r w:rsidR="00686061">
              <w:rPr>
                <w:rFonts w:ascii="Calibri" w:eastAsia="Calibri" w:hAnsi="Calibri" w:cs="Calibri"/>
                <w:color w:val="auto"/>
                <w:sz w:val="18"/>
                <w:szCs w:val="18"/>
              </w:rPr>
              <w:t>pojazdu</w:t>
            </w:r>
            <w:r>
              <w:rPr>
                <w:rFonts w:ascii="Calibri" w:eastAsia="Calibri" w:hAnsi="Calibri" w:cs="Calibri"/>
                <w:color w:val="auto"/>
                <w:sz w:val="18"/>
                <w:szCs w:val="18"/>
              </w:rPr>
              <w:t xml:space="preserve"> do czyszczenia uli</w:t>
            </w:r>
          </w:p>
        </w:tc>
        <w:tc>
          <w:tcPr>
            <w:tcW w:w="1507" w:type="dxa"/>
            <w:vAlign w:val="center"/>
          </w:tcPr>
          <w:p w14:paraId="526A27AC" w14:textId="0609D582"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r>
              <w:rPr>
                <w:rFonts w:ascii="Calibri" w:hAnsi="Calibri" w:cs="Calibri"/>
                <w:sz w:val="18"/>
                <w:szCs w:val="18"/>
                <w:lang w:eastAsia="pl-PL"/>
              </w:rPr>
              <w:t xml:space="preserve">, </w:t>
            </w:r>
            <w:r>
              <w:rPr>
                <w:rFonts w:ascii="Calibri" w:hAnsi="Calibri" w:cs="Calibri"/>
                <w:sz w:val="18"/>
                <w:szCs w:val="18"/>
                <w:lang w:eastAsia="pl-PL"/>
              </w:rPr>
              <w:t xml:space="preserve">Tarnogrodzki </w:t>
            </w:r>
            <w:r w:rsidRPr="0062347E">
              <w:rPr>
                <w:rFonts w:ascii="Calibri" w:hAnsi="Calibri" w:cs="Calibri"/>
                <w:sz w:val="18"/>
                <w:szCs w:val="18"/>
                <w:lang w:eastAsia="pl-PL"/>
              </w:rPr>
              <w:t>Zakład Komunalny Sp. z o.o.</w:t>
            </w:r>
          </w:p>
        </w:tc>
        <w:tc>
          <w:tcPr>
            <w:tcW w:w="1643" w:type="dxa"/>
            <w:vAlign w:val="center"/>
          </w:tcPr>
          <w:p w14:paraId="4D80D3DD" w14:textId="5358E7A1"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Krótkoterminowe, natychmiastowe</w:t>
            </w:r>
          </w:p>
        </w:tc>
        <w:tc>
          <w:tcPr>
            <w:tcW w:w="963" w:type="dxa"/>
            <w:vAlign w:val="center"/>
          </w:tcPr>
          <w:p w14:paraId="624CB214" w14:textId="14BAEA33"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33589F94" w14:textId="2FD7DA44"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1,3,4,5</w:t>
            </w:r>
          </w:p>
        </w:tc>
        <w:tc>
          <w:tcPr>
            <w:tcW w:w="1915" w:type="dxa"/>
            <w:vAlign w:val="center"/>
          </w:tcPr>
          <w:p w14:paraId="69EEC356" w14:textId="59BA4F31"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Zanieczyszczenie powietrza, zanieczyszczenie powierzchni ziemi, zły stan środowiska</w:t>
            </w:r>
          </w:p>
        </w:tc>
        <w:tc>
          <w:tcPr>
            <w:tcW w:w="4711" w:type="dxa"/>
            <w:vAlign w:val="center"/>
          </w:tcPr>
          <w:p w14:paraId="07C89A87" w14:textId="43F42902"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 xml:space="preserve">Zadanie obejmuje zakup </w:t>
            </w:r>
            <w:r>
              <w:rPr>
                <w:rFonts w:ascii="Calibri" w:hAnsi="Calibri" w:cs="Calibri"/>
                <w:sz w:val="18"/>
                <w:szCs w:val="18"/>
                <w:lang w:eastAsia="pl-PL"/>
              </w:rPr>
              <w:t>samochodu elektrycznego do czyszczenia ulic celem utrzymania porządku w przestrzeni miejskiej</w:t>
            </w:r>
            <w:r w:rsidRPr="0062347E">
              <w:rPr>
                <w:rFonts w:ascii="Calibri" w:hAnsi="Calibri" w:cs="Calibri"/>
                <w:sz w:val="18"/>
                <w:szCs w:val="18"/>
                <w:lang w:eastAsia="pl-PL"/>
              </w:rPr>
              <w:t>. Działani</w:t>
            </w:r>
            <w:r>
              <w:rPr>
                <w:rFonts w:ascii="Calibri" w:hAnsi="Calibri" w:cs="Calibri"/>
                <w:sz w:val="18"/>
                <w:szCs w:val="18"/>
                <w:lang w:eastAsia="pl-PL"/>
              </w:rPr>
              <w:t>e</w:t>
            </w:r>
            <w:r w:rsidRPr="0062347E">
              <w:rPr>
                <w:rFonts w:ascii="Calibri" w:hAnsi="Calibri" w:cs="Calibri"/>
                <w:sz w:val="18"/>
                <w:szCs w:val="18"/>
                <w:lang w:eastAsia="pl-PL"/>
              </w:rPr>
              <w:t xml:space="preserve"> przyniesie korzyści w postaci zmniejszeni</w:t>
            </w:r>
            <w:r>
              <w:rPr>
                <w:rFonts w:ascii="Calibri" w:hAnsi="Calibri" w:cs="Calibri"/>
                <w:sz w:val="18"/>
                <w:szCs w:val="18"/>
                <w:lang w:eastAsia="pl-PL"/>
              </w:rPr>
              <w:t>a</w:t>
            </w:r>
            <w:r w:rsidRPr="0062347E">
              <w:rPr>
                <w:rFonts w:ascii="Calibri" w:hAnsi="Calibri" w:cs="Calibri"/>
                <w:sz w:val="18"/>
                <w:szCs w:val="18"/>
                <w:lang w:eastAsia="pl-PL"/>
              </w:rPr>
              <w:t xml:space="preserve"> emisji i mniejszego oddziaływania na środowisko</w:t>
            </w:r>
            <w:r>
              <w:rPr>
                <w:rFonts w:ascii="Calibri" w:hAnsi="Calibri" w:cs="Calibri"/>
                <w:sz w:val="18"/>
                <w:szCs w:val="18"/>
                <w:lang w:eastAsia="pl-PL"/>
              </w:rPr>
              <w:t xml:space="preserve"> oraz redukcji hałasu.</w:t>
            </w:r>
          </w:p>
        </w:tc>
        <w:tc>
          <w:tcPr>
            <w:tcW w:w="1710" w:type="dxa"/>
            <w:vAlign w:val="center"/>
          </w:tcPr>
          <w:p w14:paraId="35DCF02E" w14:textId="1F457633" w:rsidR="00C80352" w:rsidRPr="003C4FAB"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720EDA">
              <w:rPr>
                <w:rFonts w:ascii="Calibri" w:hAnsi="Calibri" w:cs="Calibri"/>
                <w:sz w:val="18"/>
                <w:szCs w:val="18"/>
                <w:lang w:eastAsia="pl-PL"/>
              </w:rPr>
              <w:t>NIE</w:t>
            </w:r>
          </w:p>
        </w:tc>
      </w:tr>
      <w:tr w:rsidR="00C80352" w:rsidRPr="0062347E" w14:paraId="5A423658" w14:textId="77777777" w:rsidTr="00BB11E4">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7149C4C9" w14:textId="77777777" w:rsidR="00C80352" w:rsidRPr="0062347E" w:rsidRDefault="00C80352" w:rsidP="00C80352">
            <w:pPr>
              <w:pStyle w:val="Akapitzlist"/>
              <w:widowControl w:val="0"/>
              <w:numPr>
                <w:ilvl w:val="1"/>
                <w:numId w:val="86"/>
              </w:numPr>
              <w:tabs>
                <w:tab w:val="left" w:pos="3119"/>
              </w:tabs>
              <w:ind w:left="0" w:firstLine="0"/>
              <w:jc w:val="center"/>
              <w:rPr>
                <w:rFonts w:ascii="Calibri" w:eastAsia="Times New Roman" w:hAnsi="Calibri" w:cs="Calibri"/>
                <w:color w:val="auto"/>
                <w:sz w:val="18"/>
                <w:szCs w:val="18"/>
                <w:lang w:eastAsia="pl-PL"/>
              </w:rPr>
            </w:pPr>
          </w:p>
        </w:tc>
        <w:tc>
          <w:tcPr>
            <w:tcW w:w="1804" w:type="dxa"/>
            <w:vAlign w:val="center"/>
          </w:tcPr>
          <w:p w14:paraId="360F3EEB" w14:textId="64D54F53" w:rsidR="00C80352" w:rsidRPr="0062347E" w:rsidRDefault="00C80352" w:rsidP="00C80352">
            <w:pPr>
              <w:widowControl w:val="0"/>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Pr>
                <w:rFonts w:ascii="Calibri" w:eastAsia="Calibri" w:hAnsi="Calibri" w:cs="Calibri"/>
                <w:color w:val="auto"/>
                <w:sz w:val="18"/>
                <w:szCs w:val="18"/>
              </w:rPr>
              <w:t xml:space="preserve">Zakup samochodu </w:t>
            </w:r>
            <w:r>
              <w:rPr>
                <w:rFonts w:ascii="Calibri" w:eastAsia="Calibri" w:hAnsi="Calibri" w:cs="Calibri"/>
                <w:color w:val="auto"/>
                <w:sz w:val="18"/>
                <w:szCs w:val="18"/>
              </w:rPr>
              <w:lastRenderedPageBreak/>
              <w:t>hybrydowego plug-in na potrzeby Urzędu Miejskiego w Tarnogrodzie</w:t>
            </w:r>
          </w:p>
        </w:tc>
        <w:tc>
          <w:tcPr>
            <w:tcW w:w="1507" w:type="dxa"/>
            <w:vAlign w:val="center"/>
          </w:tcPr>
          <w:p w14:paraId="01ED866E" w14:textId="52E93B45"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lastRenderedPageBreak/>
              <w:t xml:space="preserve">Urząd Miejski w </w:t>
            </w:r>
            <w:r w:rsidRPr="0062347E">
              <w:rPr>
                <w:rFonts w:ascii="Calibri" w:hAnsi="Calibri" w:cs="Calibri"/>
                <w:sz w:val="18"/>
                <w:szCs w:val="18"/>
                <w:lang w:eastAsia="pl-PL"/>
              </w:rPr>
              <w:lastRenderedPageBreak/>
              <w:t>Tarnogrodzie</w:t>
            </w:r>
          </w:p>
        </w:tc>
        <w:tc>
          <w:tcPr>
            <w:tcW w:w="1643" w:type="dxa"/>
            <w:vAlign w:val="center"/>
          </w:tcPr>
          <w:p w14:paraId="104AE143" w14:textId="61B770C8"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lastRenderedPageBreak/>
              <w:t xml:space="preserve">Krótkoterminowe, </w:t>
            </w:r>
            <w:r w:rsidRPr="0062347E">
              <w:rPr>
                <w:rFonts w:ascii="Calibri" w:hAnsi="Calibri" w:cs="Calibri"/>
                <w:sz w:val="18"/>
                <w:szCs w:val="18"/>
                <w:lang w:eastAsia="pl-PL"/>
              </w:rPr>
              <w:lastRenderedPageBreak/>
              <w:t>natychmiastowe</w:t>
            </w:r>
          </w:p>
        </w:tc>
        <w:tc>
          <w:tcPr>
            <w:tcW w:w="963" w:type="dxa"/>
            <w:vAlign w:val="center"/>
          </w:tcPr>
          <w:p w14:paraId="23B07CC5" w14:textId="556E82B8"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lastRenderedPageBreak/>
              <w:t>2030</w:t>
            </w:r>
          </w:p>
        </w:tc>
        <w:tc>
          <w:tcPr>
            <w:tcW w:w="1098" w:type="dxa"/>
            <w:vAlign w:val="center"/>
          </w:tcPr>
          <w:p w14:paraId="44AF493D" w14:textId="06DD28C4"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1,3,4,5</w:t>
            </w:r>
          </w:p>
        </w:tc>
        <w:tc>
          <w:tcPr>
            <w:tcW w:w="1915" w:type="dxa"/>
            <w:vAlign w:val="center"/>
          </w:tcPr>
          <w:p w14:paraId="1399816E" w14:textId="5B7CF439"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 xml:space="preserve">Zanieczyszczenie </w:t>
            </w:r>
            <w:r w:rsidRPr="0062347E">
              <w:rPr>
                <w:rFonts w:ascii="Calibri" w:hAnsi="Calibri" w:cs="Calibri"/>
                <w:sz w:val="18"/>
                <w:szCs w:val="18"/>
                <w:lang w:eastAsia="pl-PL"/>
              </w:rPr>
              <w:lastRenderedPageBreak/>
              <w:t>powietrza, zanieczyszczenie powierzchni ziemi, zły stan środowiska</w:t>
            </w:r>
          </w:p>
        </w:tc>
        <w:tc>
          <w:tcPr>
            <w:tcW w:w="4711" w:type="dxa"/>
            <w:vAlign w:val="center"/>
          </w:tcPr>
          <w:p w14:paraId="03070B64" w14:textId="0A846516"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Pr>
                <w:rFonts w:ascii="Calibri" w:hAnsi="Calibri" w:cs="Calibri"/>
                <w:sz w:val="18"/>
                <w:szCs w:val="18"/>
                <w:lang w:eastAsia="pl-PL"/>
              </w:rPr>
              <w:lastRenderedPageBreak/>
              <w:t xml:space="preserve">Ze względu na potrzebę redukcji emisji gazów cieplarnianych </w:t>
            </w:r>
            <w:r>
              <w:rPr>
                <w:rFonts w:ascii="Calibri" w:hAnsi="Calibri" w:cs="Calibri"/>
                <w:sz w:val="18"/>
                <w:szCs w:val="18"/>
                <w:lang w:eastAsia="pl-PL"/>
              </w:rPr>
              <w:lastRenderedPageBreak/>
              <w:t>działań podejmowanych przez Urząd Miejski proponuje się zakup samochodu hybrydowego, który służyć będzie jako samochód służbowy dla pracowników Urzędu. W przypadku konieczności wyjazdów służbowych nastąpi redukcja emisji, hałasu i zanieczyszczeń.</w:t>
            </w:r>
          </w:p>
        </w:tc>
        <w:tc>
          <w:tcPr>
            <w:tcW w:w="1710" w:type="dxa"/>
            <w:vAlign w:val="center"/>
          </w:tcPr>
          <w:p w14:paraId="404CB82C" w14:textId="46D438DA" w:rsidR="00C80352" w:rsidRPr="003C4FAB"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720EDA">
              <w:rPr>
                <w:rFonts w:ascii="Calibri" w:hAnsi="Calibri" w:cs="Calibri"/>
                <w:sz w:val="18"/>
                <w:szCs w:val="18"/>
                <w:lang w:eastAsia="pl-PL"/>
              </w:rPr>
              <w:lastRenderedPageBreak/>
              <w:t>NIE</w:t>
            </w:r>
          </w:p>
        </w:tc>
      </w:tr>
      <w:tr w:rsidR="00C80352" w:rsidRPr="0062347E" w14:paraId="25E95253" w14:textId="77777777" w:rsidTr="009F3A89">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525" w:type="dxa"/>
            <w:shd w:val="clear" w:color="auto" w:fill="AAC472" w:themeFill="accent5" w:themeFillShade="BF"/>
            <w:vAlign w:val="center"/>
          </w:tcPr>
          <w:p w14:paraId="793F3F28" w14:textId="77777777" w:rsidR="00C80352" w:rsidRPr="0062347E" w:rsidRDefault="00C80352" w:rsidP="00C80352">
            <w:pPr>
              <w:pStyle w:val="Akapitzlist"/>
              <w:widowControl w:val="0"/>
              <w:numPr>
                <w:ilvl w:val="0"/>
                <w:numId w:val="86"/>
              </w:numPr>
              <w:ind w:left="0" w:firstLine="0"/>
              <w:jc w:val="center"/>
              <w:rPr>
                <w:rFonts w:ascii="Calibri" w:hAnsi="Calibri" w:cs="Calibri"/>
                <w:color w:val="auto"/>
                <w:sz w:val="18"/>
                <w:szCs w:val="18"/>
                <w:lang w:eastAsia="pl-PL"/>
              </w:rPr>
            </w:pPr>
          </w:p>
        </w:tc>
        <w:tc>
          <w:tcPr>
            <w:tcW w:w="15351" w:type="dxa"/>
            <w:gridSpan w:val="8"/>
            <w:shd w:val="clear" w:color="auto" w:fill="AAC472" w:themeFill="accent5" w:themeFillShade="BF"/>
            <w:vAlign w:val="center"/>
          </w:tcPr>
          <w:p w14:paraId="0A66D440" w14:textId="77777777" w:rsidR="00C80352" w:rsidRPr="003C4FAB"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auto"/>
                <w:sz w:val="18"/>
                <w:szCs w:val="18"/>
                <w:lang w:eastAsia="pl-PL"/>
              </w:rPr>
            </w:pPr>
            <w:r w:rsidRPr="003C4FAB">
              <w:rPr>
                <w:rFonts w:ascii="Calibri" w:hAnsi="Calibri" w:cs="Calibri"/>
                <w:b/>
                <w:bCs/>
                <w:color w:val="auto"/>
                <w:lang w:eastAsia="pl-PL"/>
              </w:rPr>
              <w:t>OBSZAR POWIETRZE</w:t>
            </w:r>
          </w:p>
        </w:tc>
      </w:tr>
      <w:tr w:rsidR="00C80352" w:rsidRPr="0062347E" w14:paraId="070242D8" w14:textId="77777777" w:rsidTr="009F3A89">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0308010A" w14:textId="77777777" w:rsidR="00C80352" w:rsidRPr="0062347E" w:rsidRDefault="00C80352" w:rsidP="00C80352">
            <w:pPr>
              <w:pStyle w:val="Akapitzlist"/>
              <w:widowControl w:val="0"/>
              <w:numPr>
                <w:ilvl w:val="1"/>
                <w:numId w:val="86"/>
              </w:numPr>
              <w:ind w:left="0" w:firstLine="0"/>
              <w:jc w:val="center"/>
              <w:rPr>
                <w:rFonts w:ascii="Calibri" w:hAnsi="Calibri" w:cs="Calibri"/>
                <w:sz w:val="18"/>
                <w:szCs w:val="18"/>
                <w:lang w:eastAsia="pl-PL"/>
              </w:rPr>
            </w:pPr>
          </w:p>
        </w:tc>
        <w:tc>
          <w:tcPr>
            <w:tcW w:w="1804" w:type="dxa"/>
            <w:vAlign w:val="center"/>
          </w:tcPr>
          <w:p w14:paraId="651C89AA"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Wsparcie i promocja rozwoju OZE, szczególnie fotowoltaiki</w:t>
            </w:r>
          </w:p>
        </w:tc>
        <w:tc>
          <w:tcPr>
            <w:tcW w:w="1507" w:type="dxa"/>
            <w:vAlign w:val="center"/>
          </w:tcPr>
          <w:p w14:paraId="12DA1EF9"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54E2E343"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1F357302"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6089DC41"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1,5,6</w:t>
            </w:r>
          </w:p>
        </w:tc>
        <w:tc>
          <w:tcPr>
            <w:tcW w:w="1915" w:type="dxa"/>
            <w:vAlign w:val="center"/>
          </w:tcPr>
          <w:p w14:paraId="23D3A339"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Zanieczyszczenie powietrza, przerwy w dostawie prądu, niska świadomość mieszkańców</w:t>
            </w:r>
          </w:p>
        </w:tc>
        <w:tc>
          <w:tcPr>
            <w:tcW w:w="4711" w:type="dxa"/>
            <w:vAlign w:val="center"/>
          </w:tcPr>
          <w:p w14:paraId="092993FB"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Działanie przyczyni się do poprawy jakości powietrza oraz efektywności energetycznej poprzez zachęcanie mieszkańców do korzystania z odnawialnych źródeł energii oraz wykorzystywanie tej formy energetyki na obiektach użyteczności publicznej.</w:t>
            </w:r>
          </w:p>
        </w:tc>
        <w:tc>
          <w:tcPr>
            <w:tcW w:w="1710" w:type="dxa"/>
            <w:vAlign w:val="center"/>
          </w:tcPr>
          <w:p w14:paraId="1B1EC899" w14:textId="77777777" w:rsidR="00C80352" w:rsidRPr="003C4FAB"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C80352" w:rsidRPr="0062347E" w14:paraId="624DFD53" w14:textId="77777777" w:rsidTr="009F3A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7CCB00DA" w14:textId="77777777" w:rsidR="00C80352" w:rsidRPr="0062347E" w:rsidRDefault="00C80352" w:rsidP="00C80352">
            <w:pPr>
              <w:pStyle w:val="Akapitzlist"/>
              <w:widowControl w:val="0"/>
              <w:numPr>
                <w:ilvl w:val="1"/>
                <w:numId w:val="86"/>
              </w:numPr>
              <w:ind w:left="0" w:firstLine="0"/>
              <w:jc w:val="center"/>
              <w:rPr>
                <w:rFonts w:ascii="Calibri" w:hAnsi="Calibri" w:cs="Calibri"/>
                <w:sz w:val="18"/>
                <w:szCs w:val="18"/>
                <w:lang w:eastAsia="pl-PL"/>
              </w:rPr>
            </w:pPr>
          </w:p>
        </w:tc>
        <w:tc>
          <w:tcPr>
            <w:tcW w:w="1804" w:type="dxa"/>
            <w:vAlign w:val="center"/>
          </w:tcPr>
          <w:p w14:paraId="12ECA7BB"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Kontrole spalania odpadów w przydomowych kotłach</w:t>
            </w:r>
          </w:p>
        </w:tc>
        <w:tc>
          <w:tcPr>
            <w:tcW w:w="1507" w:type="dxa"/>
            <w:vAlign w:val="center"/>
          </w:tcPr>
          <w:p w14:paraId="1BEB6037"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 jednostki podległe</w:t>
            </w:r>
          </w:p>
        </w:tc>
        <w:tc>
          <w:tcPr>
            <w:tcW w:w="1643" w:type="dxa"/>
            <w:vAlign w:val="center"/>
          </w:tcPr>
          <w:p w14:paraId="2FD6E90F"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62B7BE70"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3E11AE4C"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1,4,6</w:t>
            </w:r>
          </w:p>
        </w:tc>
        <w:tc>
          <w:tcPr>
            <w:tcW w:w="1915" w:type="dxa"/>
            <w:vAlign w:val="center"/>
          </w:tcPr>
          <w:p w14:paraId="47586AC2"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Zanieczyszczenie powietrza, zły stan środowiska, złe gospodarowanie odpadami, niska świadomość mieszkańców</w:t>
            </w:r>
          </w:p>
        </w:tc>
        <w:tc>
          <w:tcPr>
            <w:tcW w:w="4711" w:type="dxa"/>
            <w:vAlign w:val="center"/>
          </w:tcPr>
          <w:p w14:paraId="26046374" w14:textId="39686E2D"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Działania kontrolne w zakresie odpowiedniego gospodarowania odpadami, a zatem nieutylizowania ich w przydomowych kotłach, należy również przeprowadzać na obszarach wiejskich. Zwiększenie świadomości mieszkańców tym zakresie poprawi jakość środowiska i powietrza oraz zmotywuje do odpowiedzialności.</w:t>
            </w:r>
          </w:p>
        </w:tc>
        <w:tc>
          <w:tcPr>
            <w:tcW w:w="1710" w:type="dxa"/>
            <w:vAlign w:val="center"/>
          </w:tcPr>
          <w:p w14:paraId="11681DDA" w14:textId="77777777" w:rsidR="00C80352" w:rsidRPr="003C4FAB"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C80352" w:rsidRPr="0062347E" w14:paraId="59761974" w14:textId="77777777" w:rsidTr="009F3A89">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64FC3DC7" w14:textId="77777777" w:rsidR="00C80352" w:rsidRPr="0062347E" w:rsidRDefault="00C80352" w:rsidP="00C80352">
            <w:pPr>
              <w:pStyle w:val="Akapitzlist"/>
              <w:widowControl w:val="0"/>
              <w:numPr>
                <w:ilvl w:val="1"/>
                <w:numId w:val="86"/>
              </w:numPr>
              <w:ind w:left="0" w:firstLine="0"/>
              <w:jc w:val="center"/>
              <w:rPr>
                <w:rFonts w:ascii="Calibri" w:eastAsia="Times New Roman" w:hAnsi="Calibri" w:cs="Calibri"/>
                <w:color w:val="auto"/>
                <w:sz w:val="18"/>
                <w:szCs w:val="18"/>
                <w:lang w:eastAsia="pl-PL"/>
              </w:rPr>
            </w:pPr>
          </w:p>
        </w:tc>
        <w:tc>
          <w:tcPr>
            <w:tcW w:w="1804" w:type="dxa"/>
            <w:vAlign w:val="center"/>
          </w:tcPr>
          <w:p w14:paraId="3BDAF953"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Rewitalizacja budynku dawnego urzędu na potrzeby społeczne i kulturalne</w:t>
            </w:r>
          </w:p>
        </w:tc>
        <w:tc>
          <w:tcPr>
            <w:tcW w:w="1507" w:type="dxa"/>
            <w:vAlign w:val="center"/>
          </w:tcPr>
          <w:p w14:paraId="5A9BAC8F"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2137C7C3" w14:textId="77777777" w:rsidR="00C80352" w:rsidRPr="00431B0C"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431B0C">
              <w:rPr>
                <w:rFonts w:ascii="Calibri" w:hAnsi="Calibri" w:cs="Calibri"/>
                <w:sz w:val="18"/>
                <w:szCs w:val="18"/>
                <w:lang w:eastAsia="pl-PL"/>
              </w:rPr>
              <w:t>Krótkoterminowe, natychmiastowe</w:t>
            </w:r>
          </w:p>
        </w:tc>
        <w:tc>
          <w:tcPr>
            <w:tcW w:w="963" w:type="dxa"/>
            <w:vAlign w:val="center"/>
          </w:tcPr>
          <w:p w14:paraId="73F74733"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707354AE"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1,4</w:t>
            </w:r>
          </w:p>
        </w:tc>
        <w:tc>
          <w:tcPr>
            <w:tcW w:w="1915" w:type="dxa"/>
            <w:vAlign w:val="center"/>
          </w:tcPr>
          <w:p w14:paraId="13847972"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Zanieczyszczenie powietrza, złe gospodarowanie zasobami</w:t>
            </w:r>
          </w:p>
        </w:tc>
        <w:tc>
          <w:tcPr>
            <w:tcW w:w="4711" w:type="dxa"/>
            <w:vAlign w:val="center"/>
          </w:tcPr>
          <w:p w14:paraId="5C33C2FC" w14:textId="037610AE"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W ramach projektu zakłada przebudowę budynku po dawnym urzędzie miejskim (obecnie siedziba Miejskiego Ośrodka Pomocy Społecznej) na potrzeby centrum spotkań dla organizacji pozarządowych i Muzeum Ziemi Tarnogrodzkiej Obiekt wymaga kompleksowej rewitalizacji, w tym przebudowy, ocieplenia, wymiany instalacji wewnętrznych i pokrycia dachowego, stolarki okiennej oraz drzwiowej. Niezbędna jest także modernizacja i dostosowanie budynku do potrzeb osób z niepełnosprawnościami. Lokalizacja: ul. Św. Jana Pawła II 1</w:t>
            </w:r>
            <w:r>
              <w:rPr>
                <w:rFonts w:ascii="Calibri" w:hAnsi="Calibri" w:cs="Calibri"/>
                <w:sz w:val="18"/>
                <w:szCs w:val="18"/>
                <w:lang w:eastAsia="pl-PL"/>
              </w:rPr>
              <w:t xml:space="preserve">. Zadanie zawarto w gminnym programie rewitalizacji dla </w:t>
            </w:r>
            <w:r>
              <w:rPr>
                <w:rFonts w:ascii="Calibri" w:hAnsi="Calibri" w:cs="Calibri"/>
                <w:sz w:val="18"/>
                <w:szCs w:val="18"/>
                <w:lang w:eastAsia="pl-PL"/>
              </w:rPr>
              <w:lastRenderedPageBreak/>
              <w:t>Gminy Tarnogród na lata 2024-2030.</w:t>
            </w:r>
          </w:p>
        </w:tc>
        <w:tc>
          <w:tcPr>
            <w:tcW w:w="1710" w:type="dxa"/>
            <w:vAlign w:val="center"/>
          </w:tcPr>
          <w:p w14:paraId="48CC1CB5" w14:textId="77777777" w:rsidR="00C80352" w:rsidRPr="003C4FAB"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lastRenderedPageBreak/>
              <w:t>NIE</w:t>
            </w:r>
          </w:p>
        </w:tc>
      </w:tr>
      <w:tr w:rsidR="00C80352" w:rsidRPr="0062347E" w14:paraId="5F89AB2F" w14:textId="77777777" w:rsidTr="009F3A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22BB5ED8" w14:textId="77777777" w:rsidR="00C80352" w:rsidRPr="0062347E" w:rsidRDefault="00C80352" w:rsidP="00C80352">
            <w:pPr>
              <w:pStyle w:val="Akapitzlist"/>
              <w:widowControl w:val="0"/>
              <w:numPr>
                <w:ilvl w:val="1"/>
                <w:numId w:val="86"/>
              </w:numPr>
              <w:ind w:left="0" w:firstLine="0"/>
              <w:jc w:val="center"/>
              <w:rPr>
                <w:rFonts w:ascii="Calibri" w:eastAsia="Times New Roman" w:hAnsi="Calibri" w:cs="Calibri"/>
                <w:color w:val="auto"/>
                <w:sz w:val="18"/>
                <w:szCs w:val="18"/>
                <w:lang w:eastAsia="pl-PL"/>
              </w:rPr>
            </w:pPr>
          </w:p>
        </w:tc>
        <w:tc>
          <w:tcPr>
            <w:tcW w:w="1804" w:type="dxa"/>
            <w:vAlign w:val="center"/>
          </w:tcPr>
          <w:p w14:paraId="093246EF"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Termomodernizacja budynku Tarnogrodzkiego Ośrodka Kultury</w:t>
            </w:r>
          </w:p>
        </w:tc>
        <w:tc>
          <w:tcPr>
            <w:tcW w:w="1507" w:type="dxa"/>
            <w:vAlign w:val="center"/>
          </w:tcPr>
          <w:p w14:paraId="68D7F6B8"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4020DE04" w14:textId="77777777" w:rsidR="00C80352" w:rsidRPr="00484329"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484329">
              <w:rPr>
                <w:rFonts w:ascii="Calibri" w:hAnsi="Calibri" w:cs="Calibri"/>
                <w:sz w:val="18"/>
                <w:szCs w:val="18"/>
                <w:lang w:eastAsia="pl-PL"/>
              </w:rPr>
              <w:t>Krótkoterminowe, natychmiastowe</w:t>
            </w:r>
          </w:p>
        </w:tc>
        <w:tc>
          <w:tcPr>
            <w:tcW w:w="963" w:type="dxa"/>
            <w:vAlign w:val="center"/>
          </w:tcPr>
          <w:p w14:paraId="47F20BE1"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2028</w:t>
            </w:r>
          </w:p>
        </w:tc>
        <w:tc>
          <w:tcPr>
            <w:tcW w:w="1098" w:type="dxa"/>
            <w:vAlign w:val="center"/>
          </w:tcPr>
          <w:p w14:paraId="2BBE9B12"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1,4</w:t>
            </w:r>
          </w:p>
        </w:tc>
        <w:tc>
          <w:tcPr>
            <w:tcW w:w="1915" w:type="dxa"/>
            <w:vAlign w:val="center"/>
          </w:tcPr>
          <w:p w14:paraId="4A4FBD55"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Zanieczyszczenie powietrza, złe gospodarowanie zasobami</w:t>
            </w:r>
          </w:p>
        </w:tc>
        <w:tc>
          <w:tcPr>
            <w:tcW w:w="4711" w:type="dxa"/>
            <w:vAlign w:val="center"/>
          </w:tcPr>
          <w:p w14:paraId="701F3DC4" w14:textId="481E32A8"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Budynek Tarnogrodzkiego Ośrodka Kultury wymaga pilnych prac termomodernizacyjnych: niezbędne jest ocieplenie ścian zewnętrznych i stropu oraz wymiana stolarki okiennej i drzwiowej. Działania te poprawią efektywność energetyczną budynku i przyczynią się do mniejszego zużycia paliw. Lokalizacja: ul. Rynek 18</w:t>
            </w:r>
            <w:r>
              <w:rPr>
                <w:rFonts w:ascii="Calibri" w:hAnsi="Calibri" w:cs="Calibri"/>
                <w:sz w:val="18"/>
                <w:szCs w:val="18"/>
                <w:lang w:eastAsia="pl-PL"/>
              </w:rPr>
              <w:t>. Zadanie zawarto w gminnym programie rewitalizacji dla Gminy Tarnogród na lata 2024-2030.</w:t>
            </w:r>
          </w:p>
        </w:tc>
        <w:tc>
          <w:tcPr>
            <w:tcW w:w="1710" w:type="dxa"/>
            <w:vAlign w:val="center"/>
          </w:tcPr>
          <w:p w14:paraId="79918AE0" w14:textId="77777777" w:rsidR="00C80352" w:rsidRPr="003C4FAB"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C80352" w:rsidRPr="0062347E" w14:paraId="53E9F7F3" w14:textId="77777777" w:rsidTr="009F3A89">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3F7914FF" w14:textId="77777777" w:rsidR="00C80352" w:rsidRPr="0062347E" w:rsidRDefault="00C80352" w:rsidP="00C80352">
            <w:pPr>
              <w:pStyle w:val="Akapitzlist"/>
              <w:widowControl w:val="0"/>
              <w:numPr>
                <w:ilvl w:val="1"/>
                <w:numId w:val="86"/>
              </w:numPr>
              <w:ind w:left="0" w:firstLine="0"/>
              <w:jc w:val="center"/>
              <w:rPr>
                <w:rFonts w:ascii="Calibri" w:eastAsia="Times New Roman" w:hAnsi="Calibri" w:cs="Calibri"/>
                <w:color w:val="auto"/>
                <w:sz w:val="18"/>
                <w:szCs w:val="18"/>
                <w:lang w:eastAsia="pl-PL"/>
              </w:rPr>
            </w:pPr>
          </w:p>
        </w:tc>
        <w:tc>
          <w:tcPr>
            <w:tcW w:w="1804" w:type="dxa"/>
            <w:vAlign w:val="center"/>
          </w:tcPr>
          <w:p w14:paraId="23275C32"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highlight w:val="magenta"/>
                <w:lang w:eastAsia="pl-PL"/>
              </w:rPr>
            </w:pPr>
            <w:r w:rsidRPr="0062347E">
              <w:rPr>
                <w:rFonts w:ascii="Calibri" w:eastAsia="Times New Roman" w:hAnsi="Calibri" w:cs="Calibri"/>
                <w:color w:val="auto"/>
                <w:sz w:val="18"/>
                <w:szCs w:val="18"/>
                <w:lang w:eastAsia="pl-PL"/>
              </w:rPr>
              <w:t>Modernizacja energetyczna budynków użyteczności publicznej</w:t>
            </w:r>
          </w:p>
        </w:tc>
        <w:tc>
          <w:tcPr>
            <w:tcW w:w="1507" w:type="dxa"/>
            <w:vAlign w:val="center"/>
          </w:tcPr>
          <w:p w14:paraId="3808B0AC"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406E8D67" w14:textId="77777777" w:rsidR="00C80352" w:rsidRPr="00484329"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484329">
              <w:rPr>
                <w:rFonts w:ascii="Calibri" w:hAnsi="Calibri" w:cs="Calibri"/>
                <w:sz w:val="18"/>
                <w:szCs w:val="18"/>
                <w:lang w:eastAsia="pl-PL"/>
              </w:rPr>
              <w:t>Krótkoterminowe, natychmiastowe</w:t>
            </w:r>
          </w:p>
        </w:tc>
        <w:tc>
          <w:tcPr>
            <w:tcW w:w="963" w:type="dxa"/>
            <w:vAlign w:val="center"/>
          </w:tcPr>
          <w:p w14:paraId="6C3376DE"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0D64034F"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1,4</w:t>
            </w:r>
          </w:p>
        </w:tc>
        <w:tc>
          <w:tcPr>
            <w:tcW w:w="1915" w:type="dxa"/>
            <w:vAlign w:val="center"/>
          </w:tcPr>
          <w:p w14:paraId="50DFAD76"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Zanieczyszczenie powietrza, złe gospodarowanie zasobami</w:t>
            </w:r>
          </w:p>
        </w:tc>
        <w:tc>
          <w:tcPr>
            <w:tcW w:w="4711" w:type="dxa"/>
            <w:vAlign w:val="center"/>
          </w:tcPr>
          <w:p w14:paraId="36172847" w14:textId="209CC99F"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Zakres kompleksowej modernizacji energetycznej budynków użyteczności publicznej wraz z instalacją urządzeń OZE oraz wymianą/modernizacją źródeł ciepła: ocieplenie (ściany, dachy, fundamenty), stolarka (okienna, drzwiowa), wymiana źródeł ciepła, OZE, wentylacja/rekuperacja, głowice termostatyczne, systemy zarządzania energią, magazyny energii. Projekt obejmie następujące budynki: Urząd Miejski w Tarnogrodzie – ul. Tadeusza Kościuszki 5, Szkoła Podstawowa w Tarnogrodzie – ul. 1-go Maja 7.</w:t>
            </w:r>
            <w:r>
              <w:rPr>
                <w:rFonts w:ascii="Calibri" w:hAnsi="Calibri" w:cs="Calibri"/>
                <w:sz w:val="18"/>
                <w:szCs w:val="18"/>
                <w:lang w:eastAsia="pl-PL"/>
              </w:rPr>
              <w:t xml:space="preserve"> </w:t>
            </w:r>
            <w:r w:rsidRPr="0062347E">
              <w:rPr>
                <w:rFonts w:ascii="Calibri" w:hAnsi="Calibri" w:cs="Calibri"/>
                <w:sz w:val="18"/>
                <w:szCs w:val="18"/>
                <w:lang w:eastAsia="pl-PL"/>
              </w:rPr>
              <w:t>Szczegółowy zakres prac technicznych zostanie określony na podstawie audytów energetycznych i dokumentacji projektowej.</w:t>
            </w:r>
          </w:p>
        </w:tc>
        <w:tc>
          <w:tcPr>
            <w:tcW w:w="1710" w:type="dxa"/>
            <w:vAlign w:val="center"/>
          </w:tcPr>
          <w:p w14:paraId="3170EABC" w14:textId="77777777" w:rsidR="00C80352" w:rsidRPr="003C4FAB"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C80352" w:rsidRPr="0062347E" w14:paraId="33CEC0DE" w14:textId="77777777" w:rsidTr="009F3A89">
        <w:trPr>
          <w:cnfStyle w:val="000000100000" w:firstRow="0" w:lastRow="0" w:firstColumn="0" w:lastColumn="0" w:oddVBand="0" w:evenVBand="0" w:oddHBand="1" w:evenHBand="0" w:firstRowFirstColumn="0" w:firstRowLastColumn="0" w:lastRowFirstColumn="0" w:lastRowLastColumn="0"/>
          <w:trHeight w:val="20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51DA1452" w14:textId="77777777" w:rsidR="00C80352" w:rsidRPr="0062347E" w:rsidRDefault="00C80352" w:rsidP="00C80352">
            <w:pPr>
              <w:pStyle w:val="Akapitzlist"/>
              <w:widowControl w:val="0"/>
              <w:numPr>
                <w:ilvl w:val="1"/>
                <w:numId w:val="86"/>
              </w:numPr>
              <w:ind w:left="0" w:firstLine="0"/>
              <w:jc w:val="center"/>
              <w:rPr>
                <w:rFonts w:ascii="Calibri" w:eastAsia="Times New Roman" w:hAnsi="Calibri" w:cs="Calibri"/>
                <w:color w:val="auto"/>
                <w:sz w:val="18"/>
                <w:szCs w:val="18"/>
                <w:lang w:eastAsia="pl-PL"/>
              </w:rPr>
            </w:pPr>
          </w:p>
        </w:tc>
        <w:tc>
          <w:tcPr>
            <w:tcW w:w="1804" w:type="dxa"/>
            <w:vAlign w:val="center"/>
          </w:tcPr>
          <w:p w14:paraId="364A6EF9"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Klaster energetyczny – kooperacja na poziomie Partnerstwa</w:t>
            </w:r>
          </w:p>
        </w:tc>
        <w:tc>
          <w:tcPr>
            <w:tcW w:w="1507" w:type="dxa"/>
            <w:vAlign w:val="center"/>
          </w:tcPr>
          <w:p w14:paraId="6090107C"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 Partnerstwo Gmin Powiatu Biłgorajskiego, partnerzy prywatni</w:t>
            </w:r>
          </w:p>
        </w:tc>
        <w:tc>
          <w:tcPr>
            <w:tcW w:w="1643" w:type="dxa"/>
            <w:vAlign w:val="center"/>
          </w:tcPr>
          <w:p w14:paraId="11D55092"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Krótkoterminowe, ciągłe</w:t>
            </w:r>
          </w:p>
        </w:tc>
        <w:tc>
          <w:tcPr>
            <w:tcW w:w="963" w:type="dxa"/>
            <w:vAlign w:val="center"/>
          </w:tcPr>
          <w:p w14:paraId="3F80BD9E"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48F7224D"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1,4,6</w:t>
            </w:r>
          </w:p>
        </w:tc>
        <w:tc>
          <w:tcPr>
            <w:tcW w:w="1915" w:type="dxa"/>
            <w:vAlign w:val="center"/>
          </w:tcPr>
          <w:p w14:paraId="4BEBBDE3"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Zanieczyszczenie powietrza, zły stan środowiska, złe gospodarowanie zasobami, przerwy w dostawie prądu</w:t>
            </w:r>
          </w:p>
        </w:tc>
        <w:tc>
          <w:tcPr>
            <w:tcW w:w="4711" w:type="dxa"/>
            <w:vAlign w:val="center"/>
          </w:tcPr>
          <w:p w14:paraId="2DE0861B" w14:textId="443FBDBB"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Działanie ma na celu zwiększenie wykorzystania odnawialnych źródeł energii. Projekt obejmuje uprzednią analizę możliwości formalno-organizacyjnych w zakresie kooperacji, inwentaryzację potencjalnych zasobów do produkcji OZE, rejestrację podmiotu, opracowanie Planu Rozwoju dla Klastra oraz dalsze działanie w ramach Klastra.</w:t>
            </w:r>
            <w:r>
              <w:rPr>
                <w:rFonts w:ascii="Calibri" w:hAnsi="Calibri" w:cs="Calibri"/>
                <w:sz w:val="18"/>
                <w:szCs w:val="18"/>
                <w:lang w:eastAsia="pl-PL"/>
              </w:rPr>
              <w:t xml:space="preserve"> Zadanie zawarto w Strategii </w:t>
            </w:r>
            <w:r w:rsidRPr="007D5385">
              <w:rPr>
                <w:rFonts w:ascii="Calibri" w:hAnsi="Calibri" w:cs="Calibri"/>
                <w:sz w:val="18"/>
                <w:szCs w:val="18"/>
                <w:lang w:eastAsia="pl-PL"/>
              </w:rPr>
              <w:t>Partnerstwa Gmin Powiatu Biłgorajskiego dla rozwoju gospodarczego</w:t>
            </w:r>
            <w:r>
              <w:rPr>
                <w:rFonts w:ascii="Calibri" w:hAnsi="Calibri" w:cs="Calibri"/>
                <w:sz w:val="18"/>
                <w:szCs w:val="18"/>
                <w:lang w:eastAsia="pl-PL"/>
              </w:rPr>
              <w:t>.</w:t>
            </w:r>
          </w:p>
        </w:tc>
        <w:tc>
          <w:tcPr>
            <w:tcW w:w="1710" w:type="dxa"/>
            <w:vAlign w:val="center"/>
          </w:tcPr>
          <w:p w14:paraId="19858F14" w14:textId="77777777" w:rsidR="00C80352" w:rsidRPr="003C4FAB"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C80352" w:rsidRPr="0062347E" w14:paraId="358ABEF9" w14:textId="77777777" w:rsidTr="009F3A89">
        <w:trPr>
          <w:trHeight w:val="233"/>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1DC9CCE2" w14:textId="77777777" w:rsidR="00C80352" w:rsidRPr="0062347E" w:rsidRDefault="00C80352" w:rsidP="00C80352">
            <w:pPr>
              <w:pStyle w:val="Akapitzlist"/>
              <w:widowControl w:val="0"/>
              <w:numPr>
                <w:ilvl w:val="1"/>
                <w:numId w:val="86"/>
              </w:numPr>
              <w:ind w:left="0" w:firstLine="0"/>
              <w:jc w:val="center"/>
              <w:rPr>
                <w:rFonts w:ascii="Calibri" w:eastAsia="Times New Roman" w:hAnsi="Calibri" w:cs="Calibri"/>
                <w:color w:val="auto"/>
                <w:sz w:val="18"/>
                <w:szCs w:val="18"/>
                <w:lang w:eastAsia="pl-PL"/>
              </w:rPr>
            </w:pPr>
          </w:p>
        </w:tc>
        <w:tc>
          <w:tcPr>
            <w:tcW w:w="1804" w:type="dxa"/>
            <w:vAlign w:val="center"/>
          </w:tcPr>
          <w:p w14:paraId="61C5B179"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highlight w:val="magenta"/>
                <w:lang w:eastAsia="pl-PL"/>
              </w:rPr>
            </w:pPr>
            <w:r w:rsidRPr="0062347E">
              <w:rPr>
                <w:rFonts w:ascii="Calibri" w:eastAsia="Times New Roman" w:hAnsi="Calibri" w:cs="Calibri"/>
                <w:color w:val="auto"/>
                <w:sz w:val="18"/>
                <w:szCs w:val="18"/>
                <w:lang w:eastAsia="pl-PL"/>
              </w:rPr>
              <w:t xml:space="preserve">Spółdzielnia energetyczna – </w:t>
            </w:r>
            <w:r w:rsidRPr="0062347E">
              <w:rPr>
                <w:rFonts w:ascii="Calibri" w:eastAsia="Times New Roman" w:hAnsi="Calibri" w:cs="Calibri"/>
                <w:color w:val="auto"/>
                <w:sz w:val="18"/>
                <w:szCs w:val="18"/>
                <w:lang w:eastAsia="pl-PL"/>
              </w:rPr>
              <w:lastRenderedPageBreak/>
              <w:t>kooperacja na poziomie Partnerstwa</w:t>
            </w:r>
          </w:p>
        </w:tc>
        <w:tc>
          <w:tcPr>
            <w:tcW w:w="1507" w:type="dxa"/>
            <w:vAlign w:val="center"/>
          </w:tcPr>
          <w:p w14:paraId="783651B6"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lastRenderedPageBreak/>
              <w:t xml:space="preserve">Urząd Miejski w Tarnogrodzie, </w:t>
            </w:r>
            <w:r w:rsidRPr="0062347E">
              <w:rPr>
                <w:rFonts w:ascii="Calibri" w:hAnsi="Calibri" w:cs="Calibri"/>
                <w:sz w:val="18"/>
                <w:szCs w:val="18"/>
                <w:lang w:eastAsia="pl-PL"/>
              </w:rPr>
              <w:lastRenderedPageBreak/>
              <w:t>Partnerstwo Gmin Powiatu Biłgorajskiego, partnerzy prywatni</w:t>
            </w:r>
          </w:p>
        </w:tc>
        <w:tc>
          <w:tcPr>
            <w:tcW w:w="1643" w:type="dxa"/>
            <w:vAlign w:val="center"/>
          </w:tcPr>
          <w:p w14:paraId="56E99C64"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lastRenderedPageBreak/>
              <w:t>Krótkoterminowe, ciągłe</w:t>
            </w:r>
          </w:p>
        </w:tc>
        <w:tc>
          <w:tcPr>
            <w:tcW w:w="963" w:type="dxa"/>
            <w:vAlign w:val="center"/>
          </w:tcPr>
          <w:p w14:paraId="5B218A1C"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30BC2F96"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1,4,6</w:t>
            </w:r>
          </w:p>
        </w:tc>
        <w:tc>
          <w:tcPr>
            <w:tcW w:w="1915" w:type="dxa"/>
            <w:vAlign w:val="center"/>
          </w:tcPr>
          <w:p w14:paraId="3E7A580C"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 xml:space="preserve">Zanieczyszczenie powietrza, zły stan </w:t>
            </w:r>
            <w:r w:rsidRPr="0062347E">
              <w:rPr>
                <w:rFonts w:ascii="Calibri" w:hAnsi="Calibri" w:cs="Calibri"/>
                <w:sz w:val="18"/>
                <w:szCs w:val="18"/>
                <w:lang w:eastAsia="pl-PL"/>
              </w:rPr>
              <w:lastRenderedPageBreak/>
              <w:t>środowiska, złe gospodarowanie zasobami, przerwy w dostawie prądu</w:t>
            </w:r>
          </w:p>
        </w:tc>
        <w:tc>
          <w:tcPr>
            <w:tcW w:w="4711" w:type="dxa"/>
            <w:vAlign w:val="center"/>
          </w:tcPr>
          <w:p w14:paraId="769093EE" w14:textId="65C7E075"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lastRenderedPageBreak/>
              <w:t xml:space="preserve">Działanie ma na celu zwiększenie wykorzystania odnawialnych źródeł energii. Projekt obejmuje uprzednią </w:t>
            </w:r>
            <w:r w:rsidRPr="0062347E">
              <w:rPr>
                <w:rFonts w:ascii="Calibri" w:hAnsi="Calibri" w:cs="Calibri"/>
                <w:sz w:val="18"/>
                <w:szCs w:val="18"/>
                <w:lang w:eastAsia="pl-PL"/>
              </w:rPr>
              <w:lastRenderedPageBreak/>
              <w:t>analizę możliwości formalno-organizacyjnych w zakresie kooperacji, inwentaryzację potencjalnych zasobów do produkcji OZE, rejestrację podmiotu, opracowanie Planu Rozwoju dla Spółdzielni oraz dalsze działanie w ramach Spółdzielni.</w:t>
            </w:r>
            <w:r>
              <w:rPr>
                <w:rFonts w:ascii="Calibri" w:hAnsi="Calibri" w:cs="Calibri"/>
                <w:sz w:val="18"/>
                <w:szCs w:val="18"/>
                <w:lang w:eastAsia="pl-PL"/>
              </w:rPr>
              <w:t xml:space="preserve"> Zadanie zawarto w Strategii </w:t>
            </w:r>
            <w:r w:rsidRPr="007D5385">
              <w:rPr>
                <w:rFonts w:ascii="Calibri" w:hAnsi="Calibri" w:cs="Calibri"/>
                <w:sz w:val="18"/>
                <w:szCs w:val="18"/>
                <w:lang w:eastAsia="pl-PL"/>
              </w:rPr>
              <w:t>Partnerstwa Gmin Powiatu Biłgorajskiego dla rozwoju gospodarczego</w:t>
            </w:r>
            <w:r>
              <w:rPr>
                <w:rFonts w:ascii="Calibri" w:hAnsi="Calibri" w:cs="Calibri"/>
                <w:sz w:val="18"/>
                <w:szCs w:val="18"/>
                <w:lang w:eastAsia="pl-PL"/>
              </w:rPr>
              <w:t>.</w:t>
            </w:r>
          </w:p>
        </w:tc>
        <w:tc>
          <w:tcPr>
            <w:tcW w:w="1710" w:type="dxa"/>
            <w:vAlign w:val="center"/>
          </w:tcPr>
          <w:p w14:paraId="23880DEB" w14:textId="77777777" w:rsidR="00C80352" w:rsidRPr="003C4FAB"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lastRenderedPageBreak/>
              <w:t>NIE</w:t>
            </w:r>
          </w:p>
        </w:tc>
      </w:tr>
      <w:tr w:rsidR="00C80352" w:rsidRPr="0062347E" w14:paraId="427B5610" w14:textId="77777777" w:rsidTr="009F3A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26CD1EB1" w14:textId="77777777" w:rsidR="00C80352" w:rsidRPr="0062347E" w:rsidRDefault="00C80352" w:rsidP="00C80352">
            <w:pPr>
              <w:pStyle w:val="Akapitzlist"/>
              <w:widowControl w:val="0"/>
              <w:numPr>
                <w:ilvl w:val="1"/>
                <w:numId w:val="86"/>
              </w:numPr>
              <w:ind w:left="0" w:firstLine="0"/>
              <w:jc w:val="center"/>
              <w:rPr>
                <w:rFonts w:ascii="Calibri" w:eastAsia="Calibri" w:hAnsi="Calibri" w:cs="Calibri"/>
                <w:color w:val="auto"/>
                <w:sz w:val="18"/>
                <w:szCs w:val="18"/>
              </w:rPr>
            </w:pPr>
          </w:p>
        </w:tc>
        <w:tc>
          <w:tcPr>
            <w:tcW w:w="1804" w:type="dxa"/>
            <w:vAlign w:val="center"/>
          </w:tcPr>
          <w:p w14:paraId="261F23AD"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auto"/>
                <w:sz w:val="18"/>
                <w:szCs w:val="18"/>
              </w:rPr>
            </w:pPr>
            <w:r w:rsidRPr="0062347E">
              <w:rPr>
                <w:rFonts w:ascii="Calibri" w:eastAsia="Calibri" w:hAnsi="Calibri" w:cs="Calibri"/>
                <w:color w:val="auto"/>
                <w:sz w:val="18"/>
                <w:szCs w:val="18"/>
              </w:rPr>
              <w:t>Inteligentne oświetlenie przestrzeni publicznej</w:t>
            </w:r>
          </w:p>
        </w:tc>
        <w:tc>
          <w:tcPr>
            <w:tcW w:w="1507" w:type="dxa"/>
            <w:vAlign w:val="center"/>
          </w:tcPr>
          <w:p w14:paraId="13A8603E"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3D80ED6F"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natychmiastowe</w:t>
            </w:r>
          </w:p>
        </w:tc>
        <w:tc>
          <w:tcPr>
            <w:tcW w:w="963" w:type="dxa"/>
            <w:vAlign w:val="center"/>
          </w:tcPr>
          <w:p w14:paraId="16219D09"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2292105A"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1,4,5,6</w:t>
            </w:r>
          </w:p>
        </w:tc>
        <w:tc>
          <w:tcPr>
            <w:tcW w:w="1915" w:type="dxa"/>
            <w:vAlign w:val="center"/>
          </w:tcPr>
          <w:p w14:paraId="588A1B5E"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Zanieczyszczenie powietrza, złe gospodarowanie zasobami, niska jakość życia</w:t>
            </w:r>
          </w:p>
        </w:tc>
        <w:tc>
          <w:tcPr>
            <w:tcW w:w="4711" w:type="dxa"/>
            <w:vAlign w:val="center"/>
          </w:tcPr>
          <w:p w14:paraId="4548DAB6" w14:textId="0AF0A05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Budowa lub przebudowa energooszczędnego oświetlenia ulicznego w miejscowości należących do Gminy Tarnogród. Ponadto zakres obejmował będzie kompleksową przebudowę instalacji elektrycznej wraz montażem elementów energooszczędnego oświetlenie obiektów użyteczności publicznej na terenie gminy. W przypadku oświetlenia ulicznego zadanie będzie polegało na zastosowaniu technologii umożliwiającej łatwiejszą sterowalność systemu oraz możliwą regulację mocy oświetlenia. Szczegółowy zakres prac technicznych zostanie określony na podstawie audytów energetycznych i dokumentacji projektowej.</w:t>
            </w:r>
            <w:r>
              <w:rPr>
                <w:rFonts w:ascii="Calibri" w:hAnsi="Calibri" w:cs="Calibri"/>
                <w:sz w:val="18"/>
                <w:szCs w:val="18"/>
                <w:lang w:eastAsia="pl-PL"/>
              </w:rPr>
              <w:t xml:space="preserve"> Zadanie zawarto w Strategii </w:t>
            </w:r>
            <w:r w:rsidRPr="007D5385">
              <w:rPr>
                <w:rFonts w:ascii="Calibri" w:hAnsi="Calibri" w:cs="Calibri"/>
                <w:sz w:val="18"/>
                <w:szCs w:val="18"/>
                <w:lang w:eastAsia="pl-PL"/>
              </w:rPr>
              <w:t>Partnerstwa Gmin Powiatu Biłgorajskiego dla rozwoju gospodarczego</w:t>
            </w:r>
            <w:r>
              <w:rPr>
                <w:rFonts w:ascii="Calibri" w:hAnsi="Calibri" w:cs="Calibri"/>
                <w:sz w:val="18"/>
                <w:szCs w:val="18"/>
                <w:lang w:eastAsia="pl-PL"/>
              </w:rPr>
              <w:t>.</w:t>
            </w:r>
          </w:p>
        </w:tc>
        <w:tc>
          <w:tcPr>
            <w:tcW w:w="1710" w:type="dxa"/>
            <w:vAlign w:val="center"/>
          </w:tcPr>
          <w:p w14:paraId="16FB51BC" w14:textId="77777777" w:rsidR="00C80352" w:rsidRPr="003C4FAB"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C80352" w:rsidRPr="0062347E" w14:paraId="4AD12703" w14:textId="77777777" w:rsidTr="009F3A89">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10A18991" w14:textId="77777777" w:rsidR="00C80352" w:rsidRPr="0062347E" w:rsidRDefault="00C80352" w:rsidP="00C80352">
            <w:pPr>
              <w:pStyle w:val="Akapitzlist"/>
              <w:widowControl w:val="0"/>
              <w:numPr>
                <w:ilvl w:val="1"/>
                <w:numId w:val="86"/>
              </w:numPr>
              <w:ind w:left="0" w:firstLine="0"/>
              <w:jc w:val="center"/>
              <w:rPr>
                <w:rFonts w:ascii="Calibri" w:eastAsia="Calibri" w:hAnsi="Calibri" w:cs="Calibri"/>
                <w:color w:val="auto"/>
                <w:sz w:val="18"/>
                <w:szCs w:val="18"/>
              </w:rPr>
            </w:pPr>
          </w:p>
        </w:tc>
        <w:tc>
          <w:tcPr>
            <w:tcW w:w="1804" w:type="dxa"/>
            <w:vAlign w:val="center"/>
          </w:tcPr>
          <w:p w14:paraId="20274CC7"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auto"/>
                <w:sz w:val="18"/>
                <w:szCs w:val="18"/>
              </w:rPr>
            </w:pPr>
            <w:r w:rsidRPr="0062347E">
              <w:rPr>
                <w:rFonts w:ascii="Calibri" w:eastAsia="Calibri" w:hAnsi="Calibri" w:cs="Calibri"/>
                <w:color w:val="auto"/>
                <w:sz w:val="18"/>
                <w:szCs w:val="18"/>
              </w:rPr>
              <w:t>Modernizacja sieci energetycznych</w:t>
            </w:r>
          </w:p>
        </w:tc>
        <w:tc>
          <w:tcPr>
            <w:tcW w:w="1507" w:type="dxa"/>
            <w:vAlign w:val="center"/>
          </w:tcPr>
          <w:p w14:paraId="1EB9449D"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Przedsiębiorstwa energetyczne</w:t>
            </w:r>
          </w:p>
        </w:tc>
        <w:tc>
          <w:tcPr>
            <w:tcW w:w="1643" w:type="dxa"/>
            <w:vAlign w:val="center"/>
          </w:tcPr>
          <w:p w14:paraId="4489F81A"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7BFFD8B4"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21297ABD"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1,4,5</w:t>
            </w:r>
          </w:p>
        </w:tc>
        <w:tc>
          <w:tcPr>
            <w:tcW w:w="1915" w:type="dxa"/>
            <w:vAlign w:val="center"/>
          </w:tcPr>
          <w:p w14:paraId="4F565630"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Złe gospodarowanie zasobami, przerwy w dostawie prądu, bezpieczeństwo mieszkańców</w:t>
            </w:r>
          </w:p>
        </w:tc>
        <w:tc>
          <w:tcPr>
            <w:tcW w:w="4711" w:type="dxa"/>
            <w:vAlign w:val="center"/>
          </w:tcPr>
          <w:p w14:paraId="3E354BC0"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Miasto powinno podejmować działania w zakresie zgłaszania potrzeb modernizacji sieci energetycznych, celem zapobiegnięcia przerw w dostawie prądu, tym samym poprawiając bezpieczeństwo mieszkańców i jakość powietrza.</w:t>
            </w:r>
          </w:p>
        </w:tc>
        <w:tc>
          <w:tcPr>
            <w:tcW w:w="1710" w:type="dxa"/>
            <w:vAlign w:val="center"/>
          </w:tcPr>
          <w:p w14:paraId="1DA7D633" w14:textId="77777777" w:rsidR="00C80352" w:rsidRPr="003C4FAB"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C80352" w:rsidRPr="0062347E" w14:paraId="40F18FA6" w14:textId="77777777" w:rsidTr="009F3A89">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525" w:type="dxa"/>
            <w:shd w:val="clear" w:color="auto" w:fill="AAC472" w:themeFill="accent5" w:themeFillShade="BF"/>
            <w:vAlign w:val="center"/>
          </w:tcPr>
          <w:p w14:paraId="54D278AD" w14:textId="77777777" w:rsidR="00C80352" w:rsidRPr="0062347E" w:rsidRDefault="00C80352" w:rsidP="00C80352">
            <w:pPr>
              <w:pStyle w:val="Akapitzlist"/>
              <w:widowControl w:val="0"/>
              <w:numPr>
                <w:ilvl w:val="0"/>
                <w:numId w:val="86"/>
              </w:numPr>
              <w:ind w:left="0" w:firstLine="0"/>
              <w:jc w:val="center"/>
              <w:rPr>
                <w:rFonts w:ascii="Calibri" w:hAnsi="Calibri" w:cs="Calibri"/>
                <w:color w:val="auto"/>
                <w:sz w:val="18"/>
                <w:szCs w:val="18"/>
                <w:lang w:eastAsia="pl-PL"/>
              </w:rPr>
            </w:pPr>
          </w:p>
        </w:tc>
        <w:tc>
          <w:tcPr>
            <w:tcW w:w="15351" w:type="dxa"/>
            <w:gridSpan w:val="8"/>
            <w:shd w:val="clear" w:color="auto" w:fill="AAC472" w:themeFill="accent5" w:themeFillShade="BF"/>
            <w:vAlign w:val="center"/>
          </w:tcPr>
          <w:p w14:paraId="296C75D7" w14:textId="77777777" w:rsidR="00C80352" w:rsidRPr="003C4FAB"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auto"/>
                <w:sz w:val="18"/>
                <w:szCs w:val="18"/>
                <w:lang w:eastAsia="pl-PL"/>
              </w:rPr>
            </w:pPr>
            <w:r w:rsidRPr="003C4FAB">
              <w:rPr>
                <w:rFonts w:ascii="Calibri" w:hAnsi="Calibri" w:cs="Calibri"/>
                <w:b/>
                <w:bCs/>
                <w:color w:val="auto"/>
                <w:lang w:eastAsia="pl-PL"/>
              </w:rPr>
              <w:t>OBSZAR BEZPIECZEŃSTWO</w:t>
            </w:r>
          </w:p>
        </w:tc>
      </w:tr>
      <w:tr w:rsidR="00C80352" w:rsidRPr="0062347E" w14:paraId="4F10F9D3" w14:textId="77777777" w:rsidTr="009F3A89">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0E20A548" w14:textId="77777777" w:rsidR="00C80352" w:rsidRPr="0062347E" w:rsidRDefault="00C80352" w:rsidP="00C80352">
            <w:pPr>
              <w:pStyle w:val="Akapitzlist"/>
              <w:widowControl w:val="0"/>
              <w:numPr>
                <w:ilvl w:val="1"/>
                <w:numId w:val="86"/>
              </w:numPr>
              <w:ind w:left="0" w:firstLine="0"/>
              <w:jc w:val="center"/>
              <w:rPr>
                <w:rFonts w:ascii="Calibri" w:hAnsi="Calibri" w:cs="Calibri"/>
                <w:sz w:val="18"/>
                <w:szCs w:val="18"/>
                <w:lang w:eastAsia="pl-PL"/>
              </w:rPr>
            </w:pPr>
          </w:p>
        </w:tc>
        <w:tc>
          <w:tcPr>
            <w:tcW w:w="1804" w:type="dxa"/>
            <w:vAlign w:val="center"/>
          </w:tcPr>
          <w:p w14:paraId="157163B2"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Wzmocnienie służb ratowniczych</w:t>
            </w:r>
          </w:p>
        </w:tc>
        <w:tc>
          <w:tcPr>
            <w:tcW w:w="1507" w:type="dxa"/>
            <w:vAlign w:val="center"/>
          </w:tcPr>
          <w:p w14:paraId="3A0A6168"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OSP KSRG Tarnogród</w:t>
            </w:r>
          </w:p>
        </w:tc>
        <w:tc>
          <w:tcPr>
            <w:tcW w:w="1643" w:type="dxa"/>
            <w:vAlign w:val="center"/>
          </w:tcPr>
          <w:p w14:paraId="3B47A008"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45D33729"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52F7FB15"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4,5</w:t>
            </w:r>
          </w:p>
        </w:tc>
        <w:tc>
          <w:tcPr>
            <w:tcW w:w="1915" w:type="dxa"/>
            <w:vAlign w:val="center"/>
          </w:tcPr>
          <w:p w14:paraId="0E6830A5"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Bezpieczeństwo mieszkańców, niska jakość życia</w:t>
            </w:r>
          </w:p>
        </w:tc>
        <w:tc>
          <w:tcPr>
            <w:tcW w:w="4711" w:type="dxa"/>
            <w:vAlign w:val="center"/>
          </w:tcPr>
          <w:p w14:paraId="4E1EDF84" w14:textId="4DD9C445"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Ochotnicza Straż Pożarna w Tarnogrodzie zgłasza potrzebę doposażenia w sprzęt ratowniczo-gaśniczy. Doposażenie OSP w ten sprzęt i inn</w:t>
            </w:r>
            <w:r>
              <w:rPr>
                <w:rFonts w:ascii="Calibri" w:hAnsi="Calibri" w:cs="Calibri"/>
                <w:sz w:val="18"/>
                <w:szCs w:val="18"/>
                <w:lang w:eastAsia="pl-PL"/>
              </w:rPr>
              <w:t>y</w:t>
            </w:r>
            <w:r w:rsidRPr="0062347E">
              <w:rPr>
                <w:rFonts w:ascii="Calibri" w:hAnsi="Calibri" w:cs="Calibri"/>
                <w:sz w:val="18"/>
                <w:szCs w:val="18"/>
                <w:lang w:eastAsia="pl-PL"/>
              </w:rPr>
              <w:t>, zgłaszany zgodnie z zapotrzebowaniem</w:t>
            </w:r>
            <w:r>
              <w:rPr>
                <w:rFonts w:ascii="Calibri" w:hAnsi="Calibri" w:cs="Calibri"/>
                <w:sz w:val="18"/>
                <w:szCs w:val="18"/>
                <w:lang w:eastAsia="pl-PL"/>
              </w:rPr>
              <w:t>,</w:t>
            </w:r>
            <w:r w:rsidRPr="0062347E">
              <w:rPr>
                <w:rFonts w:ascii="Calibri" w:hAnsi="Calibri" w:cs="Calibri"/>
                <w:sz w:val="18"/>
                <w:szCs w:val="18"/>
                <w:lang w:eastAsia="pl-PL"/>
              </w:rPr>
              <w:t xml:space="preserve"> poprawi sprawność działania OSP, zwiększy bezpieczeństwo </w:t>
            </w:r>
            <w:r w:rsidRPr="0062347E">
              <w:rPr>
                <w:rFonts w:ascii="Calibri" w:hAnsi="Calibri" w:cs="Calibri"/>
                <w:sz w:val="18"/>
                <w:szCs w:val="18"/>
                <w:lang w:eastAsia="pl-PL"/>
              </w:rPr>
              <w:lastRenderedPageBreak/>
              <w:t>mieszkańców oraz zredukuje skutki ekstremalnych zjawisk pogodowych.</w:t>
            </w:r>
          </w:p>
        </w:tc>
        <w:tc>
          <w:tcPr>
            <w:tcW w:w="1710" w:type="dxa"/>
            <w:vAlign w:val="center"/>
          </w:tcPr>
          <w:p w14:paraId="11719FED" w14:textId="77777777" w:rsidR="00C80352" w:rsidRPr="003C4FAB"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lastRenderedPageBreak/>
              <w:t>NIE</w:t>
            </w:r>
          </w:p>
        </w:tc>
      </w:tr>
      <w:tr w:rsidR="00C80352" w:rsidRPr="0062347E" w14:paraId="7B49E348" w14:textId="77777777" w:rsidTr="009F3A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594CEC5E" w14:textId="77777777" w:rsidR="00C80352" w:rsidRPr="0062347E" w:rsidRDefault="00C80352" w:rsidP="00C80352">
            <w:pPr>
              <w:pStyle w:val="Akapitzlist"/>
              <w:widowControl w:val="0"/>
              <w:numPr>
                <w:ilvl w:val="1"/>
                <w:numId w:val="86"/>
              </w:numPr>
              <w:ind w:left="0" w:firstLine="0"/>
              <w:jc w:val="center"/>
              <w:rPr>
                <w:rFonts w:ascii="Calibri" w:eastAsia="Times New Roman" w:hAnsi="Calibri" w:cs="Calibri"/>
                <w:color w:val="auto"/>
                <w:sz w:val="18"/>
                <w:szCs w:val="18"/>
                <w:lang w:eastAsia="pl-PL"/>
              </w:rPr>
            </w:pPr>
          </w:p>
        </w:tc>
        <w:tc>
          <w:tcPr>
            <w:tcW w:w="1804" w:type="dxa"/>
            <w:vAlign w:val="center"/>
          </w:tcPr>
          <w:p w14:paraId="7714AE62"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Nowe oblicze pomocy społecznej</w:t>
            </w:r>
          </w:p>
        </w:tc>
        <w:tc>
          <w:tcPr>
            <w:tcW w:w="1507" w:type="dxa"/>
            <w:vAlign w:val="center"/>
          </w:tcPr>
          <w:p w14:paraId="6F72D671"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Miejski Ośrodek Pomocy Społecznej w Tarnogrodzie</w:t>
            </w:r>
          </w:p>
        </w:tc>
        <w:tc>
          <w:tcPr>
            <w:tcW w:w="1643" w:type="dxa"/>
            <w:vAlign w:val="center"/>
          </w:tcPr>
          <w:p w14:paraId="23999C2C"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Krótkoterminowe, ciągłe</w:t>
            </w:r>
          </w:p>
        </w:tc>
        <w:tc>
          <w:tcPr>
            <w:tcW w:w="963" w:type="dxa"/>
            <w:vAlign w:val="center"/>
          </w:tcPr>
          <w:p w14:paraId="570905D8"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103222B6"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4,5</w:t>
            </w:r>
          </w:p>
        </w:tc>
        <w:tc>
          <w:tcPr>
            <w:tcW w:w="1915" w:type="dxa"/>
            <w:vAlign w:val="center"/>
          </w:tcPr>
          <w:p w14:paraId="6E6A6187"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Bezpieczeństwo mieszkańców, niska jakość życia</w:t>
            </w:r>
          </w:p>
        </w:tc>
        <w:tc>
          <w:tcPr>
            <w:tcW w:w="4711" w:type="dxa"/>
            <w:vAlign w:val="center"/>
          </w:tcPr>
          <w:p w14:paraId="022C67D7" w14:textId="5D3C1103"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Inwestycja dotyczy przekształcenia Miejskiego Ośrodka Pomocy Społecznej w Tarnogrodzie na Centrum Usług Społecznych. Przedsięwzięcie obejmuje wszelkie czynności i koszty związane z przeprowadzeniem procedury przekształcenia MOPS w CUS w tym: przygotowanie dokumentacji, podniesienie kwalifikacji pracowników, organizacja oferty usług społecznych i związane z tym przygotowanie infrastruktury (remonty, wyposażenie) oraz przeniesienie siedziby na ul. 1-go Maja 7.</w:t>
            </w:r>
            <w:r>
              <w:rPr>
                <w:rFonts w:ascii="Calibri" w:hAnsi="Calibri" w:cs="Calibri"/>
                <w:sz w:val="18"/>
                <w:szCs w:val="18"/>
                <w:lang w:eastAsia="pl-PL"/>
              </w:rPr>
              <w:t xml:space="preserve"> Zadanie zawarto w gminnym programie rewitalizacji dla Gminy Tarnogród na lata 2024-2030.</w:t>
            </w:r>
          </w:p>
        </w:tc>
        <w:tc>
          <w:tcPr>
            <w:tcW w:w="1710" w:type="dxa"/>
            <w:vAlign w:val="center"/>
          </w:tcPr>
          <w:p w14:paraId="7C9856E1" w14:textId="77777777" w:rsidR="00C80352" w:rsidRPr="003C4FAB"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C80352" w:rsidRPr="0062347E" w14:paraId="54C88649" w14:textId="77777777" w:rsidTr="009F3A89">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5CA14780" w14:textId="77777777" w:rsidR="00C80352" w:rsidRPr="0062347E" w:rsidRDefault="00C80352" w:rsidP="00C80352">
            <w:pPr>
              <w:pStyle w:val="Akapitzlist"/>
              <w:widowControl w:val="0"/>
              <w:numPr>
                <w:ilvl w:val="1"/>
                <w:numId w:val="86"/>
              </w:numPr>
              <w:tabs>
                <w:tab w:val="left" w:pos="3119"/>
              </w:tabs>
              <w:ind w:left="0" w:firstLine="0"/>
              <w:jc w:val="center"/>
              <w:rPr>
                <w:rFonts w:ascii="Calibri" w:eastAsia="Times New Roman" w:hAnsi="Calibri" w:cs="Calibri"/>
                <w:color w:val="auto"/>
                <w:sz w:val="18"/>
                <w:szCs w:val="18"/>
                <w:lang w:eastAsia="pl-PL"/>
              </w:rPr>
            </w:pPr>
          </w:p>
        </w:tc>
        <w:tc>
          <w:tcPr>
            <w:tcW w:w="1804" w:type="dxa"/>
            <w:vAlign w:val="center"/>
          </w:tcPr>
          <w:p w14:paraId="3240ED91" w14:textId="77777777" w:rsidR="00C80352" w:rsidRPr="0062347E" w:rsidRDefault="00C80352" w:rsidP="00C80352">
            <w:pPr>
              <w:widowControl w:val="0"/>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Rozwój usług społecznych</w:t>
            </w:r>
          </w:p>
        </w:tc>
        <w:tc>
          <w:tcPr>
            <w:tcW w:w="1507" w:type="dxa"/>
            <w:vAlign w:val="center"/>
          </w:tcPr>
          <w:p w14:paraId="7FE69502"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Miejski Ośrodek Pomocy Społecznej w Tarnogrodzie</w:t>
            </w:r>
          </w:p>
        </w:tc>
        <w:tc>
          <w:tcPr>
            <w:tcW w:w="1643" w:type="dxa"/>
            <w:vAlign w:val="center"/>
          </w:tcPr>
          <w:p w14:paraId="4BEF7CEA"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3D97FB58"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0A922CBF"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4,5</w:t>
            </w:r>
          </w:p>
        </w:tc>
        <w:tc>
          <w:tcPr>
            <w:tcW w:w="1915" w:type="dxa"/>
            <w:vAlign w:val="center"/>
          </w:tcPr>
          <w:p w14:paraId="24CB63B2"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Bezpieczeństwo mieszkańców, niska jakość życia</w:t>
            </w:r>
          </w:p>
        </w:tc>
        <w:tc>
          <w:tcPr>
            <w:tcW w:w="4711" w:type="dxa"/>
            <w:vAlign w:val="center"/>
          </w:tcPr>
          <w:p w14:paraId="29BC6202" w14:textId="639290F2"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Projekt obejmuje świadczenie nieodpłatnych usług opiekuńczo rehabilitacyjnych, psychologicznych i pielęgnacyjnych (również o znaczeniu opieki wytchnieniowej), skierowanych do osób starszych, niepełnosprawnych, potrzebujących wsparcia. Owe wsparcie świadczone będzie w domach podopiecznych, na zasadzie usług asystenckich.</w:t>
            </w:r>
            <w:r>
              <w:rPr>
                <w:rFonts w:ascii="Calibri" w:hAnsi="Calibri" w:cs="Calibri"/>
                <w:sz w:val="18"/>
                <w:szCs w:val="18"/>
                <w:lang w:eastAsia="pl-PL"/>
              </w:rPr>
              <w:t xml:space="preserve"> Zadanie zawarto w gminnym programie rewitalizacji dla Gminy Tarnogród na lata 2024-2030.</w:t>
            </w:r>
          </w:p>
        </w:tc>
        <w:tc>
          <w:tcPr>
            <w:tcW w:w="1710" w:type="dxa"/>
            <w:vAlign w:val="center"/>
          </w:tcPr>
          <w:p w14:paraId="3B089F00" w14:textId="77777777" w:rsidR="00C80352" w:rsidRPr="003C4FAB"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C80352" w:rsidRPr="0062347E" w14:paraId="4FB4E48A" w14:textId="77777777" w:rsidTr="009F3A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2BD47CB5" w14:textId="77777777" w:rsidR="00C80352" w:rsidRPr="0062347E" w:rsidRDefault="00C80352" w:rsidP="00C80352">
            <w:pPr>
              <w:pStyle w:val="Akapitzlist"/>
              <w:widowControl w:val="0"/>
              <w:numPr>
                <w:ilvl w:val="1"/>
                <w:numId w:val="86"/>
              </w:numPr>
              <w:tabs>
                <w:tab w:val="left" w:pos="3119"/>
              </w:tabs>
              <w:ind w:left="0" w:firstLine="0"/>
              <w:jc w:val="center"/>
              <w:rPr>
                <w:rFonts w:ascii="Calibri" w:eastAsia="Times New Roman" w:hAnsi="Calibri" w:cs="Calibri"/>
                <w:color w:val="auto"/>
                <w:sz w:val="18"/>
                <w:szCs w:val="18"/>
                <w:lang w:eastAsia="pl-PL"/>
              </w:rPr>
            </w:pPr>
          </w:p>
        </w:tc>
        <w:tc>
          <w:tcPr>
            <w:tcW w:w="1804" w:type="dxa"/>
            <w:vAlign w:val="center"/>
          </w:tcPr>
          <w:p w14:paraId="11C0EB99" w14:textId="77777777" w:rsidR="00C80352" w:rsidRPr="0062347E" w:rsidRDefault="00C80352" w:rsidP="00C80352">
            <w:pPr>
              <w:widowControl w:val="0"/>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Modernizacja Środowiskowego Domu Samopomocy</w:t>
            </w:r>
          </w:p>
        </w:tc>
        <w:tc>
          <w:tcPr>
            <w:tcW w:w="1507" w:type="dxa"/>
            <w:vAlign w:val="center"/>
          </w:tcPr>
          <w:p w14:paraId="311AF6C5"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Środowiskowy Dom Samopomocy w Tarnogrodzie</w:t>
            </w:r>
          </w:p>
        </w:tc>
        <w:tc>
          <w:tcPr>
            <w:tcW w:w="1643" w:type="dxa"/>
            <w:vAlign w:val="center"/>
          </w:tcPr>
          <w:p w14:paraId="7279A128"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Krótkoterminowe, natychmiastowe</w:t>
            </w:r>
          </w:p>
        </w:tc>
        <w:tc>
          <w:tcPr>
            <w:tcW w:w="963" w:type="dxa"/>
            <w:vAlign w:val="center"/>
          </w:tcPr>
          <w:p w14:paraId="3F286136"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0B261AD4"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4,5</w:t>
            </w:r>
          </w:p>
        </w:tc>
        <w:tc>
          <w:tcPr>
            <w:tcW w:w="1915" w:type="dxa"/>
            <w:vAlign w:val="center"/>
          </w:tcPr>
          <w:p w14:paraId="4FDFF20F"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Bezpieczeństwo mieszkańców, niska jakość życia, zanieczyszczenie powietrza</w:t>
            </w:r>
          </w:p>
        </w:tc>
        <w:tc>
          <w:tcPr>
            <w:tcW w:w="4711" w:type="dxa"/>
            <w:vAlign w:val="center"/>
          </w:tcPr>
          <w:p w14:paraId="5D560862"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Dyrekcja Środowiskowego Domu Samopomocy zgłasza potrzeby z zakresu: montażu klimatyzacji w salach terapeutycznych, modernizacji kotła gazowego i instalacji paneli fotowoltaicznych. Realizacja tych inwestycji pozwoli na przystosowanie obiektu do zmieniającego się klimatu oraz poprawi jakość świadczonych usług.</w:t>
            </w:r>
          </w:p>
        </w:tc>
        <w:tc>
          <w:tcPr>
            <w:tcW w:w="1710" w:type="dxa"/>
            <w:vAlign w:val="center"/>
          </w:tcPr>
          <w:p w14:paraId="488C76C3" w14:textId="77777777" w:rsidR="00C80352" w:rsidRPr="003C4FAB"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C80352" w:rsidRPr="0062347E" w14:paraId="4C72E927" w14:textId="77777777" w:rsidTr="009F3A89">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69B069D5" w14:textId="77777777" w:rsidR="00C80352" w:rsidRPr="0062347E" w:rsidRDefault="00C80352" w:rsidP="00C80352">
            <w:pPr>
              <w:pStyle w:val="Akapitzlist"/>
              <w:widowControl w:val="0"/>
              <w:numPr>
                <w:ilvl w:val="1"/>
                <w:numId w:val="86"/>
              </w:numPr>
              <w:tabs>
                <w:tab w:val="left" w:pos="3119"/>
              </w:tabs>
              <w:ind w:left="0" w:firstLine="0"/>
              <w:jc w:val="center"/>
              <w:rPr>
                <w:rFonts w:ascii="Calibri" w:eastAsia="Times New Roman" w:hAnsi="Calibri" w:cs="Calibri"/>
                <w:color w:val="auto"/>
                <w:sz w:val="18"/>
                <w:szCs w:val="18"/>
                <w:lang w:eastAsia="pl-PL"/>
              </w:rPr>
            </w:pPr>
          </w:p>
        </w:tc>
        <w:tc>
          <w:tcPr>
            <w:tcW w:w="1804" w:type="dxa"/>
            <w:vAlign w:val="center"/>
          </w:tcPr>
          <w:p w14:paraId="2FD8F934" w14:textId="77777777" w:rsidR="00C80352" w:rsidRPr="0062347E" w:rsidRDefault="00C80352" w:rsidP="00C80352">
            <w:pPr>
              <w:widowControl w:val="0"/>
              <w:tabs>
                <w:tab w:val="left" w:pos="3119"/>
              </w:tabs>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 xml:space="preserve">Rozwój systemu monitoringu i ostrzegania przed </w:t>
            </w:r>
            <w:r w:rsidRPr="0062347E">
              <w:rPr>
                <w:rFonts w:ascii="Calibri" w:eastAsia="Times New Roman" w:hAnsi="Calibri" w:cs="Calibri"/>
                <w:color w:val="auto"/>
                <w:sz w:val="18"/>
                <w:szCs w:val="18"/>
                <w:lang w:eastAsia="pl-PL"/>
              </w:rPr>
              <w:lastRenderedPageBreak/>
              <w:t>ekstremalnymi zjawiskami pogodowymi</w:t>
            </w:r>
          </w:p>
        </w:tc>
        <w:tc>
          <w:tcPr>
            <w:tcW w:w="1507" w:type="dxa"/>
            <w:vAlign w:val="center"/>
          </w:tcPr>
          <w:p w14:paraId="31DD1E27"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lastRenderedPageBreak/>
              <w:t>Urząd Miejski w Tarnogrodzie</w:t>
            </w:r>
          </w:p>
        </w:tc>
        <w:tc>
          <w:tcPr>
            <w:tcW w:w="1643" w:type="dxa"/>
            <w:vAlign w:val="center"/>
          </w:tcPr>
          <w:p w14:paraId="0ADA84FB"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7C2C373E"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47505037"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4,5</w:t>
            </w:r>
          </w:p>
        </w:tc>
        <w:tc>
          <w:tcPr>
            <w:tcW w:w="1915" w:type="dxa"/>
            <w:vAlign w:val="center"/>
          </w:tcPr>
          <w:p w14:paraId="6F223035"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 xml:space="preserve">Bezpieczeństwo mieszkańców, niska jakość życia, </w:t>
            </w:r>
            <w:r w:rsidRPr="0062347E">
              <w:rPr>
                <w:rFonts w:ascii="Calibri" w:hAnsi="Calibri" w:cs="Calibri"/>
                <w:sz w:val="18"/>
                <w:szCs w:val="18"/>
                <w:lang w:eastAsia="pl-PL"/>
              </w:rPr>
              <w:lastRenderedPageBreak/>
              <w:t>ekstremalne zjawiska pogodowe</w:t>
            </w:r>
          </w:p>
        </w:tc>
        <w:tc>
          <w:tcPr>
            <w:tcW w:w="4711" w:type="dxa"/>
            <w:vAlign w:val="center"/>
          </w:tcPr>
          <w:p w14:paraId="0DA0667B"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lastRenderedPageBreak/>
              <w:t xml:space="preserve">Działanie ma na celu przygotowanie miasta oraz jego mieszkańców na możliwe zjawiska ekstremalne. Lepsze przygotowanie oraz wyższa świadomość mieszkańców w tym </w:t>
            </w:r>
            <w:r w:rsidRPr="0062347E">
              <w:rPr>
                <w:rFonts w:ascii="Calibri" w:hAnsi="Calibri" w:cs="Calibri"/>
                <w:sz w:val="18"/>
                <w:szCs w:val="18"/>
                <w:lang w:eastAsia="pl-PL"/>
              </w:rPr>
              <w:lastRenderedPageBreak/>
              <w:t>temacie to krok w kierunku zrównoważonego rozwoju miasta.</w:t>
            </w:r>
          </w:p>
        </w:tc>
        <w:tc>
          <w:tcPr>
            <w:tcW w:w="1710" w:type="dxa"/>
            <w:vAlign w:val="center"/>
          </w:tcPr>
          <w:p w14:paraId="5D882EA9" w14:textId="77777777" w:rsidR="00C80352" w:rsidRPr="003C4FAB"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lastRenderedPageBreak/>
              <w:t>NIE</w:t>
            </w:r>
          </w:p>
        </w:tc>
      </w:tr>
      <w:tr w:rsidR="00C80352" w:rsidRPr="0062347E" w14:paraId="364638B2" w14:textId="77777777" w:rsidTr="009F3A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6F675C40" w14:textId="77777777" w:rsidR="00C80352" w:rsidRPr="0062347E" w:rsidRDefault="00C80352" w:rsidP="00C80352">
            <w:pPr>
              <w:pStyle w:val="Akapitzlist"/>
              <w:widowControl w:val="0"/>
              <w:numPr>
                <w:ilvl w:val="1"/>
                <w:numId w:val="86"/>
              </w:numPr>
              <w:tabs>
                <w:tab w:val="left" w:pos="3119"/>
              </w:tabs>
              <w:ind w:left="0" w:firstLine="0"/>
              <w:jc w:val="center"/>
              <w:rPr>
                <w:rFonts w:ascii="Calibri" w:eastAsia="Times New Roman" w:hAnsi="Calibri" w:cs="Calibri"/>
                <w:color w:val="auto"/>
                <w:sz w:val="18"/>
                <w:szCs w:val="18"/>
                <w:lang w:eastAsia="pl-PL"/>
              </w:rPr>
            </w:pPr>
          </w:p>
        </w:tc>
        <w:tc>
          <w:tcPr>
            <w:tcW w:w="1804" w:type="dxa"/>
            <w:vAlign w:val="center"/>
          </w:tcPr>
          <w:p w14:paraId="6B4AF058" w14:textId="77777777" w:rsidR="00C80352" w:rsidRPr="0062347E" w:rsidRDefault="00C80352" w:rsidP="00C80352">
            <w:pPr>
              <w:widowControl w:val="0"/>
              <w:tabs>
                <w:tab w:val="left" w:pos="3119"/>
              </w:tabs>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Aktualizacja planów kryzysowych</w:t>
            </w:r>
          </w:p>
        </w:tc>
        <w:tc>
          <w:tcPr>
            <w:tcW w:w="1507" w:type="dxa"/>
            <w:vAlign w:val="center"/>
          </w:tcPr>
          <w:p w14:paraId="34F34BCB"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74AF6CE8"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08F1E909"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4385AF59"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4,5</w:t>
            </w:r>
          </w:p>
        </w:tc>
        <w:tc>
          <w:tcPr>
            <w:tcW w:w="1915" w:type="dxa"/>
            <w:vAlign w:val="center"/>
          </w:tcPr>
          <w:p w14:paraId="7AA4C232"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Bezpieczeństwo mieszkańców, niska jakość życia, ekstremalne zjawiska pogodowe</w:t>
            </w:r>
          </w:p>
        </w:tc>
        <w:tc>
          <w:tcPr>
            <w:tcW w:w="4711" w:type="dxa"/>
            <w:vAlign w:val="center"/>
          </w:tcPr>
          <w:p w14:paraId="1DBAE257" w14:textId="0878C6C8"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Stała weryfikacja i aktualizacja planów kryzysowych będzie prowadzić do lepszego i sprawniejszego reagowania w sytuacja</w:t>
            </w:r>
            <w:r>
              <w:rPr>
                <w:rFonts w:ascii="Calibri" w:hAnsi="Calibri" w:cs="Calibri"/>
                <w:sz w:val="18"/>
                <w:szCs w:val="18"/>
                <w:lang w:eastAsia="pl-PL"/>
              </w:rPr>
              <w:t>ch</w:t>
            </w:r>
            <w:r w:rsidRPr="0062347E">
              <w:rPr>
                <w:rFonts w:ascii="Calibri" w:hAnsi="Calibri" w:cs="Calibri"/>
                <w:sz w:val="18"/>
                <w:szCs w:val="18"/>
                <w:lang w:eastAsia="pl-PL"/>
              </w:rPr>
              <w:t xml:space="preserve"> kryzysowych, tym samym zwiększając bezpieczeństwo mieszkańców oraz redukując skutki ekstremalnych zjawisk pogodowych.</w:t>
            </w:r>
          </w:p>
        </w:tc>
        <w:tc>
          <w:tcPr>
            <w:tcW w:w="1710" w:type="dxa"/>
            <w:vAlign w:val="center"/>
          </w:tcPr>
          <w:p w14:paraId="2589E5EB" w14:textId="77777777" w:rsidR="00C80352" w:rsidRPr="003C4FAB"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C80352" w:rsidRPr="0062347E" w14:paraId="40ECECE7" w14:textId="77777777" w:rsidTr="009F3A89">
        <w:trPr>
          <w:trHeight w:val="567"/>
          <w:jc w:val="center"/>
        </w:trPr>
        <w:tc>
          <w:tcPr>
            <w:cnfStyle w:val="001000000000" w:firstRow="0" w:lastRow="0" w:firstColumn="1" w:lastColumn="0" w:oddVBand="0" w:evenVBand="0" w:oddHBand="0" w:evenHBand="0" w:firstRowFirstColumn="0" w:firstRowLastColumn="0" w:lastRowFirstColumn="0" w:lastRowLastColumn="0"/>
            <w:tcW w:w="525" w:type="dxa"/>
            <w:shd w:val="clear" w:color="auto" w:fill="AAC472" w:themeFill="accent5" w:themeFillShade="BF"/>
            <w:vAlign w:val="center"/>
          </w:tcPr>
          <w:p w14:paraId="3EF9D3B7" w14:textId="77777777" w:rsidR="00C80352" w:rsidRPr="0062347E" w:rsidRDefault="00C80352" w:rsidP="00C80352">
            <w:pPr>
              <w:pStyle w:val="Akapitzlist"/>
              <w:widowControl w:val="0"/>
              <w:numPr>
                <w:ilvl w:val="0"/>
                <w:numId w:val="86"/>
              </w:numPr>
              <w:ind w:left="0" w:firstLine="0"/>
              <w:jc w:val="center"/>
              <w:rPr>
                <w:rFonts w:ascii="Calibri" w:hAnsi="Calibri" w:cs="Calibri"/>
                <w:color w:val="auto"/>
                <w:sz w:val="18"/>
                <w:szCs w:val="18"/>
                <w:lang w:eastAsia="pl-PL"/>
              </w:rPr>
            </w:pPr>
          </w:p>
        </w:tc>
        <w:tc>
          <w:tcPr>
            <w:tcW w:w="15351" w:type="dxa"/>
            <w:gridSpan w:val="8"/>
            <w:shd w:val="clear" w:color="auto" w:fill="AAC472" w:themeFill="accent5" w:themeFillShade="BF"/>
            <w:vAlign w:val="center"/>
          </w:tcPr>
          <w:p w14:paraId="113BDF29" w14:textId="77777777" w:rsidR="00C80352" w:rsidRPr="003C4FAB"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b/>
                <w:bCs/>
                <w:color w:val="auto"/>
                <w:sz w:val="18"/>
                <w:szCs w:val="18"/>
                <w:lang w:eastAsia="pl-PL"/>
              </w:rPr>
            </w:pPr>
            <w:r w:rsidRPr="003C4FAB">
              <w:rPr>
                <w:rFonts w:ascii="Calibri" w:hAnsi="Calibri" w:cs="Calibri"/>
                <w:b/>
                <w:bCs/>
                <w:color w:val="auto"/>
                <w:lang w:eastAsia="pl-PL"/>
              </w:rPr>
              <w:t>OBSZAR EDUKACJA</w:t>
            </w:r>
          </w:p>
        </w:tc>
      </w:tr>
      <w:tr w:rsidR="00C80352" w:rsidRPr="0062347E" w14:paraId="1F8276AC" w14:textId="77777777" w:rsidTr="009F3A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5C493EEB" w14:textId="77777777" w:rsidR="00C80352" w:rsidRPr="0062347E" w:rsidRDefault="00C80352" w:rsidP="00C80352">
            <w:pPr>
              <w:pStyle w:val="Akapitzlist"/>
              <w:widowControl w:val="0"/>
              <w:numPr>
                <w:ilvl w:val="1"/>
                <w:numId w:val="86"/>
              </w:numPr>
              <w:ind w:left="0" w:firstLine="0"/>
              <w:jc w:val="center"/>
              <w:rPr>
                <w:rFonts w:ascii="Calibri" w:eastAsia="Times New Roman" w:hAnsi="Calibri" w:cs="Calibri"/>
                <w:color w:val="auto"/>
                <w:sz w:val="18"/>
                <w:szCs w:val="18"/>
                <w:lang w:eastAsia="pl-PL"/>
              </w:rPr>
            </w:pPr>
          </w:p>
        </w:tc>
        <w:tc>
          <w:tcPr>
            <w:tcW w:w="1804" w:type="dxa"/>
            <w:vAlign w:val="center"/>
          </w:tcPr>
          <w:p w14:paraId="00FFB7E2"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Proekologiczna postawa mieszkańców</w:t>
            </w:r>
          </w:p>
        </w:tc>
        <w:tc>
          <w:tcPr>
            <w:tcW w:w="1507" w:type="dxa"/>
            <w:vAlign w:val="center"/>
          </w:tcPr>
          <w:p w14:paraId="6D3E0BE7"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auto"/>
                <w:sz w:val="18"/>
                <w:szCs w:val="18"/>
              </w:rPr>
            </w:pPr>
            <w:r w:rsidRPr="0062347E">
              <w:rPr>
                <w:rFonts w:ascii="Calibri" w:hAnsi="Calibri" w:cs="Calibri"/>
                <w:sz w:val="18"/>
                <w:szCs w:val="18"/>
                <w:lang w:eastAsia="pl-PL"/>
              </w:rPr>
              <w:t>Urząd Miejski w Tarnogrodzie</w:t>
            </w:r>
          </w:p>
        </w:tc>
        <w:tc>
          <w:tcPr>
            <w:tcW w:w="1643" w:type="dxa"/>
            <w:vAlign w:val="center"/>
          </w:tcPr>
          <w:p w14:paraId="005B7C9B"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50C803AD"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2441D4A0"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1,4,6</w:t>
            </w:r>
          </w:p>
        </w:tc>
        <w:tc>
          <w:tcPr>
            <w:tcW w:w="1915" w:type="dxa"/>
            <w:vAlign w:val="center"/>
          </w:tcPr>
          <w:p w14:paraId="0C86B8A6"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Niska świadomość mieszkańców, zły stan środowiska</w:t>
            </w:r>
          </w:p>
        </w:tc>
        <w:tc>
          <w:tcPr>
            <w:tcW w:w="4711" w:type="dxa"/>
            <w:vAlign w:val="center"/>
          </w:tcPr>
          <w:p w14:paraId="27666676" w14:textId="6026A701"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Projekt obejmuje organizację cyklicznych spotkań promocyjno-informacyjnych prowadzonych przez doradcę ekologicznego, na których przedstawione zostaną zarówno przyczyny jak i skutki zmian klimatu oraz propozycje działań im zapobiegających lub minimalizujących.</w:t>
            </w:r>
            <w:r>
              <w:rPr>
                <w:rFonts w:ascii="Calibri" w:hAnsi="Calibri" w:cs="Calibri"/>
                <w:sz w:val="18"/>
                <w:szCs w:val="18"/>
                <w:lang w:eastAsia="pl-PL"/>
              </w:rPr>
              <w:t xml:space="preserve"> Zadanie zawarto w gminnym programie rewitalizacji dla Gminy Tarnogród na lata 2024-2030.</w:t>
            </w:r>
          </w:p>
        </w:tc>
        <w:tc>
          <w:tcPr>
            <w:tcW w:w="1710" w:type="dxa"/>
            <w:vAlign w:val="center"/>
          </w:tcPr>
          <w:p w14:paraId="1E759283" w14:textId="77777777" w:rsidR="00C80352" w:rsidRPr="003C4FAB"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C80352" w:rsidRPr="0062347E" w14:paraId="6540C81C" w14:textId="77777777" w:rsidTr="009F3A89">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6B0F581C" w14:textId="77777777" w:rsidR="00C80352" w:rsidRPr="0062347E" w:rsidRDefault="00C80352" w:rsidP="00C80352">
            <w:pPr>
              <w:pStyle w:val="Akapitzlist"/>
              <w:widowControl w:val="0"/>
              <w:numPr>
                <w:ilvl w:val="1"/>
                <w:numId w:val="86"/>
              </w:numPr>
              <w:ind w:left="0" w:firstLine="0"/>
              <w:jc w:val="center"/>
              <w:rPr>
                <w:rFonts w:ascii="Calibri" w:eastAsia="Times New Roman" w:hAnsi="Calibri" w:cs="Calibri"/>
                <w:color w:val="auto"/>
                <w:sz w:val="18"/>
                <w:szCs w:val="18"/>
                <w:lang w:eastAsia="pl-PL"/>
              </w:rPr>
            </w:pPr>
          </w:p>
        </w:tc>
        <w:tc>
          <w:tcPr>
            <w:tcW w:w="1804" w:type="dxa"/>
            <w:vAlign w:val="center"/>
          </w:tcPr>
          <w:p w14:paraId="46B409C8"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Lekcje ekologiczne dla dzieci</w:t>
            </w:r>
          </w:p>
        </w:tc>
        <w:tc>
          <w:tcPr>
            <w:tcW w:w="1507" w:type="dxa"/>
            <w:vAlign w:val="center"/>
          </w:tcPr>
          <w:p w14:paraId="03E80ECF"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auto"/>
                <w:sz w:val="18"/>
                <w:szCs w:val="18"/>
              </w:rPr>
            </w:pPr>
            <w:r w:rsidRPr="0062347E">
              <w:rPr>
                <w:rFonts w:ascii="Calibri" w:hAnsi="Calibri" w:cs="Calibri"/>
                <w:sz w:val="18"/>
                <w:szCs w:val="18"/>
                <w:lang w:eastAsia="pl-PL"/>
              </w:rPr>
              <w:t xml:space="preserve">Urząd Miejski w Tarnogrodzie, </w:t>
            </w:r>
            <w:r w:rsidRPr="0062347E">
              <w:rPr>
                <w:rFonts w:ascii="Calibri" w:eastAsia="Times New Roman" w:hAnsi="Calibri" w:cs="Calibri"/>
                <w:color w:val="auto"/>
                <w:sz w:val="18"/>
                <w:szCs w:val="18"/>
                <w:lang w:eastAsia="pl-PL"/>
              </w:rPr>
              <w:t>jednostki oświatowe i inne jednostki odpowiadające za edukacje na terenie miasta</w:t>
            </w:r>
          </w:p>
        </w:tc>
        <w:tc>
          <w:tcPr>
            <w:tcW w:w="1643" w:type="dxa"/>
            <w:vAlign w:val="center"/>
          </w:tcPr>
          <w:p w14:paraId="788CC3CF"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4B40C745"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0F2991A3"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1,4,6</w:t>
            </w:r>
          </w:p>
        </w:tc>
        <w:tc>
          <w:tcPr>
            <w:tcW w:w="1915" w:type="dxa"/>
            <w:vAlign w:val="center"/>
          </w:tcPr>
          <w:p w14:paraId="48C4DF73"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Niska świadomość mieszkańców, zły stan środowiska</w:t>
            </w:r>
          </w:p>
        </w:tc>
        <w:tc>
          <w:tcPr>
            <w:tcW w:w="4711" w:type="dxa"/>
            <w:vAlign w:val="center"/>
          </w:tcPr>
          <w:p w14:paraId="43BD1253" w14:textId="2997A0E0"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W ramach zadania przewiduje się organizację lekcji ekologicznych dla uczniów, w ramach zajęć szkolnych lub w czasie pozaszkolnym. Edukacja kładziona na osoby w wieku młodym skutkować będzie wykształceniem odpowiednich postaw na wczesnym etapie życia, co spowoduje utworzenie w przyszłości społeczeństwa odpowiedzialnego.</w:t>
            </w:r>
          </w:p>
        </w:tc>
        <w:tc>
          <w:tcPr>
            <w:tcW w:w="1710" w:type="dxa"/>
            <w:vAlign w:val="center"/>
          </w:tcPr>
          <w:p w14:paraId="4774C1EF" w14:textId="77777777" w:rsidR="00C80352" w:rsidRPr="003C4FAB"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C80352" w:rsidRPr="0062347E" w14:paraId="29806FA0" w14:textId="77777777" w:rsidTr="009F3A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0149D5A8" w14:textId="77777777" w:rsidR="00C80352" w:rsidRPr="0062347E" w:rsidRDefault="00C80352" w:rsidP="00C80352">
            <w:pPr>
              <w:pStyle w:val="Akapitzlist"/>
              <w:widowControl w:val="0"/>
              <w:numPr>
                <w:ilvl w:val="1"/>
                <w:numId w:val="86"/>
              </w:numPr>
              <w:ind w:left="0" w:firstLine="0"/>
              <w:jc w:val="center"/>
              <w:rPr>
                <w:rFonts w:ascii="Calibri" w:eastAsia="Times New Roman" w:hAnsi="Calibri" w:cs="Calibri"/>
                <w:color w:val="auto"/>
                <w:sz w:val="18"/>
                <w:szCs w:val="18"/>
                <w:lang w:eastAsia="pl-PL"/>
              </w:rPr>
            </w:pPr>
          </w:p>
        </w:tc>
        <w:tc>
          <w:tcPr>
            <w:tcW w:w="1804" w:type="dxa"/>
            <w:vAlign w:val="center"/>
          </w:tcPr>
          <w:p w14:paraId="08964EB3"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Kampania informacyjna skierowana do przedsiębiorców</w:t>
            </w:r>
          </w:p>
        </w:tc>
        <w:tc>
          <w:tcPr>
            <w:tcW w:w="1507" w:type="dxa"/>
            <w:vAlign w:val="center"/>
          </w:tcPr>
          <w:p w14:paraId="0955D324"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 xml:space="preserve">Urząd Miejski w Tarnogrodzie, Tarnogrodzki Zakład Komunalny Sp. z </w:t>
            </w:r>
            <w:r w:rsidRPr="0062347E">
              <w:rPr>
                <w:rFonts w:ascii="Calibri" w:hAnsi="Calibri" w:cs="Calibri"/>
                <w:sz w:val="18"/>
                <w:szCs w:val="18"/>
                <w:lang w:eastAsia="pl-PL"/>
              </w:rPr>
              <w:lastRenderedPageBreak/>
              <w:t>o.o.</w:t>
            </w:r>
          </w:p>
        </w:tc>
        <w:tc>
          <w:tcPr>
            <w:tcW w:w="1643" w:type="dxa"/>
            <w:vAlign w:val="center"/>
          </w:tcPr>
          <w:p w14:paraId="3C91CE34"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lastRenderedPageBreak/>
              <w:t>Długoterminowe, ciągłe</w:t>
            </w:r>
          </w:p>
        </w:tc>
        <w:tc>
          <w:tcPr>
            <w:tcW w:w="963" w:type="dxa"/>
            <w:vAlign w:val="center"/>
          </w:tcPr>
          <w:p w14:paraId="40A072FA"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6667A6F4"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1,4,6</w:t>
            </w:r>
          </w:p>
        </w:tc>
        <w:tc>
          <w:tcPr>
            <w:tcW w:w="1915" w:type="dxa"/>
            <w:vAlign w:val="center"/>
          </w:tcPr>
          <w:p w14:paraId="317CB915"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Niska świadomość mieszkańców, zły stan środowiska</w:t>
            </w:r>
          </w:p>
        </w:tc>
        <w:tc>
          <w:tcPr>
            <w:tcW w:w="4711" w:type="dxa"/>
            <w:vAlign w:val="center"/>
          </w:tcPr>
          <w:p w14:paraId="18D51753" w14:textId="5F01D9CB"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 xml:space="preserve">Efektem przeprowadzonego działania będzie włączenie właścicieli przedsiębiorstw w zadania adaptacyjne i mitygacyjne. Zakres powinien obejmować potrzeby: </w:t>
            </w:r>
            <w:r w:rsidRPr="0062347E">
              <w:rPr>
                <w:rFonts w:ascii="Calibri" w:eastAsia="Times New Roman" w:hAnsi="Calibri" w:cs="Calibri"/>
                <w:color w:val="auto"/>
                <w:sz w:val="18"/>
                <w:szCs w:val="18"/>
                <w:lang w:eastAsia="pl-PL"/>
              </w:rPr>
              <w:t xml:space="preserve">oszczędzania wody i energii, właściwej gospodarki wodno-ściekowej, wdrażania rozwiązań z zakresu gospodarki o </w:t>
            </w:r>
            <w:r w:rsidRPr="0062347E">
              <w:rPr>
                <w:rFonts w:ascii="Calibri" w:eastAsia="Times New Roman" w:hAnsi="Calibri" w:cs="Calibri"/>
                <w:color w:val="auto"/>
                <w:sz w:val="18"/>
                <w:szCs w:val="18"/>
                <w:lang w:eastAsia="pl-PL"/>
              </w:rPr>
              <w:lastRenderedPageBreak/>
              <w:t>obiegu zamkniętym oraz zmniejszenia ilości odpadów.</w:t>
            </w:r>
          </w:p>
        </w:tc>
        <w:tc>
          <w:tcPr>
            <w:tcW w:w="1710" w:type="dxa"/>
            <w:vAlign w:val="center"/>
          </w:tcPr>
          <w:p w14:paraId="41EC8393" w14:textId="77777777" w:rsidR="00C80352" w:rsidRPr="003C4FAB"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lastRenderedPageBreak/>
              <w:t>NIE</w:t>
            </w:r>
          </w:p>
        </w:tc>
      </w:tr>
      <w:tr w:rsidR="00C80352" w:rsidRPr="0062347E" w14:paraId="6F367A8F" w14:textId="77777777" w:rsidTr="009F3A89">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3F472311" w14:textId="77777777" w:rsidR="00C80352" w:rsidRPr="0062347E" w:rsidRDefault="00C80352" w:rsidP="00C80352">
            <w:pPr>
              <w:pStyle w:val="Akapitzlist"/>
              <w:widowControl w:val="0"/>
              <w:numPr>
                <w:ilvl w:val="1"/>
                <w:numId w:val="86"/>
              </w:numPr>
              <w:ind w:left="0" w:firstLine="0"/>
              <w:jc w:val="center"/>
              <w:rPr>
                <w:rFonts w:ascii="Calibri" w:eastAsia="Times New Roman" w:hAnsi="Calibri" w:cs="Calibri"/>
                <w:color w:val="auto"/>
                <w:sz w:val="18"/>
                <w:szCs w:val="18"/>
                <w:lang w:eastAsia="pl-PL"/>
              </w:rPr>
            </w:pPr>
          </w:p>
        </w:tc>
        <w:tc>
          <w:tcPr>
            <w:tcW w:w="1804" w:type="dxa"/>
            <w:vAlign w:val="center"/>
          </w:tcPr>
          <w:p w14:paraId="27192A21"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Pokazy filmów o tematyce ekologicznej</w:t>
            </w:r>
          </w:p>
        </w:tc>
        <w:tc>
          <w:tcPr>
            <w:tcW w:w="1507" w:type="dxa"/>
            <w:vAlign w:val="center"/>
          </w:tcPr>
          <w:p w14:paraId="0B71FD7F"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auto"/>
                <w:sz w:val="18"/>
                <w:szCs w:val="18"/>
              </w:rPr>
            </w:pPr>
            <w:r w:rsidRPr="0062347E">
              <w:rPr>
                <w:rFonts w:ascii="Calibri" w:hAnsi="Calibri" w:cs="Calibri"/>
                <w:sz w:val="18"/>
                <w:szCs w:val="18"/>
                <w:lang w:eastAsia="pl-PL"/>
              </w:rPr>
              <w:t>Urząd Miejski w Tarnogrodzie, Tarnogrodzki Ośrodek Kultury</w:t>
            </w:r>
          </w:p>
        </w:tc>
        <w:tc>
          <w:tcPr>
            <w:tcW w:w="1643" w:type="dxa"/>
            <w:vAlign w:val="center"/>
          </w:tcPr>
          <w:p w14:paraId="2F16ABE2"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13CCC02A"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30F4D48A"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1,4,6</w:t>
            </w:r>
          </w:p>
        </w:tc>
        <w:tc>
          <w:tcPr>
            <w:tcW w:w="1915" w:type="dxa"/>
            <w:vAlign w:val="center"/>
          </w:tcPr>
          <w:p w14:paraId="3B8A7E56"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Niska świadomość mieszkańców, zły stan środowiska</w:t>
            </w:r>
          </w:p>
        </w:tc>
        <w:tc>
          <w:tcPr>
            <w:tcW w:w="4711" w:type="dxa"/>
            <w:vAlign w:val="center"/>
          </w:tcPr>
          <w:p w14:paraId="4B1D78AA" w14:textId="77B47A49"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Realizacja zadania obejmuje zorganizowanie pokazów filmów poruszających tematykę ekologiczną połączon</w:t>
            </w:r>
            <w:r>
              <w:rPr>
                <w:rFonts w:ascii="Calibri" w:hAnsi="Calibri" w:cs="Calibri"/>
                <w:sz w:val="18"/>
                <w:szCs w:val="18"/>
                <w:lang w:eastAsia="pl-PL"/>
              </w:rPr>
              <w:t>ych</w:t>
            </w:r>
            <w:r w:rsidRPr="0062347E">
              <w:rPr>
                <w:rFonts w:ascii="Calibri" w:hAnsi="Calibri" w:cs="Calibri"/>
                <w:sz w:val="18"/>
                <w:szCs w:val="18"/>
                <w:lang w:eastAsia="pl-PL"/>
              </w:rPr>
              <w:t xml:space="preserve"> z dyskusją pomiędzy uczestnikami pokazu. Efektem będzie zwiększenie świadomości mieszkańców, otwarcie perspektyw oraz wzbudzenie wrażliwości.</w:t>
            </w:r>
          </w:p>
        </w:tc>
        <w:tc>
          <w:tcPr>
            <w:tcW w:w="1710" w:type="dxa"/>
            <w:vAlign w:val="center"/>
          </w:tcPr>
          <w:p w14:paraId="44AB0047" w14:textId="77777777" w:rsidR="00C80352" w:rsidRPr="003C4FAB"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C80352" w:rsidRPr="0062347E" w14:paraId="545FBF59" w14:textId="77777777" w:rsidTr="009F3A8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1808A6D4" w14:textId="77777777" w:rsidR="00C80352" w:rsidRPr="0062347E" w:rsidRDefault="00C80352" w:rsidP="00C80352">
            <w:pPr>
              <w:pStyle w:val="Akapitzlist"/>
              <w:widowControl w:val="0"/>
              <w:numPr>
                <w:ilvl w:val="1"/>
                <w:numId w:val="86"/>
              </w:numPr>
              <w:ind w:left="0" w:firstLine="0"/>
              <w:jc w:val="center"/>
              <w:rPr>
                <w:rFonts w:ascii="Calibri" w:hAnsi="Calibri" w:cs="Calibri"/>
                <w:sz w:val="18"/>
                <w:szCs w:val="18"/>
                <w:lang w:eastAsia="pl-PL"/>
              </w:rPr>
            </w:pPr>
          </w:p>
        </w:tc>
        <w:tc>
          <w:tcPr>
            <w:tcW w:w="1804" w:type="dxa"/>
            <w:vAlign w:val="center"/>
          </w:tcPr>
          <w:p w14:paraId="1EF4D5A1"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Spotkania dyskusyjne nad książkami o tematyce ekologicznej</w:t>
            </w:r>
          </w:p>
        </w:tc>
        <w:tc>
          <w:tcPr>
            <w:tcW w:w="1507" w:type="dxa"/>
            <w:vAlign w:val="center"/>
          </w:tcPr>
          <w:p w14:paraId="31B44753"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 Tarnogrodzki Ośrodek Kultury, Miejska Biblioteka Publiczna w Tarnogrodzie</w:t>
            </w:r>
          </w:p>
        </w:tc>
        <w:tc>
          <w:tcPr>
            <w:tcW w:w="1643" w:type="dxa"/>
            <w:vAlign w:val="center"/>
          </w:tcPr>
          <w:p w14:paraId="6C20F9B7"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4818D505"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7BB0FE40"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1,4,6</w:t>
            </w:r>
          </w:p>
        </w:tc>
        <w:tc>
          <w:tcPr>
            <w:tcW w:w="1915" w:type="dxa"/>
            <w:vAlign w:val="center"/>
          </w:tcPr>
          <w:p w14:paraId="5016CA7F"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Niska świadomość mieszkańców, zły stan środowiska</w:t>
            </w:r>
          </w:p>
        </w:tc>
        <w:tc>
          <w:tcPr>
            <w:tcW w:w="4711" w:type="dxa"/>
            <w:vAlign w:val="center"/>
          </w:tcPr>
          <w:p w14:paraId="15633DAF"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Realizacja zadania obejmuje zorganizowanie spotkań dyskusyjnych nad książkami poruszającymi tematykę ekologiczną. Efektem będzie zwiększenie świadomości mieszkańców, otwarcie perspektyw oraz wzbudzenie wrażliwości.</w:t>
            </w:r>
          </w:p>
        </w:tc>
        <w:tc>
          <w:tcPr>
            <w:tcW w:w="1710" w:type="dxa"/>
            <w:vAlign w:val="center"/>
          </w:tcPr>
          <w:p w14:paraId="1B422A5C" w14:textId="77777777" w:rsidR="00C80352" w:rsidRPr="003C4FAB"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C80352" w:rsidRPr="0062347E" w14:paraId="63BD31F2" w14:textId="77777777" w:rsidTr="009F3A89">
        <w:trPr>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783C8E73" w14:textId="77777777" w:rsidR="00C80352" w:rsidRPr="0062347E" w:rsidRDefault="00C80352" w:rsidP="00C80352">
            <w:pPr>
              <w:pStyle w:val="Akapitzlist"/>
              <w:widowControl w:val="0"/>
              <w:numPr>
                <w:ilvl w:val="1"/>
                <w:numId w:val="86"/>
              </w:numPr>
              <w:ind w:left="0" w:firstLine="0"/>
              <w:jc w:val="center"/>
              <w:rPr>
                <w:rFonts w:ascii="Calibri" w:eastAsia="Times New Roman" w:hAnsi="Calibri" w:cs="Calibri"/>
                <w:color w:val="auto"/>
                <w:sz w:val="18"/>
                <w:szCs w:val="18"/>
                <w:lang w:eastAsia="pl-PL"/>
              </w:rPr>
            </w:pPr>
          </w:p>
        </w:tc>
        <w:tc>
          <w:tcPr>
            <w:tcW w:w="1804" w:type="dxa"/>
            <w:vAlign w:val="center"/>
          </w:tcPr>
          <w:p w14:paraId="4631B8CE"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Czytanie dla dzieci książek o tematyce ekologicznej</w:t>
            </w:r>
          </w:p>
        </w:tc>
        <w:tc>
          <w:tcPr>
            <w:tcW w:w="1507" w:type="dxa"/>
            <w:vAlign w:val="center"/>
          </w:tcPr>
          <w:p w14:paraId="7C8B8761"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 Tarnogrodzki Ośrodek Kultury, Miejska Biblioteka Publiczna w Tarnogrodzie</w:t>
            </w:r>
          </w:p>
        </w:tc>
        <w:tc>
          <w:tcPr>
            <w:tcW w:w="1643" w:type="dxa"/>
            <w:vAlign w:val="center"/>
          </w:tcPr>
          <w:p w14:paraId="0FD59E8F"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1130936B"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0F941D95"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1,4,6</w:t>
            </w:r>
          </w:p>
        </w:tc>
        <w:tc>
          <w:tcPr>
            <w:tcW w:w="1915" w:type="dxa"/>
            <w:vAlign w:val="center"/>
          </w:tcPr>
          <w:p w14:paraId="403F88F6"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Niska świadomość mieszkańców, zły stan środowiska</w:t>
            </w:r>
          </w:p>
        </w:tc>
        <w:tc>
          <w:tcPr>
            <w:tcW w:w="4711" w:type="dxa"/>
            <w:vAlign w:val="center"/>
          </w:tcPr>
          <w:p w14:paraId="6076292C" w14:textId="390378C8"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Realizacja zadania obejmuje organizację spotkań dla dzieci obejmujących czytanie książek o tematyce ekologicznej. Efektem będzie zwiększenie świadomości mieszkańców, otwarcie perspektyw oraz wzbudzenie wrażliwości. Edukacja kładziona na osoby w wieku młodym skutkować będzie wykształceniem odpowiednich postaw na wczesnym etapie życia, co spowoduje utworzenie w przyszłości społeczeństwa odpowiedzialnego.</w:t>
            </w:r>
          </w:p>
        </w:tc>
        <w:tc>
          <w:tcPr>
            <w:tcW w:w="1710" w:type="dxa"/>
            <w:vAlign w:val="center"/>
          </w:tcPr>
          <w:p w14:paraId="301654BA" w14:textId="77777777" w:rsidR="00C80352" w:rsidRPr="003C4FAB"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C80352" w:rsidRPr="0062347E" w14:paraId="04D4CB56" w14:textId="77777777" w:rsidTr="009F3A89">
        <w:trPr>
          <w:cnfStyle w:val="000000100000" w:firstRow="0" w:lastRow="0" w:firstColumn="0" w:lastColumn="0" w:oddVBand="0" w:evenVBand="0" w:oddHBand="1" w:evenHBand="0" w:firstRowFirstColumn="0" w:firstRowLastColumn="0" w:lastRowFirstColumn="0" w:lastRowLastColumn="0"/>
          <w:trHeight w:val="790"/>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6C31EA9A" w14:textId="77777777" w:rsidR="00C80352" w:rsidRPr="0062347E" w:rsidRDefault="00C80352" w:rsidP="00C80352">
            <w:pPr>
              <w:pStyle w:val="Akapitzlist"/>
              <w:widowControl w:val="0"/>
              <w:numPr>
                <w:ilvl w:val="1"/>
                <w:numId w:val="86"/>
              </w:numPr>
              <w:ind w:left="0" w:firstLine="0"/>
              <w:jc w:val="center"/>
              <w:rPr>
                <w:rFonts w:ascii="Calibri" w:eastAsia="Times New Roman" w:hAnsi="Calibri" w:cs="Calibri"/>
                <w:color w:val="auto"/>
                <w:sz w:val="18"/>
                <w:szCs w:val="18"/>
                <w:lang w:eastAsia="pl-PL"/>
              </w:rPr>
            </w:pPr>
          </w:p>
        </w:tc>
        <w:tc>
          <w:tcPr>
            <w:tcW w:w="1804" w:type="dxa"/>
            <w:vAlign w:val="center"/>
          </w:tcPr>
          <w:p w14:paraId="5202000B"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Spektakle teatralne przeplatające tematy ekologiczne</w:t>
            </w:r>
          </w:p>
        </w:tc>
        <w:tc>
          <w:tcPr>
            <w:tcW w:w="1507" w:type="dxa"/>
            <w:vAlign w:val="center"/>
          </w:tcPr>
          <w:p w14:paraId="31C887A1"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 Tarnogrodzki Ośrodek Kultury</w:t>
            </w:r>
          </w:p>
        </w:tc>
        <w:tc>
          <w:tcPr>
            <w:tcW w:w="1643" w:type="dxa"/>
            <w:vAlign w:val="center"/>
          </w:tcPr>
          <w:p w14:paraId="7507F8F6"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4DE6EE87"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2F597FF2"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1,4,6</w:t>
            </w:r>
          </w:p>
        </w:tc>
        <w:tc>
          <w:tcPr>
            <w:tcW w:w="1915" w:type="dxa"/>
            <w:vAlign w:val="center"/>
          </w:tcPr>
          <w:p w14:paraId="178E24A8"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Niska świadomość mieszkańców, zły stan środowiska</w:t>
            </w:r>
          </w:p>
        </w:tc>
        <w:tc>
          <w:tcPr>
            <w:tcW w:w="4711" w:type="dxa"/>
            <w:vAlign w:val="center"/>
          </w:tcPr>
          <w:p w14:paraId="43210E48" w14:textId="77777777" w:rsidR="00C80352" w:rsidRPr="0062347E"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Miasto realizuje działalność amatorskich pokazów teatralnych, które kultywują lokalną kulturę, zachowują pamięć o zwyczajach oraz promują region. W ramach tej działalności proponuje się również podjęcie tematyki lokalnej przyrody i klimatu, celem edukacji i uwrażliwienia mieszkańców na chęć zachowania tej części dziedzictwa regionu.</w:t>
            </w:r>
          </w:p>
        </w:tc>
        <w:tc>
          <w:tcPr>
            <w:tcW w:w="1710" w:type="dxa"/>
            <w:vAlign w:val="center"/>
          </w:tcPr>
          <w:p w14:paraId="662DC469" w14:textId="77777777" w:rsidR="00C80352" w:rsidRPr="003C4FAB" w:rsidRDefault="00C80352" w:rsidP="00C80352">
            <w:pPr>
              <w:widowControl w:val="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r w:rsidR="00C80352" w:rsidRPr="0062347E" w14:paraId="6036B01E" w14:textId="77777777" w:rsidTr="009F3A89">
        <w:trPr>
          <w:trHeight w:val="454"/>
          <w:jc w:val="center"/>
        </w:trPr>
        <w:tc>
          <w:tcPr>
            <w:cnfStyle w:val="001000000000" w:firstRow="0" w:lastRow="0" w:firstColumn="1" w:lastColumn="0" w:oddVBand="0" w:evenVBand="0" w:oddHBand="0" w:evenHBand="0" w:firstRowFirstColumn="0" w:firstRowLastColumn="0" w:lastRowFirstColumn="0" w:lastRowLastColumn="0"/>
            <w:tcW w:w="525" w:type="dxa"/>
            <w:vAlign w:val="center"/>
          </w:tcPr>
          <w:p w14:paraId="728957E3" w14:textId="77777777" w:rsidR="00C80352" w:rsidRPr="0062347E" w:rsidRDefault="00C80352" w:rsidP="00C80352">
            <w:pPr>
              <w:pStyle w:val="Akapitzlist"/>
              <w:widowControl w:val="0"/>
              <w:numPr>
                <w:ilvl w:val="1"/>
                <w:numId w:val="86"/>
              </w:numPr>
              <w:ind w:left="0" w:firstLine="0"/>
              <w:jc w:val="center"/>
              <w:rPr>
                <w:rFonts w:ascii="Calibri" w:eastAsia="Times New Roman" w:hAnsi="Calibri" w:cs="Calibri"/>
                <w:color w:val="auto"/>
                <w:sz w:val="18"/>
                <w:szCs w:val="18"/>
                <w:lang w:eastAsia="pl-PL"/>
              </w:rPr>
            </w:pPr>
          </w:p>
        </w:tc>
        <w:tc>
          <w:tcPr>
            <w:tcW w:w="1804" w:type="dxa"/>
            <w:vAlign w:val="center"/>
          </w:tcPr>
          <w:p w14:paraId="19FDA1C5"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62347E">
              <w:rPr>
                <w:rFonts w:ascii="Calibri" w:eastAsia="Times New Roman" w:hAnsi="Calibri" w:cs="Calibri"/>
                <w:color w:val="auto"/>
                <w:sz w:val="18"/>
                <w:szCs w:val="18"/>
                <w:lang w:eastAsia="pl-PL"/>
              </w:rPr>
              <w:t>Wspieranie organizacji pozarządowych w działaniach związanych z tematyką ochrony przyrody</w:t>
            </w:r>
          </w:p>
        </w:tc>
        <w:tc>
          <w:tcPr>
            <w:tcW w:w="1507" w:type="dxa"/>
            <w:vAlign w:val="center"/>
          </w:tcPr>
          <w:p w14:paraId="3233B13F"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Urząd Miejski w Tarnogrodzie</w:t>
            </w:r>
          </w:p>
        </w:tc>
        <w:tc>
          <w:tcPr>
            <w:tcW w:w="1643" w:type="dxa"/>
            <w:vAlign w:val="center"/>
          </w:tcPr>
          <w:p w14:paraId="04239DF3"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Długoterminowe, ciągłe</w:t>
            </w:r>
          </w:p>
        </w:tc>
        <w:tc>
          <w:tcPr>
            <w:tcW w:w="963" w:type="dxa"/>
            <w:vAlign w:val="center"/>
          </w:tcPr>
          <w:p w14:paraId="656F2182"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2030</w:t>
            </w:r>
          </w:p>
        </w:tc>
        <w:tc>
          <w:tcPr>
            <w:tcW w:w="1098" w:type="dxa"/>
            <w:vAlign w:val="center"/>
          </w:tcPr>
          <w:p w14:paraId="736554D6"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1,4,6</w:t>
            </w:r>
          </w:p>
        </w:tc>
        <w:tc>
          <w:tcPr>
            <w:tcW w:w="1915" w:type="dxa"/>
            <w:vAlign w:val="center"/>
          </w:tcPr>
          <w:p w14:paraId="11748311"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Niska świadomość mieszkańców, zły stan środowiska</w:t>
            </w:r>
          </w:p>
        </w:tc>
        <w:tc>
          <w:tcPr>
            <w:tcW w:w="4711" w:type="dxa"/>
            <w:vAlign w:val="center"/>
          </w:tcPr>
          <w:p w14:paraId="3DD4D740" w14:textId="77777777" w:rsidR="00C80352" w:rsidRPr="0062347E"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62347E">
              <w:rPr>
                <w:rFonts w:ascii="Calibri" w:hAnsi="Calibri" w:cs="Calibri"/>
                <w:sz w:val="18"/>
                <w:szCs w:val="18"/>
                <w:lang w:eastAsia="pl-PL"/>
              </w:rPr>
              <w:t>Działanie przewidziane jest zgodnie z Uchwałą Nr LX/402/2023 Rady Miejskiej w Tarnogrodzie z dnia 26 października 2023 r. w sprawie uchwalenia programu współpracy Gminy Tarnogród z organizacjami pozarządowymi na 2024 rok. Przewiduje się głównie organizację różnego rodzaju imprez, na które zapraszane będą organizacje związane z ochroną przyrody celem edukacji mieszkańców.</w:t>
            </w:r>
          </w:p>
        </w:tc>
        <w:tc>
          <w:tcPr>
            <w:tcW w:w="1710" w:type="dxa"/>
            <w:vAlign w:val="center"/>
          </w:tcPr>
          <w:p w14:paraId="2952954F" w14:textId="77777777" w:rsidR="00C80352" w:rsidRPr="003C4FAB" w:rsidRDefault="00C80352" w:rsidP="00C80352">
            <w:pPr>
              <w:widowControl w:val="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sz w:val="18"/>
                <w:szCs w:val="18"/>
                <w:lang w:eastAsia="pl-PL"/>
              </w:rPr>
            </w:pPr>
            <w:r w:rsidRPr="003C4FAB">
              <w:rPr>
                <w:rFonts w:ascii="Calibri" w:hAnsi="Calibri" w:cs="Calibri"/>
                <w:sz w:val="18"/>
                <w:szCs w:val="18"/>
                <w:lang w:eastAsia="pl-PL"/>
              </w:rPr>
              <w:t>NIE</w:t>
            </w:r>
          </w:p>
        </w:tc>
      </w:tr>
    </w:tbl>
    <w:bookmarkEnd w:id="269"/>
    <w:p w14:paraId="4E1369F3" w14:textId="2BBA0D1D" w:rsidR="00E833A9" w:rsidRDefault="00704454" w:rsidP="009946BE">
      <w:pPr>
        <w:pStyle w:val="Cytat"/>
      </w:pPr>
      <w:r w:rsidRPr="00655FC7">
        <w:t>Źródło: opracowanie własne</w:t>
      </w:r>
    </w:p>
    <w:p w14:paraId="1B95C982" w14:textId="77777777" w:rsidR="00E833A9" w:rsidRDefault="00E833A9">
      <w:pPr>
        <w:spacing w:after="200"/>
        <w:ind w:firstLine="0"/>
        <w:jc w:val="left"/>
        <w:rPr>
          <w:rFonts w:cstheme="minorHAnsi"/>
          <w:color w:val="auto"/>
          <w:sz w:val="20"/>
          <w:szCs w:val="20"/>
          <w:lang w:eastAsia="ar-SA"/>
        </w:rPr>
      </w:pPr>
      <w:r>
        <w:br w:type="page"/>
      </w:r>
    </w:p>
    <w:p w14:paraId="7DD42C71" w14:textId="4982E032" w:rsidR="00E833A9" w:rsidRPr="00E833A9" w:rsidRDefault="00E833A9" w:rsidP="00E833A9">
      <w:pPr>
        <w:pStyle w:val="Styltabela"/>
      </w:pPr>
      <w:bookmarkStart w:id="274" w:name="_Toc178846338"/>
      <w:r w:rsidRPr="00E833A9">
        <w:lastRenderedPageBreak/>
        <w:t xml:space="preserve">Tabela </w:t>
      </w:r>
      <w:r>
        <w:fldChar w:fldCharType="begin"/>
      </w:r>
      <w:r>
        <w:instrText xml:space="preserve"> SEQ Tabela \* ARABIC </w:instrText>
      </w:r>
      <w:r>
        <w:fldChar w:fldCharType="separate"/>
      </w:r>
      <w:r w:rsidR="00A654D8">
        <w:rPr>
          <w:noProof/>
        </w:rPr>
        <w:t>32</w:t>
      </w:r>
      <w:r>
        <w:rPr>
          <w:noProof/>
        </w:rPr>
        <w:fldChar w:fldCharType="end"/>
      </w:r>
      <w:r w:rsidRPr="00E833A9">
        <w:t>. Matryca oceny zadań adaptacyjnych.</w:t>
      </w:r>
      <w:bookmarkEnd w:id="274"/>
    </w:p>
    <w:tbl>
      <w:tblPr>
        <w:tblStyle w:val="Tabelalisty4akcent61"/>
        <w:tblW w:w="14930"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firstRow="1" w:lastRow="0" w:firstColumn="1" w:lastColumn="0" w:noHBand="0" w:noVBand="1"/>
      </w:tblPr>
      <w:tblGrid>
        <w:gridCol w:w="586"/>
        <w:gridCol w:w="7540"/>
        <w:gridCol w:w="567"/>
        <w:gridCol w:w="567"/>
        <w:gridCol w:w="567"/>
        <w:gridCol w:w="567"/>
        <w:gridCol w:w="567"/>
        <w:gridCol w:w="567"/>
        <w:gridCol w:w="567"/>
        <w:gridCol w:w="567"/>
        <w:gridCol w:w="567"/>
        <w:gridCol w:w="567"/>
        <w:gridCol w:w="567"/>
        <w:gridCol w:w="567"/>
      </w:tblGrid>
      <w:tr w:rsidR="00E833A9" w:rsidRPr="00E833A9" w14:paraId="52908447" w14:textId="77777777" w:rsidTr="00A15A77">
        <w:trPr>
          <w:cnfStyle w:val="100000000000" w:firstRow="1" w:lastRow="0" w:firstColumn="0" w:lastColumn="0" w:oddVBand="0" w:evenVBand="0" w:oddHBand="0" w:evenHBand="0" w:firstRowFirstColumn="0" w:firstRowLastColumn="0" w:lastRowFirstColumn="0" w:lastRowLastColumn="0"/>
          <w:trHeight w:val="1665"/>
          <w:tblHeader/>
        </w:trPr>
        <w:tc>
          <w:tcPr>
            <w:cnfStyle w:val="001000000000" w:firstRow="0" w:lastRow="0" w:firstColumn="1" w:lastColumn="0" w:oddVBand="0" w:evenVBand="0" w:oddHBand="0" w:evenHBand="0" w:firstRowFirstColumn="0" w:firstRowLastColumn="0" w:lastRowFirstColumn="0" w:lastRowLastColumn="0"/>
            <w:tcW w:w="586" w:type="dxa"/>
            <w:tcBorders>
              <w:top w:val="single" w:sz="4" w:space="0" w:color="auto"/>
              <w:left w:val="single" w:sz="4" w:space="0" w:color="auto"/>
              <w:bottom w:val="single" w:sz="4" w:space="0" w:color="auto"/>
            </w:tcBorders>
            <w:shd w:val="clear" w:color="auto" w:fill="E6E6E6"/>
            <w:vAlign w:val="center"/>
          </w:tcPr>
          <w:p w14:paraId="2FD08E48" w14:textId="77777777" w:rsidR="00E833A9" w:rsidRPr="00E833A9" w:rsidRDefault="00E833A9" w:rsidP="00E833A9">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Nr</w:t>
            </w:r>
          </w:p>
        </w:tc>
        <w:tc>
          <w:tcPr>
            <w:tcW w:w="7540" w:type="dxa"/>
            <w:tcBorders>
              <w:top w:val="single" w:sz="4" w:space="0" w:color="auto"/>
              <w:bottom w:val="single" w:sz="4" w:space="0" w:color="auto"/>
            </w:tcBorders>
            <w:shd w:val="clear" w:color="auto" w:fill="E6E6E6"/>
            <w:vAlign w:val="center"/>
          </w:tcPr>
          <w:p w14:paraId="6EEF3533" w14:textId="77777777" w:rsidR="00E833A9" w:rsidRPr="00E833A9" w:rsidRDefault="00E833A9" w:rsidP="00E833A9">
            <w:pPr>
              <w:ind w:firstLine="0"/>
              <w:jc w:val="center"/>
              <w:cnfStyle w:val="100000000000" w:firstRow="1"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Nazwa</w:t>
            </w:r>
          </w:p>
        </w:tc>
        <w:tc>
          <w:tcPr>
            <w:tcW w:w="567" w:type="dxa"/>
            <w:tcBorders>
              <w:top w:val="single" w:sz="4" w:space="0" w:color="auto"/>
              <w:bottom w:val="single" w:sz="4" w:space="0" w:color="auto"/>
            </w:tcBorders>
            <w:shd w:val="clear" w:color="auto" w:fill="E6E6E6"/>
            <w:textDirection w:val="btLr"/>
            <w:vAlign w:val="center"/>
          </w:tcPr>
          <w:p w14:paraId="69D8C595" w14:textId="77777777" w:rsidR="00E833A9" w:rsidRPr="00E833A9" w:rsidRDefault="00E833A9" w:rsidP="00E833A9">
            <w:pPr>
              <w:ind w:firstLine="0"/>
              <w:jc w:val="left"/>
              <w:cnfStyle w:val="100000000000" w:firstRow="1"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Efektywność</w:t>
            </w:r>
          </w:p>
        </w:tc>
        <w:tc>
          <w:tcPr>
            <w:tcW w:w="567" w:type="dxa"/>
            <w:tcBorders>
              <w:top w:val="single" w:sz="4" w:space="0" w:color="auto"/>
              <w:bottom w:val="single" w:sz="4" w:space="0" w:color="auto"/>
            </w:tcBorders>
            <w:shd w:val="clear" w:color="auto" w:fill="E6E6E6"/>
            <w:textDirection w:val="btLr"/>
            <w:vAlign w:val="center"/>
          </w:tcPr>
          <w:p w14:paraId="3C20E03D" w14:textId="77777777" w:rsidR="00E833A9" w:rsidRPr="00E833A9" w:rsidRDefault="00E833A9" w:rsidP="00E833A9">
            <w:pPr>
              <w:ind w:firstLine="0"/>
              <w:jc w:val="left"/>
              <w:cnfStyle w:val="100000000000" w:firstRow="1"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Solidność (niezawodność)</w:t>
            </w:r>
          </w:p>
        </w:tc>
        <w:tc>
          <w:tcPr>
            <w:tcW w:w="567" w:type="dxa"/>
            <w:tcBorders>
              <w:top w:val="single" w:sz="4" w:space="0" w:color="auto"/>
              <w:bottom w:val="single" w:sz="4" w:space="0" w:color="auto"/>
            </w:tcBorders>
            <w:shd w:val="clear" w:color="auto" w:fill="E6E6E6"/>
            <w:textDirection w:val="btLr"/>
            <w:vAlign w:val="center"/>
          </w:tcPr>
          <w:p w14:paraId="54474858" w14:textId="77777777" w:rsidR="00E833A9" w:rsidRPr="00E833A9" w:rsidRDefault="00E833A9" w:rsidP="00E833A9">
            <w:pPr>
              <w:ind w:firstLine="0"/>
              <w:jc w:val="left"/>
              <w:cnfStyle w:val="100000000000" w:firstRow="1"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Elastyczność</w:t>
            </w:r>
          </w:p>
        </w:tc>
        <w:tc>
          <w:tcPr>
            <w:tcW w:w="567" w:type="dxa"/>
            <w:tcBorders>
              <w:top w:val="single" w:sz="4" w:space="0" w:color="auto"/>
              <w:bottom w:val="single" w:sz="4" w:space="0" w:color="auto"/>
            </w:tcBorders>
            <w:shd w:val="clear" w:color="auto" w:fill="E6E6E6"/>
            <w:textDirection w:val="btLr"/>
            <w:vAlign w:val="center"/>
          </w:tcPr>
          <w:p w14:paraId="4DAF3D0C" w14:textId="77777777" w:rsidR="00E833A9" w:rsidRPr="00E833A9" w:rsidRDefault="00E833A9" w:rsidP="00E833A9">
            <w:pPr>
              <w:ind w:firstLine="0"/>
              <w:jc w:val="left"/>
              <w:cnfStyle w:val="100000000000" w:firstRow="1"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Skuteczność</w:t>
            </w:r>
          </w:p>
        </w:tc>
        <w:tc>
          <w:tcPr>
            <w:tcW w:w="567" w:type="dxa"/>
            <w:tcBorders>
              <w:top w:val="single" w:sz="4" w:space="0" w:color="auto"/>
              <w:bottom w:val="single" w:sz="4" w:space="0" w:color="auto"/>
            </w:tcBorders>
            <w:shd w:val="clear" w:color="auto" w:fill="E6E6E6"/>
            <w:textDirection w:val="btLr"/>
            <w:vAlign w:val="center"/>
          </w:tcPr>
          <w:p w14:paraId="56C5D079" w14:textId="77777777" w:rsidR="00E833A9" w:rsidRPr="00E833A9" w:rsidRDefault="00E833A9" w:rsidP="00E833A9">
            <w:pPr>
              <w:ind w:firstLine="0"/>
              <w:jc w:val="left"/>
              <w:cnfStyle w:val="100000000000" w:firstRow="1"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Operatywność</w:t>
            </w:r>
          </w:p>
        </w:tc>
        <w:tc>
          <w:tcPr>
            <w:tcW w:w="567" w:type="dxa"/>
            <w:tcBorders>
              <w:top w:val="single" w:sz="4" w:space="0" w:color="auto"/>
              <w:bottom w:val="single" w:sz="4" w:space="0" w:color="auto"/>
            </w:tcBorders>
            <w:shd w:val="clear" w:color="auto" w:fill="E6E6E6"/>
            <w:textDirection w:val="btLr"/>
            <w:vAlign w:val="center"/>
          </w:tcPr>
          <w:p w14:paraId="7DDB86FF" w14:textId="77777777" w:rsidR="00E833A9" w:rsidRPr="00E833A9" w:rsidRDefault="00E833A9" w:rsidP="00E833A9">
            <w:pPr>
              <w:ind w:firstLine="0"/>
              <w:jc w:val="left"/>
              <w:cnfStyle w:val="100000000000" w:firstRow="1"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Synergia (spójność z innymi celami)</w:t>
            </w:r>
          </w:p>
        </w:tc>
        <w:tc>
          <w:tcPr>
            <w:tcW w:w="567" w:type="dxa"/>
            <w:tcBorders>
              <w:top w:val="single" w:sz="4" w:space="0" w:color="auto"/>
              <w:bottom w:val="single" w:sz="4" w:space="0" w:color="auto"/>
            </w:tcBorders>
            <w:shd w:val="clear" w:color="auto" w:fill="E6E6E6"/>
            <w:textDirection w:val="btLr"/>
            <w:vAlign w:val="center"/>
          </w:tcPr>
          <w:p w14:paraId="69D6EB0E" w14:textId="77777777" w:rsidR="00E833A9" w:rsidRPr="00E833A9" w:rsidRDefault="00E833A9" w:rsidP="00E833A9">
            <w:pPr>
              <w:ind w:firstLine="0"/>
              <w:jc w:val="left"/>
              <w:cnfStyle w:val="100000000000" w:firstRow="1"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Zrównoważenie</w:t>
            </w:r>
          </w:p>
        </w:tc>
        <w:tc>
          <w:tcPr>
            <w:tcW w:w="567" w:type="dxa"/>
            <w:tcBorders>
              <w:top w:val="single" w:sz="4" w:space="0" w:color="auto"/>
              <w:bottom w:val="single" w:sz="4" w:space="0" w:color="auto"/>
            </w:tcBorders>
            <w:shd w:val="clear" w:color="auto" w:fill="E6E6E6"/>
            <w:textDirection w:val="btLr"/>
            <w:vAlign w:val="center"/>
          </w:tcPr>
          <w:p w14:paraId="75047331" w14:textId="77777777" w:rsidR="00E833A9" w:rsidRPr="00E833A9" w:rsidRDefault="00E833A9" w:rsidP="00E833A9">
            <w:pPr>
              <w:ind w:firstLine="0"/>
              <w:jc w:val="left"/>
              <w:cnfStyle w:val="100000000000" w:firstRow="1"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Sprawiedliwość</w:t>
            </w:r>
          </w:p>
        </w:tc>
        <w:tc>
          <w:tcPr>
            <w:tcW w:w="567" w:type="dxa"/>
            <w:tcBorders>
              <w:top w:val="single" w:sz="4" w:space="0" w:color="auto"/>
              <w:bottom w:val="single" w:sz="4" w:space="0" w:color="auto"/>
            </w:tcBorders>
            <w:shd w:val="clear" w:color="auto" w:fill="E6E6E6"/>
            <w:textDirection w:val="btLr"/>
            <w:vAlign w:val="center"/>
          </w:tcPr>
          <w:p w14:paraId="46C40959" w14:textId="77777777" w:rsidR="00E833A9" w:rsidRPr="00E833A9" w:rsidRDefault="00E833A9" w:rsidP="00E833A9">
            <w:pPr>
              <w:ind w:firstLine="0"/>
              <w:jc w:val="left"/>
              <w:cnfStyle w:val="100000000000" w:firstRow="1"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Akceptowalność</w:t>
            </w:r>
          </w:p>
        </w:tc>
        <w:tc>
          <w:tcPr>
            <w:tcW w:w="567" w:type="dxa"/>
            <w:tcBorders>
              <w:top w:val="single" w:sz="4" w:space="0" w:color="auto"/>
              <w:bottom w:val="single" w:sz="4" w:space="0" w:color="auto"/>
            </w:tcBorders>
            <w:shd w:val="clear" w:color="auto" w:fill="E6E6E6"/>
            <w:textDirection w:val="btLr"/>
            <w:vAlign w:val="center"/>
          </w:tcPr>
          <w:p w14:paraId="69A7808F" w14:textId="77777777" w:rsidR="00E833A9" w:rsidRPr="00E833A9" w:rsidRDefault="00E833A9" w:rsidP="00E833A9">
            <w:pPr>
              <w:ind w:firstLine="0"/>
              <w:jc w:val="left"/>
              <w:cnfStyle w:val="100000000000" w:firstRow="1"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Pilność</w:t>
            </w:r>
          </w:p>
        </w:tc>
        <w:tc>
          <w:tcPr>
            <w:tcW w:w="567" w:type="dxa"/>
            <w:tcBorders>
              <w:top w:val="single" w:sz="4" w:space="0" w:color="auto"/>
              <w:bottom w:val="single" w:sz="4" w:space="0" w:color="auto"/>
            </w:tcBorders>
            <w:shd w:val="clear" w:color="auto" w:fill="E6E6E6"/>
            <w:textDirection w:val="btLr"/>
            <w:vAlign w:val="center"/>
          </w:tcPr>
          <w:p w14:paraId="59FBD6FF" w14:textId="77777777" w:rsidR="00E833A9" w:rsidRPr="00E833A9" w:rsidRDefault="00E833A9" w:rsidP="00E833A9">
            <w:pPr>
              <w:ind w:firstLine="0"/>
              <w:jc w:val="left"/>
              <w:cnfStyle w:val="100000000000" w:firstRow="1"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Czas (okres realizacji)</w:t>
            </w:r>
          </w:p>
        </w:tc>
        <w:tc>
          <w:tcPr>
            <w:tcW w:w="567" w:type="dxa"/>
            <w:tcBorders>
              <w:top w:val="single" w:sz="4" w:space="0" w:color="auto"/>
              <w:bottom w:val="single" w:sz="4" w:space="0" w:color="auto"/>
              <w:right w:val="single" w:sz="4" w:space="0" w:color="auto"/>
            </w:tcBorders>
            <w:shd w:val="clear" w:color="auto" w:fill="E6E6E6"/>
            <w:textDirection w:val="btLr"/>
            <w:vAlign w:val="center"/>
          </w:tcPr>
          <w:p w14:paraId="2D73E7CE" w14:textId="77777777" w:rsidR="00E833A9" w:rsidRPr="00E833A9" w:rsidRDefault="00E833A9" w:rsidP="00E833A9">
            <w:pPr>
              <w:ind w:firstLine="0"/>
              <w:jc w:val="left"/>
              <w:cnfStyle w:val="100000000000" w:firstRow="1"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Koszt</w:t>
            </w:r>
          </w:p>
        </w:tc>
      </w:tr>
      <w:tr w:rsidR="00E833A9" w:rsidRPr="00E833A9" w14:paraId="38EEE3A7"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tcBorders>
              <w:top w:val="single" w:sz="4" w:space="0" w:color="auto"/>
            </w:tcBorders>
            <w:shd w:val="clear" w:color="auto" w:fill="FFFFFF"/>
            <w:vAlign w:val="center"/>
          </w:tcPr>
          <w:p w14:paraId="0D2F8BB6" w14:textId="77777777" w:rsidR="00E833A9" w:rsidRPr="00E833A9" w:rsidRDefault="00E833A9" w:rsidP="00E833A9">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1.1.</w:t>
            </w:r>
          </w:p>
        </w:tc>
        <w:tc>
          <w:tcPr>
            <w:tcW w:w="7540" w:type="dxa"/>
            <w:tcBorders>
              <w:top w:val="single" w:sz="4" w:space="0" w:color="auto"/>
            </w:tcBorders>
            <w:shd w:val="clear" w:color="auto" w:fill="FFFFFF"/>
            <w:vAlign w:val="center"/>
          </w:tcPr>
          <w:p w14:paraId="740F7884" w14:textId="77777777" w:rsidR="00E833A9" w:rsidRPr="00E833A9" w:rsidRDefault="00E833A9" w:rsidP="00E833A9">
            <w:pPr>
              <w:ind w:firstLine="0"/>
              <w:jc w:val="left"/>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lang w:eastAsia="pl-PL"/>
              </w:rPr>
              <w:t>Zachowanie zieleni istniejącej i rozwój nowej</w:t>
            </w:r>
          </w:p>
        </w:tc>
        <w:tc>
          <w:tcPr>
            <w:tcW w:w="567" w:type="dxa"/>
            <w:tcBorders>
              <w:top w:val="single" w:sz="4" w:space="0" w:color="auto"/>
            </w:tcBorders>
            <w:shd w:val="clear" w:color="auto" w:fill="C3E098"/>
            <w:vAlign w:val="center"/>
          </w:tcPr>
          <w:p w14:paraId="108F5106"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tcBorders>
              <w:top w:val="single" w:sz="4" w:space="0" w:color="auto"/>
            </w:tcBorders>
            <w:shd w:val="clear" w:color="auto" w:fill="C3E098"/>
            <w:vAlign w:val="center"/>
          </w:tcPr>
          <w:p w14:paraId="65240A66"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tcBorders>
              <w:top w:val="single" w:sz="4" w:space="0" w:color="auto"/>
            </w:tcBorders>
            <w:shd w:val="clear" w:color="auto" w:fill="C3E098"/>
            <w:vAlign w:val="center"/>
          </w:tcPr>
          <w:p w14:paraId="32AFE63D"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tcBorders>
              <w:top w:val="single" w:sz="4" w:space="0" w:color="auto"/>
            </w:tcBorders>
            <w:shd w:val="clear" w:color="auto" w:fill="C3E098"/>
            <w:vAlign w:val="center"/>
          </w:tcPr>
          <w:p w14:paraId="21207D51"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tcBorders>
              <w:top w:val="single" w:sz="4" w:space="0" w:color="auto"/>
            </w:tcBorders>
            <w:shd w:val="clear" w:color="auto" w:fill="C3E098"/>
            <w:vAlign w:val="center"/>
          </w:tcPr>
          <w:p w14:paraId="76744704"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tcBorders>
              <w:top w:val="single" w:sz="4" w:space="0" w:color="auto"/>
            </w:tcBorders>
            <w:shd w:val="clear" w:color="auto" w:fill="C3E098"/>
            <w:vAlign w:val="center"/>
          </w:tcPr>
          <w:p w14:paraId="65D5664D"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tcBorders>
              <w:top w:val="single" w:sz="4" w:space="0" w:color="auto"/>
            </w:tcBorders>
            <w:shd w:val="clear" w:color="auto" w:fill="C3E098"/>
            <w:vAlign w:val="center"/>
          </w:tcPr>
          <w:p w14:paraId="46C28FEF"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tcBorders>
              <w:top w:val="single" w:sz="4" w:space="0" w:color="auto"/>
            </w:tcBorders>
            <w:shd w:val="clear" w:color="auto" w:fill="FF7C80"/>
            <w:vAlign w:val="center"/>
          </w:tcPr>
          <w:p w14:paraId="3118963F"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tcBorders>
              <w:top w:val="single" w:sz="4" w:space="0" w:color="auto"/>
            </w:tcBorders>
            <w:shd w:val="clear" w:color="auto" w:fill="C3E098"/>
            <w:vAlign w:val="center"/>
          </w:tcPr>
          <w:p w14:paraId="1748C13C"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tcBorders>
              <w:top w:val="single" w:sz="4" w:space="0" w:color="auto"/>
            </w:tcBorders>
            <w:shd w:val="clear" w:color="auto" w:fill="FF7C80"/>
            <w:vAlign w:val="center"/>
          </w:tcPr>
          <w:p w14:paraId="5D29E62C"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tcBorders>
              <w:top w:val="single" w:sz="4" w:space="0" w:color="auto"/>
            </w:tcBorders>
            <w:shd w:val="clear" w:color="auto" w:fill="C3E098"/>
            <w:vAlign w:val="center"/>
          </w:tcPr>
          <w:p w14:paraId="2B701BD9"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tcBorders>
              <w:top w:val="single" w:sz="4" w:space="0" w:color="auto"/>
            </w:tcBorders>
            <w:shd w:val="clear" w:color="auto" w:fill="C3E098"/>
            <w:vAlign w:val="center"/>
          </w:tcPr>
          <w:p w14:paraId="06E922F6"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E833A9" w:rsidRPr="00E833A9" w14:paraId="7D550CF7"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3FA03E8E" w14:textId="77777777" w:rsidR="00E833A9" w:rsidRPr="00E833A9" w:rsidRDefault="00E833A9" w:rsidP="00E833A9">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1.2.</w:t>
            </w:r>
          </w:p>
        </w:tc>
        <w:tc>
          <w:tcPr>
            <w:tcW w:w="7540" w:type="dxa"/>
            <w:shd w:val="clear" w:color="auto" w:fill="F2F2F2"/>
            <w:vAlign w:val="center"/>
          </w:tcPr>
          <w:p w14:paraId="018CB2F8" w14:textId="77777777" w:rsidR="00E833A9" w:rsidRPr="00E833A9" w:rsidRDefault="00E833A9" w:rsidP="00E833A9">
            <w:pPr>
              <w:ind w:firstLine="0"/>
              <w:jc w:val="left"/>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lang w:eastAsia="pl-PL"/>
              </w:rPr>
            </w:pPr>
            <w:r w:rsidRPr="00E833A9">
              <w:rPr>
                <w:rFonts w:ascii="Calibri" w:eastAsia="Aptos" w:hAnsi="Calibri" w:cs="Calibri"/>
                <w:color w:val="auto"/>
                <w:sz w:val="18"/>
                <w:szCs w:val="18"/>
                <w:lang w:eastAsia="pl-PL"/>
              </w:rPr>
              <w:t>Zapewnienie zadrzewień przy obiekcie sportowym</w:t>
            </w:r>
          </w:p>
        </w:tc>
        <w:tc>
          <w:tcPr>
            <w:tcW w:w="567" w:type="dxa"/>
            <w:shd w:val="clear" w:color="auto" w:fill="FF7C80"/>
            <w:vAlign w:val="center"/>
          </w:tcPr>
          <w:p w14:paraId="0DBA7E5B"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68E2D9E"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5778F375"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620A49F"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3D584ECA"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7FD36BDA"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CDD8D8B"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A8BF760"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69DC450"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5D8111DE"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B976590"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A201F14"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E833A9" w:rsidRPr="00E833A9" w14:paraId="54EDDB09"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42DF639B" w14:textId="77777777" w:rsidR="00E833A9" w:rsidRPr="00E833A9" w:rsidRDefault="00E833A9" w:rsidP="00E833A9">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1.3.</w:t>
            </w:r>
          </w:p>
        </w:tc>
        <w:tc>
          <w:tcPr>
            <w:tcW w:w="7540" w:type="dxa"/>
            <w:shd w:val="clear" w:color="auto" w:fill="FFFFFF"/>
            <w:vAlign w:val="center"/>
          </w:tcPr>
          <w:p w14:paraId="0EFCFF2A" w14:textId="77777777" w:rsidR="00E833A9" w:rsidRPr="00E833A9" w:rsidRDefault="00E833A9" w:rsidP="00E833A9">
            <w:pPr>
              <w:ind w:firstLine="0"/>
              <w:jc w:val="left"/>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lang w:eastAsia="pl-PL"/>
              </w:rPr>
            </w:pPr>
            <w:r w:rsidRPr="00E833A9">
              <w:rPr>
                <w:rFonts w:ascii="Calibri" w:eastAsia="Aptos" w:hAnsi="Calibri" w:cs="Calibri"/>
                <w:color w:val="auto"/>
                <w:sz w:val="18"/>
                <w:szCs w:val="18"/>
                <w:lang w:eastAsia="pl-PL"/>
              </w:rPr>
              <w:t>Rewitalizacja skweru przy rynku</w:t>
            </w:r>
          </w:p>
        </w:tc>
        <w:tc>
          <w:tcPr>
            <w:tcW w:w="567" w:type="dxa"/>
            <w:shd w:val="clear" w:color="auto" w:fill="C3E098"/>
            <w:vAlign w:val="center"/>
          </w:tcPr>
          <w:p w14:paraId="1AD5972C"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F152D35"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3A7402E6"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0FA017AF"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BB95E28"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15DE63E"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A56BDD3"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CBD37AC"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20D8A2B"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C7A4E70"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B200F14"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7EF5DCA"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E833A9" w:rsidRPr="00E833A9" w14:paraId="03BE9611"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43F8BB24" w14:textId="77777777" w:rsidR="00E833A9" w:rsidRPr="00E833A9" w:rsidRDefault="00E833A9" w:rsidP="00E833A9">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1.4.</w:t>
            </w:r>
          </w:p>
        </w:tc>
        <w:tc>
          <w:tcPr>
            <w:tcW w:w="7540" w:type="dxa"/>
            <w:shd w:val="clear" w:color="auto" w:fill="F2F2F2"/>
            <w:vAlign w:val="center"/>
          </w:tcPr>
          <w:p w14:paraId="383029DF" w14:textId="77777777" w:rsidR="00E833A9" w:rsidRPr="00E833A9" w:rsidRDefault="00E833A9" w:rsidP="00E833A9">
            <w:pPr>
              <w:ind w:firstLine="0"/>
              <w:jc w:val="left"/>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lang w:eastAsia="pl-PL"/>
              </w:rPr>
            </w:pPr>
            <w:r w:rsidRPr="00E833A9">
              <w:rPr>
                <w:rFonts w:ascii="Calibri" w:eastAsia="Times New Roman" w:hAnsi="Calibri" w:cs="Calibri"/>
                <w:color w:val="auto"/>
                <w:sz w:val="18"/>
                <w:szCs w:val="18"/>
                <w:lang w:eastAsia="pl-PL"/>
              </w:rPr>
              <w:t>Rozwój zieleni nieuporządkowanej</w:t>
            </w:r>
          </w:p>
        </w:tc>
        <w:tc>
          <w:tcPr>
            <w:tcW w:w="567" w:type="dxa"/>
            <w:shd w:val="clear" w:color="auto" w:fill="C3E098"/>
            <w:vAlign w:val="center"/>
          </w:tcPr>
          <w:p w14:paraId="2AC32907"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C09C34B"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D95CE3E"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715EAA1"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ED6EE9D"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768CEBDA"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740FCD7"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33307449"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64E9E67D"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7C3C3EAB"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E3D3097"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C7DDE1A"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E833A9" w:rsidRPr="00E833A9" w14:paraId="587F195E"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418FBF26" w14:textId="77777777" w:rsidR="00E833A9" w:rsidRPr="00E833A9" w:rsidRDefault="00E833A9" w:rsidP="00E833A9">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1.5.</w:t>
            </w:r>
          </w:p>
        </w:tc>
        <w:tc>
          <w:tcPr>
            <w:tcW w:w="7540" w:type="dxa"/>
            <w:shd w:val="clear" w:color="auto" w:fill="FFFFFF"/>
            <w:vAlign w:val="center"/>
          </w:tcPr>
          <w:p w14:paraId="42A4FEC1" w14:textId="77777777" w:rsidR="00E833A9" w:rsidRPr="00E833A9" w:rsidRDefault="00E833A9" w:rsidP="00E833A9">
            <w:pPr>
              <w:ind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Aptos" w:hAnsi="Calibri" w:cs="Calibri"/>
                <w:color w:val="auto"/>
                <w:sz w:val="18"/>
                <w:szCs w:val="18"/>
                <w:lang w:eastAsia="pl-PL"/>
              </w:rPr>
              <w:t>Odpowiedni dobór roślin odpornych</w:t>
            </w:r>
          </w:p>
        </w:tc>
        <w:tc>
          <w:tcPr>
            <w:tcW w:w="567" w:type="dxa"/>
            <w:shd w:val="clear" w:color="auto" w:fill="C3E098"/>
            <w:vAlign w:val="center"/>
          </w:tcPr>
          <w:p w14:paraId="4ECE05CF"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0C1ABEB"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0ED286B"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53466BE"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65640A5"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05FAC792"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0C6E66A"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698210BA"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DC88D75"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51E7974C"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CA417A0"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E2B26DE"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E833A9" w:rsidRPr="00E833A9" w14:paraId="2EA0D241"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1EFD1BC5" w14:textId="77777777" w:rsidR="00E833A9" w:rsidRPr="00E833A9" w:rsidRDefault="00E833A9" w:rsidP="00E833A9">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1.6.</w:t>
            </w:r>
          </w:p>
        </w:tc>
        <w:tc>
          <w:tcPr>
            <w:tcW w:w="7540" w:type="dxa"/>
            <w:shd w:val="clear" w:color="auto" w:fill="F2F2F2"/>
            <w:vAlign w:val="center"/>
          </w:tcPr>
          <w:p w14:paraId="6F1F0844" w14:textId="77777777" w:rsidR="00E833A9" w:rsidRPr="00E833A9" w:rsidRDefault="00E833A9" w:rsidP="00E833A9">
            <w:pPr>
              <w:ind w:firstLine="0"/>
              <w:jc w:val="left"/>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lang w:eastAsia="pl-PL"/>
              </w:rPr>
            </w:pPr>
            <w:r w:rsidRPr="00E833A9">
              <w:rPr>
                <w:rFonts w:ascii="Calibri" w:eastAsia="Times New Roman" w:hAnsi="Calibri" w:cs="Calibri"/>
                <w:color w:val="auto"/>
                <w:sz w:val="18"/>
                <w:szCs w:val="18"/>
                <w:lang w:eastAsia="pl-PL"/>
              </w:rPr>
              <w:t>Ochrona drzew wysokich</w:t>
            </w:r>
          </w:p>
        </w:tc>
        <w:tc>
          <w:tcPr>
            <w:tcW w:w="567" w:type="dxa"/>
            <w:shd w:val="clear" w:color="auto" w:fill="C3E098"/>
            <w:vAlign w:val="center"/>
          </w:tcPr>
          <w:p w14:paraId="148CFF48"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02A3A43"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F09CC4B"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5EF3CAD"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5F7A293"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2824A032"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02259E2"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60DF0406"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66AA3A9C"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2B976A1C"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ACE7C2D"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E7EB98B"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E833A9" w:rsidRPr="00E833A9" w14:paraId="2C9960DA"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6AAEC966" w14:textId="77777777" w:rsidR="00E833A9" w:rsidRPr="00E833A9" w:rsidRDefault="00E833A9" w:rsidP="00E833A9">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1.7.</w:t>
            </w:r>
          </w:p>
        </w:tc>
        <w:tc>
          <w:tcPr>
            <w:tcW w:w="7540" w:type="dxa"/>
            <w:shd w:val="clear" w:color="auto" w:fill="FFFFFF"/>
            <w:vAlign w:val="center"/>
          </w:tcPr>
          <w:p w14:paraId="4E713A53" w14:textId="77777777" w:rsidR="00E833A9" w:rsidRPr="00E833A9" w:rsidRDefault="00E833A9" w:rsidP="00E833A9">
            <w:pPr>
              <w:ind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Times New Roman" w:hAnsi="Calibri" w:cs="Calibri"/>
                <w:color w:val="auto"/>
                <w:sz w:val="18"/>
                <w:szCs w:val="18"/>
                <w:lang w:eastAsia="pl-PL"/>
              </w:rPr>
              <w:t>Ochrona zieleni przy projektach budowy</w:t>
            </w:r>
          </w:p>
        </w:tc>
        <w:tc>
          <w:tcPr>
            <w:tcW w:w="567" w:type="dxa"/>
            <w:shd w:val="clear" w:color="auto" w:fill="C3E098"/>
            <w:vAlign w:val="center"/>
          </w:tcPr>
          <w:p w14:paraId="68D76E0C"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BA5B1C8"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EA1FCF5"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771F86D"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A545AFE"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4133A39B"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5184946"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3FBFE5B6"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3FDC4485"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003D6E26"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FB75463"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72D36BA"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E833A9" w:rsidRPr="00E833A9" w14:paraId="125EF86E"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13255886" w14:textId="77777777" w:rsidR="00E833A9" w:rsidRPr="00E833A9" w:rsidRDefault="00E833A9" w:rsidP="00E833A9">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1.8.</w:t>
            </w:r>
          </w:p>
        </w:tc>
        <w:tc>
          <w:tcPr>
            <w:tcW w:w="7540" w:type="dxa"/>
            <w:shd w:val="clear" w:color="auto" w:fill="F2F2F2"/>
            <w:vAlign w:val="center"/>
          </w:tcPr>
          <w:p w14:paraId="1AC1D18B" w14:textId="77777777" w:rsidR="00E833A9" w:rsidRPr="00E833A9" w:rsidRDefault="00E833A9" w:rsidP="00E833A9">
            <w:pPr>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Times New Roman" w:hAnsi="Calibri" w:cs="Calibri"/>
                <w:color w:val="auto"/>
                <w:sz w:val="18"/>
                <w:szCs w:val="18"/>
                <w:lang w:eastAsia="pl-PL"/>
              </w:rPr>
              <w:t>Przeciwdziałanie rozprzestrzenianiu się IGO</w:t>
            </w:r>
          </w:p>
        </w:tc>
        <w:tc>
          <w:tcPr>
            <w:tcW w:w="567" w:type="dxa"/>
            <w:shd w:val="clear" w:color="auto" w:fill="C3E098"/>
            <w:vAlign w:val="center"/>
          </w:tcPr>
          <w:p w14:paraId="18907234"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879EAE9"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835EB6C"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79574F6"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4BB4DC68"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74784FDB"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69C68BD"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796AEEF4"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65DEDBF"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2C766977"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5B8D318"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E8729E5"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E833A9" w:rsidRPr="00E833A9" w14:paraId="762A86E5"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606D5D50" w14:textId="77777777" w:rsidR="00E833A9" w:rsidRPr="00E833A9" w:rsidRDefault="00E833A9" w:rsidP="00E833A9">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1.9.</w:t>
            </w:r>
          </w:p>
        </w:tc>
        <w:tc>
          <w:tcPr>
            <w:tcW w:w="7540" w:type="dxa"/>
            <w:shd w:val="clear" w:color="auto" w:fill="FFFFFF"/>
            <w:vAlign w:val="center"/>
          </w:tcPr>
          <w:p w14:paraId="5EA1BF98" w14:textId="77777777" w:rsidR="00E833A9" w:rsidRPr="00E833A9" w:rsidRDefault="00E833A9" w:rsidP="00E833A9">
            <w:pPr>
              <w:ind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Times New Roman" w:hAnsi="Calibri" w:cs="Calibri"/>
                <w:color w:val="auto"/>
                <w:sz w:val="18"/>
                <w:szCs w:val="18"/>
                <w:lang w:eastAsia="pl-PL"/>
              </w:rPr>
              <w:t>Prawidłowa pielęgnacja zieleni</w:t>
            </w:r>
          </w:p>
        </w:tc>
        <w:tc>
          <w:tcPr>
            <w:tcW w:w="567" w:type="dxa"/>
            <w:shd w:val="clear" w:color="auto" w:fill="C3E098"/>
            <w:vAlign w:val="center"/>
          </w:tcPr>
          <w:p w14:paraId="7E401BE2"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C7A9BFE"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6BF58E3"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5C1A872"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1680F28"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01A412E"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A435EC5"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05979C56"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245550F5"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780F85F1"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6925E93"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842CFCC"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E833A9" w:rsidRPr="00E833A9" w14:paraId="510645AC"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5885EB76" w14:textId="77777777" w:rsidR="00E833A9" w:rsidRPr="00E833A9" w:rsidRDefault="00E833A9" w:rsidP="00E833A9">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1.10.</w:t>
            </w:r>
          </w:p>
        </w:tc>
        <w:tc>
          <w:tcPr>
            <w:tcW w:w="7540" w:type="dxa"/>
            <w:shd w:val="clear" w:color="auto" w:fill="F2F2F2"/>
            <w:vAlign w:val="center"/>
          </w:tcPr>
          <w:p w14:paraId="24A6F9D7" w14:textId="77777777" w:rsidR="00E833A9" w:rsidRPr="00E833A9" w:rsidRDefault="00E833A9" w:rsidP="00E833A9">
            <w:pPr>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Times New Roman" w:hAnsi="Calibri" w:cs="Calibri"/>
                <w:color w:val="auto"/>
                <w:sz w:val="18"/>
                <w:szCs w:val="18"/>
                <w:lang w:eastAsia="pl-PL"/>
              </w:rPr>
              <w:t>Ochrona zieleni na obszarach rolniczych</w:t>
            </w:r>
          </w:p>
        </w:tc>
        <w:tc>
          <w:tcPr>
            <w:tcW w:w="567" w:type="dxa"/>
            <w:shd w:val="clear" w:color="auto" w:fill="C3E098"/>
            <w:vAlign w:val="center"/>
          </w:tcPr>
          <w:p w14:paraId="34CB7D21"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D8C3486"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06C7FB35"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0FCE3EA"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0C062AC"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F963215"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00C220D"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5C831F11"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2D4BC0EB"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4E34C6DF"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9BE2822"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F16995C"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E833A9" w:rsidRPr="00E833A9" w14:paraId="7BDEF78C"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78ABBD02" w14:textId="77777777" w:rsidR="00E833A9" w:rsidRPr="00E833A9" w:rsidRDefault="00E833A9" w:rsidP="00E833A9">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2.1.</w:t>
            </w:r>
          </w:p>
        </w:tc>
        <w:tc>
          <w:tcPr>
            <w:tcW w:w="7540" w:type="dxa"/>
            <w:shd w:val="clear" w:color="auto" w:fill="FFFFFF"/>
            <w:vAlign w:val="center"/>
          </w:tcPr>
          <w:p w14:paraId="6F7EFAA6" w14:textId="77777777" w:rsidR="00E833A9" w:rsidRPr="00E833A9" w:rsidRDefault="00E833A9" w:rsidP="00E833A9">
            <w:pPr>
              <w:ind w:firstLine="0"/>
              <w:jc w:val="left"/>
              <w:cnfStyle w:val="000000100000" w:firstRow="0" w:lastRow="0" w:firstColumn="0" w:lastColumn="0" w:oddVBand="0" w:evenVBand="0" w:oddHBand="1" w:evenHBand="0" w:firstRowFirstColumn="0" w:firstRowLastColumn="0" w:lastRowFirstColumn="0" w:lastRowLastColumn="0"/>
              <w:rPr>
                <w:rFonts w:ascii="Calibri" w:eastAsia="Aptos" w:hAnsi="Calibri" w:cs="Calibri"/>
                <w:b/>
                <w:bCs/>
                <w:color w:val="auto"/>
                <w:sz w:val="18"/>
                <w:szCs w:val="18"/>
                <w:lang w:eastAsia="pl-PL"/>
              </w:rPr>
            </w:pPr>
            <w:r w:rsidRPr="00E833A9">
              <w:rPr>
                <w:rFonts w:ascii="Calibri" w:eastAsia="Aptos" w:hAnsi="Calibri" w:cs="Calibri"/>
                <w:color w:val="auto"/>
                <w:sz w:val="18"/>
                <w:szCs w:val="18"/>
                <w:lang w:eastAsia="pl-PL"/>
              </w:rPr>
              <w:t>Budowa trzech zbiorników retencyjnych</w:t>
            </w:r>
          </w:p>
        </w:tc>
        <w:tc>
          <w:tcPr>
            <w:tcW w:w="567" w:type="dxa"/>
            <w:shd w:val="clear" w:color="auto" w:fill="C3E098"/>
            <w:vAlign w:val="center"/>
          </w:tcPr>
          <w:p w14:paraId="75629522"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20029AB"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3B4B69C0"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724C26A"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8434A47"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885639B"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004AF4AC"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56992946"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CD14483"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33E34E7"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4803731"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5D23242"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E833A9" w:rsidRPr="00E833A9" w14:paraId="3664E59F"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33CBB371" w14:textId="77777777" w:rsidR="00E833A9" w:rsidRPr="00E833A9" w:rsidRDefault="00E833A9" w:rsidP="00E833A9">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2.2.</w:t>
            </w:r>
          </w:p>
        </w:tc>
        <w:tc>
          <w:tcPr>
            <w:tcW w:w="7540" w:type="dxa"/>
            <w:shd w:val="clear" w:color="auto" w:fill="F2F2F2"/>
            <w:vAlign w:val="center"/>
          </w:tcPr>
          <w:p w14:paraId="28AFBA03" w14:textId="77777777" w:rsidR="00E833A9" w:rsidRPr="00E833A9" w:rsidRDefault="00E833A9" w:rsidP="00E833A9">
            <w:pPr>
              <w:ind w:firstLine="0"/>
              <w:jc w:val="left"/>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lang w:eastAsia="pl-PL"/>
              </w:rPr>
            </w:pPr>
            <w:r w:rsidRPr="00E833A9">
              <w:rPr>
                <w:rFonts w:ascii="Calibri" w:eastAsia="Aptos" w:hAnsi="Calibri" w:cs="Calibri"/>
                <w:color w:val="auto"/>
                <w:sz w:val="18"/>
                <w:szCs w:val="18"/>
                <w:lang w:eastAsia="pl-PL"/>
              </w:rPr>
              <w:t>Poprawa funkcjonowania gospodarki wodno-ściekowej</w:t>
            </w:r>
          </w:p>
        </w:tc>
        <w:tc>
          <w:tcPr>
            <w:tcW w:w="567" w:type="dxa"/>
            <w:shd w:val="clear" w:color="auto" w:fill="C3E098"/>
            <w:vAlign w:val="center"/>
          </w:tcPr>
          <w:p w14:paraId="787FD543"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5B2552D1"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41E6EFEC"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38EFBF6"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F64F44B"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EFCB89D"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504330EE"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CB908C2"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191BC57"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EF3227B"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07EB077"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7446860"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E833A9" w:rsidRPr="00E833A9" w14:paraId="25B0E573"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57C9D353" w14:textId="77777777" w:rsidR="00E833A9" w:rsidRPr="00E833A9" w:rsidRDefault="00E833A9" w:rsidP="00E833A9">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2.3.</w:t>
            </w:r>
          </w:p>
        </w:tc>
        <w:tc>
          <w:tcPr>
            <w:tcW w:w="7540" w:type="dxa"/>
            <w:shd w:val="clear" w:color="auto" w:fill="FFFFFF"/>
            <w:vAlign w:val="center"/>
          </w:tcPr>
          <w:p w14:paraId="74BCEF1E" w14:textId="77777777" w:rsidR="00E833A9" w:rsidRPr="00E833A9" w:rsidRDefault="00E833A9" w:rsidP="00E833A9">
            <w:pPr>
              <w:ind w:firstLine="0"/>
              <w:jc w:val="left"/>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lang w:eastAsia="pl-PL"/>
              </w:rPr>
            </w:pPr>
            <w:r w:rsidRPr="00E833A9">
              <w:rPr>
                <w:rFonts w:ascii="Calibri" w:eastAsia="Times New Roman" w:hAnsi="Calibri" w:cs="Calibri"/>
                <w:color w:val="auto"/>
                <w:sz w:val="18"/>
                <w:szCs w:val="18"/>
                <w:lang w:eastAsia="pl-PL"/>
              </w:rPr>
              <w:t>Renaturalizacja cieków oraz zbiorników wodnych</w:t>
            </w:r>
          </w:p>
        </w:tc>
        <w:tc>
          <w:tcPr>
            <w:tcW w:w="567" w:type="dxa"/>
            <w:shd w:val="clear" w:color="auto" w:fill="C3E098"/>
            <w:vAlign w:val="center"/>
          </w:tcPr>
          <w:p w14:paraId="0F2E352F"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ABAF31C"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10D6B5C"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ADCA1BB"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D355FC4"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33A7E46E"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AF31E1C"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6BD70351"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32A730E3"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530B550C"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4CA8C5E"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977D847"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E833A9" w:rsidRPr="00E833A9" w14:paraId="364B01A2"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0E5F3576" w14:textId="77777777" w:rsidR="00E833A9" w:rsidRPr="00E833A9" w:rsidRDefault="00E833A9" w:rsidP="00E833A9">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2.4.</w:t>
            </w:r>
          </w:p>
        </w:tc>
        <w:tc>
          <w:tcPr>
            <w:tcW w:w="7540" w:type="dxa"/>
            <w:shd w:val="clear" w:color="auto" w:fill="F2F2F2"/>
            <w:vAlign w:val="center"/>
          </w:tcPr>
          <w:p w14:paraId="7592AAAF" w14:textId="77777777" w:rsidR="00E833A9" w:rsidRPr="00E833A9" w:rsidRDefault="00E833A9" w:rsidP="00E833A9">
            <w:pPr>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Calibri" w:hAnsi="Calibri" w:cs="Calibri"/>
                <w:color w:val="auto"/>
                <w:sz w:val="18"/>
                <w:szCs w:val="18"/>
              </w:rPr>
              <w:t>Wsparcie obiektów małej retencji</w:t>
            </w:r>
          </w:p>
        </w:tc>
        <w:tc>
          <w:tcPr>
            <w:tcW w:w="567" w:type="dxa"/>
            <w:shd w:val="clear" w:color="auto" w:fill="C3E098"/>
            <w:vAlign w:val="center"/>
          </w:tcPr>
          <w:p w14:paraId="16AAEBF8"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62B4E41"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665E031"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D5683B3"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B076A4D"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6860AF9"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F5FEE2A"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5E4096D3"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6EE7071F"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300934BC"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C38EF87"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F4A0913"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E833A9" w:rsidRPr="00E833A9" w14:paraId="5E577169"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768A749F" w14:textId="77777777" w:rsidR="00E833A9" w:rsidRPr="00E833A9" w:rsidRDefault="00E833A9" w:rsidP="00E833A9">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2.5.</w:t>
            </w:r>
          </w:p>
        </w:tc>
        <w:tc>
          <w:tcPr>
            <w:tcW w:w="7540" w:type="dxa"/>
            <w:shd w:val="clear" w:color="auto" w:fill="FFFFFF"/>
            <w:vAlign w:val="center"/>
          </w:tcPr>
          <w:p w14:paraId="38A8F09F" w14:textId="77777777" w:rsidR="00E833A9" w:rsidRPr="00E833A9" w:rsidRDefault="00E833A9" w:rsidP="00E833A9">
            <w:pPr>
              <w:ind w:firstLine="0"/>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auto"/>
                <w:sz w:val="18"/>
                <w:szCs w:val="18"/>
              </w:rPr>
            </w:pPr>
            <w:r w:rsidRPr="00E833A9">
              <w:rPr>
                <w:rFonts w:ascii="Calibri" w:eastAsia="Times New Roman" w:hAnsi="Calibri" w:cs="Calibri"/>
                <w:color w:val="auto"/>
                <w:sz w:val="18"/>
                <w:szCs w:val="18"/>
                <w:lang w:eastAsia="pl-PL"/>
              </w:rPr>
              <w:t>Błękitno-zielona infrastruktura i rozwiązania bazujące na przyrodzie</w:t>
            </w:r>
          </w:p>
        </w:tc>
        <w:tc>
          <w:tcPr>
            <w:tcW w:w="567" w:type="dxa"/>
            <w:shd w:val="clear" w:color="auto" w:fill="C3E098"/>
            <w:vAlign w:val="center"/>
          </w:tcPr>
          <w:p w14:paraId="4423DD27"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EE7EF65"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2D7C172"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A24FE63"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8402335"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F93A336"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DE92B4D"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252F1D43"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1B826996"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5195596"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7F5613D"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BA043D7" w14:textId="77777777" w:rsidR="00E833A9" w:rsidRPr="00E833A9" w:rsidRDefault="00E833A9" w:rsidP="00E833A9">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E833A9" w:rsidRPr="00E833A9" w14:paraId="6BB8376A"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5BA6AEF9" w14:textId="77777777" w:rsidR="00E833A9" w:rsidRPr="00E833A9" w:rsidRDefault="00E833A9" w:rsidP="00E833A9">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2.6.</w:t>
            </w:r>
          </w:p>
        </w:tc>
        <w:tc>
          <w:tcPr>
            <w:tcW w:w="7540" w:type="dxa"/>
            <w:shd w:val="clear" w:color="auto" w:fill="F2F2F2"/>
            <w:vAlign w:val="center"/>
          </w:tcPr>
          <w:p w14:paraId="24935A87" w14:textId="77777777" w:rsidR="00E833A9" w:rsidRPr="00E833A9" w:rsidRDefault="00E833A9" w:rsidP="00E833A9">
            <w:pPr>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Calibri" w:hAnsi="Calibri" w:cs="Calibri"/>
                <w:color w:val="auto"/>
                <w:sz w:val="18"/>
                <w:szCs w:val="18"/>
              </w:rPr>
              <w:t>Rozwój zieleni miejskiej zatrzymującej wodę</w:t>
            </w:r>
          </w:p>
        </w:tc>
        <w:tc>
          <w:tcPr>
            <w:tcW w:w="567" w:type="dxa"/>
            <w:shd w:val="clear" w:color="auto" w:fill="C3E098"/>
            <w:vAlign w:val="center"/>
          </w:tcPr>
          <w:p w14:paraId="4404BF3D"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5296AF8"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0F95D79"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983B956"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D69CB91"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EB363C7"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3078490"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227555CA"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A68F92F"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782C2888"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11BECE8"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75C51BB" w14:textId="77777777" w:rsidR="00E833A9" w:rsidRPr="00E833A9" w:rsidRDefault="00E833A9" w:rsidP="00E833A9">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03AE545B" w14:textId="77777777" w:rsidTr="00616C3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42910786" w14:textId="249F673C"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2.7.</w:t>
            </w:r>
          </w:p>
        </w:tc>
        <w:tc>
          <w:tcPr>
            <w:tcW w:w="7540" w:type="dxa"/>
            <w:shd w:val="clear" w:color="auto" w:fill="F2F2F2"/>
            <w:vAlign w:val="center"/>
          </w:tcPr>
          <w:p w14:paraId="50DA7A0B" w14:textId="77F91B78" w:rsidR="00616C3E" w:rsidRPr="00E833A9" w:rsidRDefault="00616C3E" w:rsidP="00616C3E">
            <w:pPr>
              <w:ind w:firstLine="0"/>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auto"/>
                <w:sz w:val="18"/>
                <w:szCs w:val="18"/>
              </w:rPr>
            </w:pPr>
            <w:r>
              <w:rPr>
                <w:rFonts w:ascii="Calibri" w:eastAsia="Calibri" w:hAnsi="Calibri" w:cs="Calibri"/>
                <w:color w:val="auto"/>
                <w:sz w:val="18"/>
                <w:szCs w:val="18"/>
              </w:rPr>
              <w:t>Przebudowa placu na budynkiem UM z zastosowaniem nawierzchni przepuszczalnej</w:t>
            </w:r>
          </w:p>
        </w:tc>
        <w:tc>
          <w:tcPr>
            <w:tcW w:w="567" w:type="dxa"/>
            <w:shd w:val="clear" w:color="auto" w:fill="C3E098"/>
            <w:vAlign w:val="center"/>
          </w:tcPr>
          <w:p w14:paraId="6888D415" w14:textId="1841328F"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43D0C88" w14:textId="183D5864"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516B49F" w14:textId="0474AFE6"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31BEADD" w14:textId="0B8CCD8B"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10DF57C" w14:textId="33B60FCF"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F8F3751" w14:textId="6A894885"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449EAC8" w14:textId="2FB00BBB"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22C0BD28" w14:textId="0FBED09D"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7257618" w14:textId="2655DC0C"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3304EA5" w14:textId="46E77700"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F4602E1" w14:textId="38CD0F25"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BE96401" w14:textId="2DCAD79C"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4D0DEAE6"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1532DE76" w14:textId="124821AC"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2.8.</w:t>
            </w:r>
          </w:p>
        </w:tc>
        <w:tc>
          <w:tcPr>
            <w:tcW w:w="7540" w:type="dxa"/>
            <w:shd w:val="clear" w:color="auto" w:fill="FFFFFF"/>
            <w:vAlign w:val="center"/>
          </w:tcPr>
          <w:p w14:paraId="5B8D1F92" w14:textId="77777777" w:rsidR="00616C3E" w:rsidRPr="00E833A9" w:rsidRDefault="00616C3E" w:rsidP="00616C3E">
            <w:pPr>
              <w:ind w:firstLin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auto"/>
                <w:sz w:val="18"/>
                <w:szCs w:val="18"/>
              </w:rPr>
            </w:pPr>
            <w:r w:rsidRPr="00E833A9">
              <w:rPr>
                <w:rFonts w:ascii="Calibri" w:eastAsia="Calibri" w:hAnsi="Calibri" w:cs="Calibri"/>
                <w:color w:val="auto"/>
                <w:sz w:val="18"/>
                <w:szCs w:val="18"/>
              </w:rPr>
              <w:t>System magazynowania wody deszczowej na obiektach publicznych</w:t>
            </w:r>
          </w:p>
        </w:tc>
        <w:tc>
          <w:tcPr>
            <w:tcW w:w="567" w:type="dxa"/>
            <w:shd w:val="clear" w:color="auto" w:fill="C3E098"/>
            <w:vAlign w:val="center"/>
          </w:tcPr>
          <w:p w14:paraId="5001018D"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1A54C13"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4D64442D"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A9852EF"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0B25378"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43908B9"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B106ACA"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0FDD8919"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0E14306"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1CD506D6"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374086C"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573F86C"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62565026"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29F96514" w14:textId="744071CA"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2.9.</w:t>
            </w:r>
          </w:p>
        </w:tc>
        <w:tc>
          <w:tcPr>
            <w:tcW w:w="7540" w:type="dxa"/>
            <w:shd w:val="clear" w:color="auto" w:fill="F2F2F2"/>
            <w:vAlign w:val="center"/>
          </w:tcPr>
          <w:p w14:paraId="5FA77CD7" w14:textId="77777777" w:rsidR="00616C3E" w:rsidRPr="00E833A9" w:rsidRDefault="00616C3E" w:rsidP="00616C3E">
            <w:pPr>
              <w:ind w:firstLine="0"/>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auto"/>
                <w:sz w:val="18"/>
                <w:szCs w:val="18"/>
              </w:rPr>
            </w:pPr>
            <w:r w:rsidRPr="00E833A9">
              <w:rPr>
                <w:rFonts w:ascii="Calibri" w:eastAsia="Calibri" w:hAnsi="Calibri" w:cs="Calibri"/>
                <w:color w:val="auto"/>
                <w:sz w:val="18"/>
                <w:szCs w:val="18"/>
              </w:rPr>
              <w:t>Wymiana wodomierzy na przystosowane do odczytu radiowego</w:t>
            </w:r>
          </w:p>
        </w:tc>
        <w:tc>
          <w:tcPr>
            <w:tcW w:w="567" w:type="dxa"/>
            <w:shd w:val="clear" w:color="auto" w:fill="C3E098"/>
            <w:vAlign w:val="center"/>
          </w:tcPr>
          <w:p w14:paraId="376D365F"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3CBB46C"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68D5923C"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4580380"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1F8B416F"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C5A036F"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442976F"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69B85C8E"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0C3AE9E"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4E0EC6FA"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7F44E05"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261F08E"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4CC04CAA"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244DB678" w14:textId="25570668" w:rsidR="00616C3E" w:rsidRPr="00E833A9" w:rsidRDefault="00616C3E" w:rsidP="00616C3E">
            <w:pPr>
              <w:ind w:firstLine="0"/>
              <w:jc w:val="center"/>
              <w:rPr>
                <w:rFonts w:ascii="Calibri" w:eastAsia="Aptos" w:hAnsi="Calibri" w:cs="Calibri"/>
                <w:color w:val="auto"/>
                <w:sz w:val="18"/>
                <w:szCs w:val="18"/>
              </w:rPr>
            </w:pPr>
            <w:r>
              <w:rPr>
                <w:rFonts w:ascii="Calibri" w:eastAsia="Aptos" w:hAnsi="Calibri" w:cs="Calibri"/>
                <w:color w:val="auto"/>
                <w:sz w:val="18"/>
                <w:szCs w:val="18"/>
              </w:rPr>
              <w:lastRenderedPageBreak/>
              <w:t>2.10.</w:t>
            </w:r>
          </w:p>
        </w:tc>
        <w:tc>
          <w:tcPr>
            <w:tcW w:w="7540" w:type="dxa"/>
            <w:shd w:val="clear" w:color="auto" w:fill="FFFFFF"/>
            <w:vAlign w:val="center"/>
          </w:tcPr>
          <w:p w14:paraId="545DEC50" w14:textId="169D92FC" w:rsidR="00616C3E" w:rsidRPr="00E833A9" w:rsidRDefault="00616C3E" w:rsidP="00616C3E">
            <w:pPr>
              <w:ind w:firstLin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auto"/>
                <w:sz w:val="18"/>
                <w:szCs w:val="18"/>
              </w:rPr>
            </w:pPr>
            <w:r w:rsidRPr="00E833A9">
              <w:rPr>
                <w:rFonts w:ascii="Calibri" w:eastAsia="Times New Roman" w:hAnsi="Calibri" w:cs="Calibri"/>
                <w:color w:val="auto"/>
                <w:sz w:val="18"/>
                <w:szCs w:val="18"/>
                <w:lang w:eastAsia="pl-PL"/>
              </w:rPr>
              <w:t>Rozbudowa sieci kanalizacji deszczowe</w:t>
            </w:r>
            <w:r>
              <w:rPr>
                <w:rFonts w:ascii="Calibri" w:eastAsia="Times New Roman" w:hAnsi="Calibri" w:cs="Calibri"/>
                <w:color w:val="auto"/>
                <w:sz w:val="18"/>
                <w:szCs w:val="18"/>
                <w:lang w:eastAsia="pl-PL"/>
              </w:rPr>
              <w:t>j</w:t>
            </w:r>
          </w:p>
        </w:tc>
        <w:tc>
          <w:tcPr>
            <w:tcW w:w="567" w:type="dxa"/>
            <w:shd w:val="clear" w:color="auto" w:fill="C3E098"/>
            <w:vAlign w:val="center"/>
          </w:tcPr>
          <w:p w14:paraId="323FA748"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4F01566A"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015CF182"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5A9C943"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D9B02A8"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EC1BADF"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692B0707"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32B987DD"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29DE77B"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4EC60404"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D94FF59"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7814B067"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3F4E98D4"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0849E94E"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3.1.</w:t>
            </w:r>
          </w:p>
        </w:tc>
        <w:tc>
          <w:tcPr>
            <w:tcW w:w="7540" w:type="dxa"/>
            <w:shd w:val="clear" w:color="auto" w:fill="F2F2F2"/>
            <w:vAlign w:val="center"/>
          </w:tcPr>
          <w:p w14:paraId="16881D1F" w14:textId="77777777" w:rsidR="00616C3E" w:rsidRPr="00E833A9" w:rsidRDefault="00616C3E" w:rsidP="00616C3E">
            <w:pPr>
              <w:ind w:firstLine="0"/>
              <w:jc w:val="left"/>
              <w:cnfStyle w:val="000000100000" w:firstRow="0" w:lastRow="0" w:firstColumn="0" w:lastColumn="0" w:oddVBand="0" w:evenVBand="0" w:oddHBand="1" w:evenHBand="0" w:firstRowFirstColumn="0" w:firstRowLastColumn="0" w:lastRowFirstColumn="0" w:lastRowLastColumn="0"/>
              <w:rPr>
                <w:rFonts w:ascii="Calibri" w:eastAsia="Aptos" w:hAnsi="Calibri" w:cs="Calibri"/>
                <w:b/>
                <w:bCs/>
                <w:color w:val="auto"/>
                <w:sz w:val="18"/>
                <w:szCs w:val="18"/>
                <w:lang w:eastAsia="pl-PL"/>
              </w:rPr>
            </w:pPr>
            <w:r w:rsidRPr="00E833A9">
              <w:rPr>
                <w:rFonts w:ascii="Calibri" w:eastAsia="Aptos" w:hAnsi="Calibri" w:cs="Calibri"/>
                <w:color w:val="auto"/>
                <w:sz w:val="18"/>
                <w:szCs w:val="18"/>
                <w:lang w:eastAsia="pl-PL"/>
              </w:rPr>
              <w:t>Budowa ścieżki rowerowej</w:t>
            </w:r>
          </w:p>
        </w:tc>
        <w:tc>
          <w:tcPr>
            <w:tcW w:w="567" w:type="dxa"/>
            <w:shd w:val="clear" w:color="auto" w:fill="FF7C80"/>
            <w:vAlign w:val="center"/>
          </w:tcPr>
          <w:p w14:paraId="7ED1E22F"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4DF208E"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0EF0CE9E"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7332D82"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1165B137"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54C4E6B"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B6924A1"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BAF1272"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6639713"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25A790E4"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86E3E44"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8577C77"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79354682"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4549CE50"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3.2.</w:t>
            </w:r>
          </w:p>
        </w:tc>
        <w:tc>
          <w:tcPr>
            <w:tcW w:w="7540" w:type="dxa"/>
            <w:shd w:val="clear" w:color="auto" w:fill="FFFFFF"/>
            <w:vAlign w:val="center"/>
          </w:tcPr>
          <w:p w14:paraId="3B7CAFF9" w14:textId="77777777" w:rsidR="00616C3E" w:rsidRPr="00E833A9" w:rsidRDefault="00616C3E" w:rsidP="00616C3E">
            <w:pPr>
              <w:ind w:firstLine="0"/>
              <w:jc w:val="left"/>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lang w:eastAsia="pl-PL"/>
              </w:rPr>
            </w:pPr>
            <w:r w:rsidRPr="00E833A9">
              <w:rPr>
                <w:rFonts w:ascii="Calibri" w:eastAsia="Calibri" w:hAnsi="Calibri" w:cs="Calibri"/>
                <w:color w:val="auto"/>
                <w:sz w:val="18"/>
                <w:szCs w:val="18"/>
              </w:rPr>
              <w:t>Rozwój transportu publicznego</w:t>
            </w:r>
          </w:p>
        </w:tc>
        <w:tc>
          <w:tcPr>
            <w:tcW w:w="567" w:type="dxa"/>
            <w:shd w:val="clear" w:color="auto" w:fill="C3E098"/>
            <w:vAlign w:val="center"/>
          </w:tcPr>
          <w:p w14:paraId="3977C64A"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2FECEC3"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44EEC6D"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2D0E66B"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3246206"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5D16123"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C885734"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586376B"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908A8F7"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2C46BBD6"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0A0CBBF"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3B53169"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456E7A0A"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0BDEE05E"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3.3.</w:t>
            </w:r>
          </w:p>
        </w:tc>
        <w:tc>
          <w:tcPr>
            <w:tcW w:w="7540" w:type="dxa"/>
            <w:shd w:val="clear" w:color="auto" w:fill="F2F2F2"/>
            <w:vAlign w:val="center"/>
          </w:tcPr>
          <w:p w14:paraId="0052226F" w14:textId="77777777" w:rsidR="00616C3E" w:rsidRPr="00E833A9" w:rsidRDefault="00616C3E" w:rsidP="00616C3E">
            <w:pPr>
              <w:ind w:firstLine="0"/>
              <w:jc w:val="left"/>
              <w:cnfStyle w:val="000000100000" w:firstRow="0" w:lastRow="0" w:firstColumn="0" w:lastColumn="0" w:oddVBand="0" w:evenVBand="0" w:oddHBand="1" w:evenHBand="0" w:firstRowFirstColumn="0" w:firstRowLastColumn="0" w:lastRowFirstColumn="0" w:lastRowLastColumn="0"/>
              <w:rPr>
                <w:rFonts w:ascii="Calibri" w:eastAsia="Calibri" w:hAnsi="Calibri" w:cs="Calibri"/>
                <w:color w:val="auto"/>
                <w:sz w:val="18"/>
                <w:szCs w:val="18"/>
              </w:rPr>
            </w:pPr>
            <w:r w:rsidRPr="00E833A9">
              <w:rPr>
                <w:rFonts w:ascii="Calibri" w:eastAsia="Calibri" w:hAnsi="Calibri" w:cs="Calibri"/>
                <w:color w:val="auto"/>
                <w:sz w:val="18"/>
                <w:szCs w:val="18"/>
                <w:lang w:eastAsia="pl-PL"/>
              </w:rPr>
              <w:t>Zazielenienie przystanków i miejsc postojowych dla rowerów</w:t>
            </w:r>
          </w:p>
        </w:tc>
        <w:tc>
          <w:tcPr>
            <w:tcW w:w="567" w:type="dxa"/>
            <w:shd w:val="clear" w:color="auto" w:fill="C3E098"/>
            <w:vAlign w:val="center"/>
          </w:tcPr>
          <w:p w14:paraId="69FFBD36"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30AA600"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A8F06A6"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BFECE11"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934521E"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73F311F"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E4C6593"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53E1A725"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2D62244"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3BED4CCA"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9A7C32B"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3F6FDAB"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5BCCEEA0"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3A4CA135"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3.4.</w:t>
            </w:r>
          </w:p>
        </w:tc>
        <w:tc>
          <w:tcPr>
            <w:tcW w:w="7540" w:type="dxa"/>
            <w:shd w:val="clear" w:color="auto" w:fill="FFFFFF"/>
            <w:vAlign w:val="center"/>
          </w:tcPr>
          <w:p w14:paraId="28D14459" w14:textId="77777777" w:rsidR="00616C3E" w:rsidRPr="00E833A9" w:rsidRDefault="00616C3E" w:rsidP="00616C3E">
            <w:pPr>
              <w:ind w:firstLin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auto"/>
                <w:sz w:val="18"/>
                <w:szCs w:val="18"/>
                <w:lang w:eastAsia="pl-PL"/>
              </w:rPr>
            </w:pPr>
            <w:r w:rsidRPr="00E833A9">
              <w:rPr>
                <w:rFonts w:ascii="Calibri" w:eastAsia="Times New Roman" w:hAnsi="Calibri" w:cs="Calibri"/>
                <w:color w:val="auto"/>
                <w:sz w:val="18"/>
                <w:szCs w:val="18"/>
                <w:lang w:eastAsia="pl-PL"/>
              </w:rPr>
              <w:t>Parkingi rowerowe i samochodowe z nawierzchni przepuszczalnej</w:t>
            </w:r>
          </w:p>
        </w:tc>
        <w:tc>
          <w:tcPr>
            <w:tcW w:w="567" w:type="dxa"/>
            <w:shd w:val="clear" w:color="auto" w:fill="C3E098"/>
            <w:vAlign w:val="center"/>
          </w:tcPr>
          <w:p w14:paraId="7F37D8DA"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C873130"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976BA02"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ACAA1B7"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AAAABCB"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08D5B12"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9EB9098"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2D16BC89"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C4B98C7"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B30EF4C"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F590AC0"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5FE6748"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3CAC2E82"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5FEB562D"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3.5.</w:t>
            </w:r>
          </w:p>
        </w:tc>
        <w:tc>
          <w:tcPr>
            <w:tcW w:w="7540" w:type="dxa"/>
            <w:shd w:val="clear" w:color="auto" w:fill="F2F2F2"/>
            <w:vAlign w:val="center"/>
          </w:tcPr>
          <w:p w14:paraId="6255E552" w14:textId="77777777" w:rsidR="00616C3E" w:rsidRPr="00E833A9" w:rsidRDefault="00616C3E" w:rsidP="00616C3E">
            <w:pPr>
              <w:ind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Calibri" w:hAnsi="Calibri" w:cs="Calibri"/>
                <w:color w:val="auto"/>
                <w:sz w:val="18"/>
                <w:szCs w:val="18"/>
                <w:lang w:eastAsia="pl-PL"/>
              </w:rPr>
              <w:t>Uspokojenie ruchu na drogach wojewódzkich</w:t>
            </w:r>
          </w:p>
        </w:tc>
        <w:tc>
          <w:tcPr>
            <w:tcW w:w="567" w:type="dxa"/>
            <w:shd w:val="clear" w:color="auto" w:fill="C3E098"/>
            <w:vAlign w:val="center"/>
          </w:tcPr>
          <w:p w14:paraId="144B66FD"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BBAB67A"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34F7337F"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A7F6C6D"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556F4A8B"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298B9223"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A7201CF"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32BC4BC6"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7CB3C225"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172BEFC4"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B9A0274"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E5CE439"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0F373DC4"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06E7ED6C" w14:textId="453FD13F"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3.6.</w:t>
            </w:r>
          </w:p>
        </w:tc>
        <w:tc>
          <w:tcPr>
            <w:tcW w:w="7540" w:type="dxa"/>
            <w:shd w:val="clear" w:color="auto" w:fill="F2F2F2"/>
            <w:vAlign w:val="center"/>
          </w:tcPr>
          <w:p w14:paraId="0A8BFFFC" w14:textId="77777777" w:rsidR="00616C3E" w:rsidRPr="00E833A9" w:rsidRDefault="00616C3E" w:rsidP="00616C3E">
            <w:pPr>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Times New Roman" w:hAnsi="Calibri" w:cs="Calibri"/>
                <w:color w:val="auto"/>
                <w:sz w:val="18"/>
                <w:szCs w:val="18"/>
                <w:lang w:eastAsia="pl-PL"/>
              </w:rPr>
              <w:t>Eko-rajd rowerowy</w:t>
            </w:r>
          </w:p>
        </w:tc>
        <w:tc>
          <w:tcPr>
            <w:tcW w:w="567" w:type="dxa"/>
            <w:shd w:val="clear" w:color="auto" w:fill="C3E098"/>
            <w:vAlign w:val="center"/>
          </w:tcPr>
          <w:p w14:paraId="37E81F6B"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F0A208A"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28F31B7"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A72FC50"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58468A2A"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52F45D3"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1967DF4"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256ACC5D"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D2ED3A5"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587A1BD5"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F8AB1BD"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6D1870F"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48C28944" w14:textId="77777777" w:rsidTr="00616C3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70AC064F" w14:textId="727223AE"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3.7.</w:t>
            </w:r>
          </w:p>
        </w:tc>
        <w:tc>
          <w:tcPr>
            <w:tcW w:w="7540" w:type="dxa"/>
            <w:shd w:val="clear" w:color="auto" w:fill="F2F2F2"/>
            <w:vAlign w:val="center"/>
          </w:tcPr>
          <w:p w14:paraId="127B07C0" w14:textId="119C23C9" w:rsidR="00616C3E" w:rsidRPr="00616C3E" w:rsidRDefault="00616C3E" w:rsidP="00616C3E">
            <w:pPr>
              <w:ind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616C3E">
              <w:rPr>
                <w:rFonts w:eastAsia="Calibri" w:cstheme="minorHAnsi"/>
                <w:color w:val="auto"/>
                <w:sz w:val="18"/>
                <w:szCs w:val="18"/>
              </w:rPr>
              <w:t>Zakup elektrycznej hulajnogi do rozwożenia korespondencji</w:t>
            </w:r>
          </w:p>
        </w:tc>
        <w:tc>
          <w:tcPr>
            <w:tcW w:w="567" w:type="dxa"/>
            <w:shd w:val="clear" w:color="auto" w:fill="C3E098"/>
            <w:vAlign w:val="center"/>
          </w:tcPr>
          <w:p w14:paraId="14E51EC1" w14:textId="024EC102"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4D988F6" w14:textId="224F2CA4"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8681DB6" w14:textId="52704AEC"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D488883" w14:textId="38F72B2F"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12A9E8AD" w14:textId="7D406FAE"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B4FFBA8" w14:textId="2C095C99"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6762875" w14:textId="7E32331E"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5DFAF4D5" w14:textId="66E0086C"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F8F7188" w14:textId="3BB00142"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3D036CA9" w14:textId="6A2D1BA3"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76C6BC8" w14:textId="5F8A342C"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56FB013" w14:textId="540074C5"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C90000" w:rsidRPr="00E833A9" w14:paraId="0DD38DF3" w14:textId="77777777" w:rsidTr="00616C3E">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20FD1FFC" w14:textId="72A99A28" w:rsidR="00C90000" w:rsidRPr="00E833A9" w:rsidRDefault="00C90000" w:rsidP="00C90000">
            <w:pPr>
              <w:ind w:firstLine="0"/>
              <w:jc w:val="center"/>
              <w:rPr>
                <w:rFonts w:ascii="Calibri" w:eastAsia="Aptos" w:hAnsi="Calibri" w:cs="Calibri"/>
                <w:color w:val="auto"/>
                <w:sz w:val="18"/>
                <w:szCs w:val="18"/>
              </w:rPr>
            </w:pPr>
            <w:r>
              <w:rPr>
                <w:rFonts w:ascii="Calibri" w:eastAsia="Aptos" w:hAnsi="Calibri" w:cs="Calibri"/>
                <w:color w:val="auto"/>
                <w:sz w:val="18"/>
                <w:szCs w:val="18"/>
              </w:rPr>
              <w:t>3.8.</w:t>
            </w:r>
          </w:p>
        </w:tc>
        <w:tc>
          <w:tcPr>
            <w:tcW w:w="7540" w:type="dxa"/>
            <w:shd w:val="clear" w:color="auto" w:fill="F2F2F2"/>
            <w:vAlign w:val="center"/>
          </w:tcPr>
          <w:p w14:paraId="29C0D479" w14:textId="2E159902" w:rsidR="00C90000" w:rsidRPr="00616C3E" w:rsidRDefault="00C90000" w:rsidP="00C90000">
            <w:pPr>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616C3E">
              <w:rPr>
                <w:rFonts w:eastAsia="Calibri" w:cstheme="minorHAnsi"/>
                <w:color w:val="auto"/>
                <w:sz w:val="18"/>
                <w:szCs w:val="18"/>
              </w:rPr>
              <w:t>Zakup elektrycznego pojazdu do czyszczenia ulic</w:t>
            </w:r>
          </w:p>
        </w:tc>
        <w:tc>
          <w:tcPr>
            <w:tcW w:w="567" w:type="dxa"/>
            <w:shd w:val="clear" w:color="auto" w:fill="C3E098"/>
            <w:vAlign w:val="center"/>
          </w:tcPr>
          <w:p w14:paraId="65A3FC33" w14:textId="7686162D" w:rsidR="00C90000" w:rsidRPr="00E833A9" w:rsidRDefault="00C90000" w:rsidP="00C90000">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F0F0CFD" w14:textId="110DA746" w:rsidR="00C90000" w:rsidRPr="00E833A9" w:rsidRDefault="00C90000" w:rsidP="00C90000">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F72254B" w14:textId="53D6E3B2" w:rsidR="00C90000" w:rsidRPr="00E833A9" w:rsidRDefault="00C90000" w:rsidP="00C90000">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90D90DA" w14:textId="75EA1780" w:rsidR="00C90000" w:rsidRPr="00E833A9" w:rsidRDefault="00C90000" w:rsidP="00C90000">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587AD688" w14:textId="309482A9" w:rsidR="00C90000" w:rsidRPr="00E833A9" w:rsidRDefault="00C90000" w:rsidP="00C90000">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B85095A" w14:textId="4C655C4B" w:rsidR="00C90000" w:rsidRPr="00E833A9" w:rsidRDefault="00C90000" w:rsidP="00C90000">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9C4BBC1" w14:textId="67928D59" w:rsidR="00C90000" w:rsidRPr="00E833A9" w:rsidRDefault="00C90000" w:rsidP="00C90000">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4B63B0E8" w14:textId="7C4582F1" w:rsidR="00C90000" w:rsidRPr="00E833A9" w:rsidRDefault="00C90000" w:rsidP="00C90000">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A868D4C" w14:textId="11BD622C" w:rsidR="00C90000" w:rsidRPr="00E833A9" w:rsidRDefault="00C90000" w:rsidP="00C90000">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26E76E5C" w14:textId="296BE6F6" w:rsidR="00C90000" w:rsidRPr="00E833A9" w:rsidRDefault="00C90000" w:rsidP="00C90000">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781796B" w14:textId="2B882EF4" w:rsidR="00C90000" w:rsidRPr="00E833A9" w:rsidRDefault="00C90000" w:rsidP="00C90000">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D1BC7F9" w14:textId="227E1A56" w:rsidR="00C90000" w:rsidRPr="00E833A9" w:rsidRDefault="00C90000" w:rsidP="00C90000">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C90000" w:rsidRPr="00E833A9" w14:paraId="7E9486D6" w14:textId="77777777" w:rsidTr="00616C3E">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13D9DA16" w14:textId="30D1245A" w:rsidR="00C90000" w:rsidRPr="00E833A9" w:rsidRDefault="00C90000" w:rsidP="00C90000">
            <w:pPr>
              <w:ind w:firstLine="0"/>
              <w:jc w:val="center"/>
              <w:rPr>
                <w:rFonts w:ascii="Calibri" w:eastAsia="Aptos" w:hAnsi="Calibri" w:cs="Calibri"/>
                <w:color w:val="auto"/>
                <w:sz w:val="18"/>
                <w:szCs w:val="18"/>
              </w:rPr>
            </w:pPr>
            <w:r>
              <w:rPr>
                <w:rFonts w:ascii="Calibri" w:eastAsia="Aptos" w:hAnsi="Calibri" w:cs="Calibri"/>
                <w:color w:val="auto"/>
                <w:sz w:val="18"/>
                <w:szCs w:val="18"/>
              </w:rPr>
              <w:t>3.9.</w:t>
            </w:r>
          </w:p>
        </w:tc>
        <w:tc>
          <w:tcPr>
            <w:tcW w:w="7540" w:type="dxa"/>
            <w:shd w:val="clear" w:color="auto" w:fill="F2F2F2"/>
            <w:vAlign w:val="center"/>
          </w:tcPr>
          <w:p w14:paraId="279027CE" w14:textId="0D9BA40B" w:rsidR="00C90000" w:rsidRPr="00616C3E" w:rsidRDefault="00C90000" w:rsidP="00C90000">
            <w:pPr>
              <w:ind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616C3E">
              <w:rPr>
                <w:rFonts w:eastAsia="Calibri" w:cstheme="minorHAnsi"/>
                <w:color w:val="auto"/>
                <w:sz w:val="18"/>
                <w:szCs w:val="18"/>
              </w:rPr>
              <w:t>Zakup samochodu hybrydowego plug-in na potrzeby Urzędu Miejskiego</w:t>
            </w:r>
          </w:p>
        </w:tc>
        <w:tc>
          <w:tcPr>
            <w:tcW w:w="567" w:type="dxa"/>
            <w:shd w:val="clear" w:color="auto" w:fill="C3E098"/>
            <w:vAlign w:val="center"/>
          </w:tcPr>
          <w:p w14:paraId="6053CAF2" w14:textId="5AC52AF5" w:rsidR="00C90000" w:rsidRPr="00E833A9" w:rsidRDefault="00C90000" w:rsidP="00C90000">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99DA033" w14:textId="590DF16A" w:rsidR="00C90000" w:rsidRPr="00E833A9" w:rsidRDefault="00C90000" w:rsidP="00C90000">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F1788C9" w14:textId="06F34561" w:rsidR="00C90000" w:rsidRPr="00E833A9" w:rsidRDefault="00C90000" w:rsidP="00C90000">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4E77311" w14:textId="3DB953DC" w:rsidR="00C90000" w:rsidRPr="00E833A9" w:rsidRDefault="00C90000" w:rsidP="00C90000">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7E362A50" w14:textId="09D2EC8D" w:rsidR="00C90000" w:rsidRPr="00E833A9" w:rsidRDefault="00C90000" w:rsidP="00C90000">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F0248C7" w14:textId="7BC99797" w:rsidR="00C90000" w:rsidRPr="00E833A9" w:rsidRDefault="00C90000" w:rsidP="00C90000">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5AEF51A" w14:textId="7FC968CC" w:rsidR="00C90000" w:rsidRPr="00E833A9" w:rsidRDefault="00C90000" w:rsidP="00C90000">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73FDB531" w14:textId="6CC65E81" w:rsidR="00C90000" w:rsidRPr="00E833A9" w:rsidRDefault="00C90000" w:rsidP="00C90000">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71D1554" w14:textId="11247992" w:rsidR="00C90000" w:rsidRPr="00E833A9" w:rsidRDefault="00C90000" w:rsidP="00C90000">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61C83385" w14:textId="3F588F82" w:rsidR="00C90000" w:rsidRPr="00E833A9" w:rsidRDefault="00C90000" w:rsidP="00C90000">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86D66C2" w14:textId="43865447" w:rsidR="00C90000" w:rsidRPr="00E833A9" w:rsidRDefault="00C90000" w:rsidP="00C90000">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80BFA76" w14:textId="135C10C5" w:rsidR="00C90000" w:rsidRPr="00E833A9" w:rsidRDefault="00C90000" w:rsidP="00C90000">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3011691A"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55495095"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4.1.</w:t>
            </w:r>
          </w:p>
        </w:tc>
        <w:tc>
          <w:tcPr>
            <w:tcW w:w="7540" w:type="dxa"/>
            <w:shd w:val="clear" w:color="auto" w:fill="FFFFFF"/>
            <w:vAlign w:val="center"/>
          </w:tcPr>
          <w:p w14:paraId="78A54FCC" w14:textId="77777777" w:rsidR="00616C3E" w:rsidRPr="00E833A9" w:rsidRDefault="00616C3E" w:rsidP="00616C3E">
            <w:pPr>
              <w:ind w:firstLine="0"/>
              <w:jc w:val="left"/>
              <w:cnfStyle w:val="000000000000" w:firstRow="0" w:lastRow="0" w:firstColumn="0" w:lastColumn="0" w:oddVBand="0" w:evenVBand="0" w:oddHBand="0" w:evenHBand="0" w:firstRowFirstColumn="0" w:firstRowLastColumn="0" w:lastRowFirstColumn="0" w:lastRowLastColumn="0"/>
              <w:rPr>
                <w:rFonts w:ascii="Calibri" w:eastAsia="Aptos" w:hAnsi="Calibri" w:cs="Calibri"/>
                <w:b/>
                <w:bCs/>
                <w:color w:val="auto"/>
                <w:sz w:val="18"/>
                <w:szCs w:val="18"/>
                <w:lang w:eastAsia="pl-PL"/>
              </w:rPr>
            </w:pPr>
            <w:r w:rsidRPr="00E833A9">
              <w:rPr>
                <w:rFonts w:ascii="Calibri" w:eastAsia="Aptos" w:hAnsi="Calibri" w:cs="Calibri"/>
                <w:color w:val="auto"/>
                <w:sz w:val="18"/>
                <w:szCs w:val="18"/>
                <w:lang w:eastAsia="pl-PL"/>
              </w:rPr>
              <w:t>Wsparcie i promocja rozwoju OZE, szczególnie fotowoltaiki</w:t>
            </w:r>
          </w:p>
        </w:tc>
        <w:tc>
          <w:tcPr>
            <w:tcW w:w="567" w:type="dxa"/>
            <w:shd w:val="clear" w:color="auto" w:fill="C3E098"/>
            <w:vAlign w:val="center"/>
          </w:tcPr>
          <w:p w14:paraId="78F345FC"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7D0BE92"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E2BC1C8"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FB5C7DC"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BC11139"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8BE8A6D"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0D165D1"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C3BE442"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0B08FF1"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708EF3D4"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72CFFB5"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45A879D"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264E1B65"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26F9E6D5"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4.2.</w:t>
            </w:r>
          </w:p>
        </w:tc>
        <w:tc>
          <w:tcPr>
            <w:tcW w:w="7540" w:type="dxa"/>
            <w:shd w:val="clear" w:color="auto" w:fill="F2F2F2"/>
            <w:vAlign w:val="center"/>
          </w:tcPr>
          <w:p w14:paraId="5C1951CB" w14:textId="77777777" w:rsidR="00616C3E" w:rsidRPr="00E833A9" w:rsidRDefault="00616C3E" w:rsidP="00616C3E">
            <w:pPr>
              <w:ind w:firstLine="0"/>
              <w:jc w:val="left"/>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lang w:eastAsia="pl-PL"/>
              </w:rPr>
            </w:pPr>
            <w:r w:rsidRPr="00E833A9">
              <w:rPr>
                <w:rFonts w:ascii="Calibri" w:eastAsia="Aptos" w:hAnsi="Calibri" w:cs="Calibri"/>
                <w:color w:val="auto"/>
                <w:sz w:val="18"/>
                <w:szCs w:val="18"/>
                <w:lang w:eastAsia="pl-PL"/>
              </w:rPr>
              <w:t>Kontrole spalania odpadów w przydomowych kotłach</w:t>
            </w:r>
          </w:p>
        </w:tc>
        <w:tc>
          <w:tcPr>
            <w:tcW w:w="567" w:type="dxa"/>
            <w:shd w:val="clear" w:color="auto" w:fill="C3E098"/>
            <w:vAlign w:val="center"/>
          </w:tcPr>
          <w:p w14:paraId="5263BF79"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7B55FEB"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642DA7D7"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68CCB68"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226428A1"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77765C7"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A887376"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1FC24C90"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7BFFE9DB"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23BB6395"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6E809B1"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EC8BED6"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5E686D08"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1D7DAAB7"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4.3.</w:t>
            </w:r>
          </w:p>
        </w:tc>
        <w:tc>
          <w:tcPr>
            <w:tcW w:w="7540" w:type="dxa"/>
            <w:shd w:val="clear" w:color="auto" w:fill="FFFFFF"/>
            <w:vAlign w:val="center"/>
          </w:tcPr>
          <w:p w14:paraId="790AEAB8" w14:textId="77777777" w:rsidR="00616C3E" w:rsidRPr="00E833A9" w:rsidRDefault="00616C3E" w:rsidP="00616C3E">
            <w:pPr>
              <w:ind w:firstLine="0"/>
              <w:jc w:val="left"/>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lang w:eastAsia="pl-PL"/>
              </w:rPr>
            </w:pPr>
            <w:r w:rsidRPr="00E833A9">
              <w:rPr>
                <w:rFonts w:ascii="Calibri" w:eastAsia="Times New Roman" w:hAnsi="Calibri" w:cs="Calibri"/>
                <w:color w:val="auto"/>
                <w:sz w:val="18"/>
                <w:szCs w:val="18"/>
                <w:lang w:eastAsia="pl-PL"/>
              </w:rPr>
              <w:t>Rewitalizacja budynku dawnego urzędu na potrzeby społeczne i kulturalne</w:t>
            </w:r>
          </w:p>
        </w:tc>
        <w:tc>
          <w:tcPr>
            <w:tcW w:w="567" w:type="dxa"/>
            <w:shd w:val="clear" w:color="auto" w:fill="C3E098"/>
            <w:vAlign w:val="center"/>
          </w:tcPr>
          <w:p w14:paraId="32DB968C"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2D2B3C85"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EBD94FA"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A0932C7"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DEDF527"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CE2B28F"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FE8E62C"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4D3181B"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150696C"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4E9351D"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1A7946B"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4F5A285"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0E4B0FEB"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672BA5E5"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4.4.</w:t>
            </w:r>
          </w:p>
        </w:tc>
        <w:tc>
          <w:tcPr>
            <w:tcW w:w="7540" w:type="dxa"/>
            <w:shd w:val="clear" w:color="auto" w:fill="F2F2F2"/>
            <w:vAlign w:val="center"/>
          </w:tcPr>
          <w:p w14:paraId="108821CE" w14:textId="77777777" w:rsidR="00616C3E" w:rsidRPr="00E833A9" w:rsidRDefault="00616C3E" w:rsidP="00616C3E">
            <w:pPr>
              <w:ind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Times New Roman" w:hAnsi="Calibri" w:cs="Calibri"/>
                <w:color w:val="auto"/>
                <w:sz w:val="18"/>
                <w:szCs w:val="18"/>
                <w:lang w:eastAsia="pl-PL"/>
              </w:rPr>
              <w:t>Termomodernizacja budynku Tarnogrodzkiego Ośrodka Kultury</w:t>
            </w:r>
          </w:p>
        </w:tc>
        <w:tc>
          <w:tcPr>
            <w:tcW w:w="567" w:type="dxa"/>
            <w:shd w:val="clear" w:color="auto" w:fill="C3E098"/>
            <w:vAlign w:val="center"/>
          </w:tcPr>
          <w:p w14:paraId="5185869F"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0A8A50BD"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748275E"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61B30A5"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C25E834"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54A10EB"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577F54B"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60A03A1"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93A18F9"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4DCC800"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4F15CAD"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A7D26EC"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63E1E4DF"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70AE5839"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4.5.</w:t>
            </w:r>
          </w:p>
        </w:tc>
        <w:tc>
          <w:tcPr>
            <w:tcW w:w="7540" w:type="dxa"/>
            <w:shd w:val="clear" w:color="auto" w:fill="FFFFFF"/>
            <w:vAlign w:val="center"/>
          </w:tcPr>
          <w:p w14:paraId="6B7B8933" w14:textId="77777777" w:rsidR="00616C3E" w:rsidRPr="00E833A9" w:rsidRDefault="00616C3E" w:rsidP="00616C3E">
            <w:pPr>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Times New Roman" w:hAnsi="Calibri" w:cs="Calibri"/>
                <w:color w:val="auto"/>
                <w:sz w:val="18"/>
                <w:szCs w:val="18"/>
                <w:lang w:eastAsia="pl-PL"/>
              </w:rPr>
              <w:t>Modernizacja energetyczna budynków użyteczności publicznej</w:t>
            </w:r>
          </w:p>
        </w:tc>
        <w:tc>
          <w:tcPr>
            <w:tcW w:w="567" w:type="dxa"/>
            <w:shd w:val="clear" w:color="auto" w:fill="C3E098"/>
            <w:vAlign w:val="center"/>
          </w:tcPr>
          <w:p w14:paraId="7D4B6B86"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5168F993"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33B6D05"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9D232E1"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FF6C850"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96F9873"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938697D"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433C7F7"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18B0368"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D0E7ADB"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F8C07BE"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A11B1E2"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30D8C32A"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6C161A92"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4.6.</w:t>
            </w:r>
          </w:p>
        </w:tc>
        <w:tc>
          <w:tcPr>
            <w:tcW w:w="7540" w:type="dxa"/>
            <w:shd w:val="clear" w:color="auto" w:fill="F2F2F2"/>
            <w:vAlign w:val="center"/>
          </w:tcPr>
          <w:p w14:paraId="270651E5" w14:textId="77777777" w:rsidR="00616C3E" w:rsidRPr="00E833A9" w:rsidRDefault="00616C3E" w:rsidP="00616C3E">
            <w:pPr>
              <w:ind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Times New Roman" w:hAnsi="Calibri" w:cs="Calibri"/>
                <w:color w:val="auto"/>
                <w:sz w:val="18"/>
                <w:szCs w:val="18"/>
                <w:lang w:eastAsia="pl-PL"/>
              </w:rPr>
              <w:t>Klaster energetyczny – kooperacja na poziomie Partnerstwa</w:t>
            </w:r>
          </w:p>
        </w:tc>
        <w:tc>
          <w:tcPr>
            <w:tcW w:w="567" w:type="dxa"/>
            <w:shd w:val="clear" w:color="auto" w:fill="C3E098"/>
            <w:vAlign w:val="center"/>
          </w:tcPr>
          <w:p w14:paraId="38808599"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5921C65"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158120D"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AB961E0"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64ECB074"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73A496D"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21FBB08"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5656F2FA"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0B44F30"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004ED3A3"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6B19B69B"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47F4076"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694C3371"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06C3E300"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4.7.</w:t>
            </w:r>
          </w:p>
        </w:tc>
        <w:tc>
          <w:tcPr>
            <w:tcW w:w="7540" w:type="dxa"/>
            <w:shd w:val="clear" w:color="auto" w:fill="FFFFFF"/>
            <w:vAlign w:val="center"/>
          </w:tcPr>
          <w:p w14:paraId="23E82814" w14:textId="77777777" w:rsidR="00616C3E" w:rsidRPr="00E833A9" w:rsidRDefault="00616C3E" w:rsidP="00616C3E">
            <w:pPr>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Times New Roman" w:hAnsi="Calibri" w:cs="Calibri"/>
                <w:color w:val="auto"/>
                <w:sz w:val="18"/>
                <w:szCs w:val="18"/>
                <w:lang w:eastAsia="pl-PL"/>
              </w:rPr>
              <w:t>Spółdzielnia energetyczna – kooperacja na poziomie Partnerstwa</w:t>
            </w:r>
          </w:p>
        </w:tc>
        <w:tc>
          <w:tcPr>
            <w:tcW w:w="567" w:type="dxa"/>
            <w:shd w:val="clear" w:color="auto" w:fill="C3E098"/>
            <w:vAlign w:val="center"/>
          </w:tcPr>
          <w:p w14:paraId="1C566022"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8B2BC2A"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BE9597F"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21B267F"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66A082F1"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6CC4938"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621C8E0"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692429EA"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B68EF78"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73B792ED"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648C811C"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D42087A"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7F44E491"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2B5E7176"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4.8.</w:t>
            </w:r>
          </w:p>
        </w:tc>
        <w:tc>
          <w:tcPr>
            <w:tcW w:w="7540" w:type="dxa"/>
            <w:shd w:val="clear" w:color="auto" w:fill="F2F2F2"/>
            <w:vAlign w:val="center"/>
          </w:tcPr>
          <w:p w14:paraId="6133758F" w14:textId="77777777" w:rsidR="00616C3E" w:rsidRPr="00E833A9" w:rsidRDefault="00616C3E" w:rsidP="00616C3E">
            <w:pPr>
              <w:ind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Calibri" w:hAnsi="Calibri" w:cs="Calibri"/>
                <w:color w:val="auto"/>
                <w:sz w:val="18"/>
                <w:szCs w:val="18"/>
              </w:rPr>
              <w:t>Inteligentne oświetlenie przestrzeni publicznej</w:t>
            </w:r>
          </w:p>
        </w:tc>
        <w:tc>
          <w:tcPr>
            <w:tcW w:w="567" w:type="dxa"/>
            <w:shd w:val="clear" w:color="auto" w:fill="C3E098"/>
            <w:vAlign w:val="center"/>
          </w:tcPr>
          <w:p w14:paraId="0E31E9E9"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BE745E5"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2712926"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A44712B"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1EB65AB6"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4C2B4A9"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4C99883E"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90C8BFD"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1633E1B"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47525971"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D3E1067"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1081CC8"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1145CCB2"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11018C8F"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4.9.</w:t>
            </w:r>
          </w:p>
        </w:tc>
        <w:tc>
          <w:tcPr>
            <w:tcW w:w="7540" w:type="dxa"/>
            <w:shd w:val="clear" w:color="auto" w:fill="FFFFFF"/>
            <w:vAlign w:val="center"/>
          </w:tcPr>
          <w:p w14:paraId="037A036C" w14:textId="77777777" w:rsidR="00616C3E" w:rsidRPr="00E833A9" w:rsidRDefault="00616C3E" w:rsidP="00616C3E">
            <w:pPr>
              <w:ind w:firstLine="0"/>
              <w:jc w:val="left"/>
              <w:cnfStyle w:val="000000000000" w:firstRow="0" w:lastRow="0" w:firstColumn="0" w:lastColumn="0" w:oddVBand="0" w:evenVBand="0" w:oddHBand="0" w:evenHBand="0" w:firstRowFirstColumn="0" w:firstRowLastColumn="0" w:lastRowFirstColumn="0" w:lastRowLastColumn="0"/>
              <w:rPr>
                <w:rFonts w:ascii="Calibri" w:eastAsia="Calibri" w:hAnsi="Calibri" w:cs="Calibri"/>
                <w:color w:val="auto"/>
                <w:sz w:val="18"/>
                <w:szCs w:val="18"/>
              </w:rPr>
            </w:pPr>
            <w:r w:rsidRPr="00E833A9">
              <w:rPr>
                <w:rFonts w:ascii="Calibri" w:eastAsia="Calibri" w:hAnsi="Calibri" w:cs="Calibri"/>
                <w:color w:val="auto"/>
                <w:sz w:val="18"/>
                <w:szCs w:val="18"/>
              </w:rPr>
              <w:t>Modernizacja sieci energetycznych</w:t>
            </w:r>
          </w:p>
        </w:tc>
        <w:tc>
          <w:tcPr>
            <w:tcW w:w="567" w:type="dxa"/>
            <w:shd w:val="clear" w:color="auto" w:fill="C3E098"/>
            <w:vAlign w:val="center"/>
          </w:tcPr>
          <w:p w14:paraId="7AE205EC"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4C0A17B5"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A3C6707"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A493D14"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26B8F153"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00EB474"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F2D7B90"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3EEA30B5"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95B7116"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040E30F6"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F790A49"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18C5FD8"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2A8764BE"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3DCA795E"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5.1.</w:t>
            </w:r>
          </w:p>
        </w:tc>
        <w:tc>
          <w:tcPr>
            <w:tcW w:w="7540" w:type="dxa"/>
            <w:shd w:val="clear" w:color="auto" w:fill="F2F2F2"/>
            <w:vAlign w:val="center"/>
          </w:tcPr>
          <w:p w14:paraId="1B9EE78A" w14:textId="77777777" w:rsidR="00616C3E" w:rsidRPr="00E833A9" w:rsidRDefault="00616C3E" w:rsidP="00616C3E">
            <w:pPr>
              <w:ind w:firstLine="0"/>
              <w:jc w:val="left"/>
              <w:cnfStyle w:val="000000100000" w:firstRow="0" w:lastRow="0" w:firstColumn="0" w:lastColumn="0" w:oddVBand="0" w:evenVBand="0" w:oddHBand="1" w:evenHBand="0" w:firstRowFirstColumn="0" w:firstRowLastColumn="0" w:lastRowFirstColumn="0" w:lastRowLastColumn="0"/>
              <w:rPr>
                <w:rFonts w:ascii="Calibri" w:eastAsia="Aptos" w:hAnsi="Calibri" w:cs="Calibri"/>
                <w:b/>
                <w:bCs/>
                <w:color w:val="auto"/>
                <w:sz w:val="18"/>
                <w:szCs w:val="18"/>
                <w:lang w:eastAsia="pl-PL"/>
              </w:rPr>
            </w:pPr>
            <w:r w:rsidRPr="00E833A9">
              <w:rPr>
                <w:rFonts w:ascii="Calibri" w:eastAsia="Aptos" w:hAnsi="Calibri" w:cs="Calibri"/>
                <w:color w:val="auto"/>
                <w:sz w:val="18"/>
                <w:szCs w:val="18"/>
                <w:lang w:eastAsia="pl-PL"/>
              </w:rPr>
              <w:t>Wzmocnienie służb ratowniczych</w:t>
            </w:r>
          </w:p>
        </w:tc>
        <w:tc>
          <w:tcPr>
            <w:tcW w:w="567" w:type="dxa"/>
            <w:shd w:val="clear" w:color="auto" w:fill="C3E098"/>
            <w:vAlign w:val="center"/>
          </w:tcPr>
          <w:p w14:paraId="3A254B30"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43C230CD"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BD70370"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2ABA6CB"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E2AA20C"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4977A34"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238008C"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979C4AA"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F7A8460"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A352FD2"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5782FB5"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ECAF0DE"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1153060B"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27309CAD"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lastRenderedPageBreak/>
              <w:t>5.2.</w:t>
            </w:r>
          </w:p>
        </w:tc>
        <w:tc>
          <w:tcPr>
            <w:tcW w:w="7540" w:type="dxa"/>
            <w:shd w:val="clear" w:color="auto" w:fill="FFFFFF"/>
            <w:vAlign w:val="center"/>
          </w:tcPr>
          <w:p w14:paraId="0EF74F8C" w14:textId="77777777" w:rsidR="00616C3E" w:rsidRPr="00E833A9" w:rsidRDefault="00616C3E" w:rsidP="00616C3E">
            <w:pPr>
              <w:ind w:firstLine="0"/>
              <w:jc w:val="left"/>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lang w:eastAsia="pl-PL"/>
              </w:rPr>
            </w:pPr>
            <w:r w:rsidRPr="00E833A9">
              <w:rPr>
                <w:rFonts w:ascii="Calibri" w:eastAsia="Times New Roman" w:hAnsi="Calibri" w:cs="Calibri"/>
                <w:color w:val="auto"/>
                <w:sz w:val="18"/>
                <w:szCs w:val="18"/>
                <w:lang w:eastAsia="pl-PL"/>
              </w:rPr>
              <w:t>Nowe oblicze pomocy społecznej</w:t>
            </w:r>
          </w:p>
        </w:tc>
        <w:tc>
          <w:tcPr>
            <w:tcW w:w="567" w:type="dxa"/>
            <w:shd w:val="clear" w:color="auto" w:fill="C3E098"/>
            <w:vAlign w:val="center"/>
          </w:tcPr>
          <w:p w14:paraId="40B37843"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40198A57"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EDD09F1"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0D33053"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0F1CED2"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7983312"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4EBF8DA"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BB6AFB2"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A7EF3BD"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3597CB8"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B125744"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9AA9CED"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4BC45577"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391B9496"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5.3.</w:t>
            </w:r>
          </w:p>
        </w:tc>
        <w:tc>
          <w:tcPr>
            <w:tcW w:w="7540" w:type="dxa"/>
            <w:shd w:val="clear" w:color="auto" w:fill="F2F2F2"/>
            <w:vAlign w:val="center"/>
          </w:tcPr>
          <w:p w14:paraId="722007FE" w14:textId="77777777" w:rsidR="00616C3E" w:rsidRPr="00E833A9" w:rsidRDefault="00616C3E" w:rsidP="00616C3E">
            <w:pPr>
              <w:ind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Times New Roman" w:hAnsi="Calibri" w:cs="Calibri"/>
                <w:color w:val="auto"/>
                <w:sz w:val="18"/>
                <w:szCs w:val="18"/>
                <w:lang w:eastAsia="pl-PL"/>
              </w:rPr>
              <w:t>Rozwój usług społecznych</w:t>
            </w:r>
          </w:p>
        </w:tc>
        <w:tc>
          <w:tcPr>
            <w:tcW w:w="567" w:type="dxa"/>
            <w:shd w:val="clear" w:color="auto" w:fill="C3E098"/>
            <w:vAlign w:val="center"/>
          </w:tcPr>
          <w:p w14:paraId="51DFA2BE"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B733C73"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EE2D10E"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E7AF8A7"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0EA1EE18"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537D6DF"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A3B2624"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A331A1B"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57D4E5C"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5333DD03"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7B2A1C5"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AF4C8B2"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217FEE47"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460F995C"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5.4.</w:t>
            </w:r>
          </w:p>
        </w:tc>
        <w:tc>
          <w:tcPr>
            <w:tcW w:w="7540" w:type="dxa"/>
            <w:shd w:val="clear" w:color="auto" w:fill="FFFFFF"/>
            <w:vAlign w:val="center"/>
          </w:tcPr>
          <w:p w14:paraId="5F7B442C" w14:textId="77777777" w:rsidR="00616C3E" w:rsidRPr="00E833A9" w:rsidRDefault="00616C3E" w:rsidP="00616C3E">
            <w:pPr>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Times New Roman" w:hAnsi="Calibri" w:cs="Calibri"/>
                <w:color w:val="auto"/>
                <w:sz w:val="18"/>
                <w:szCs w:val="18"/>
                <w:lang w:eastAsia="pl-PL"/>
              </w:rPr>
              <w:t>Modernizacja Środowiskowego Domu Samopomocy</w:t>
            </w:r>
          </w:p>
        </w:tc>
        <w:tc>
          <w:tcPr>
            <w:tcW w:w="567" w:type="dxa"/>
            <w:shd w:val="clear" w:color="auto" w:fill="C3E098"/>
            <w:vAlign w:val="center"/>
          </w:tcPr>
          <w:p w14:paraId="16F33F74"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CD5F519"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7287D27"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755F611"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77CDCD27"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D444F59"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0A4DEAD"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FFF686B"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45594FB"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22413F4C"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C25FF7B"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8C6E65B"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313A7568"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43E4DCA1"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5.5.</w:t>
            </w:r>
          </w:p>
        </w:tc>
        <w:tc>
          <w:tcPr>
            <w:tcW w:w="7540" w:type="dxa"/>
            <w:shd w:val="clear" w:color="auto" w:fill="F2F2F2"/>
            <w:vAlign w:val="center"/>
          </w:tcPr>
          <w:p w14:paraId="3DF0E73A" w14:textId="77777777" w:rsidR="00616C3E" w:rsidRPr="00E833A9" w:rsidRDefault="00616C3E" w:rsidP="00616C3E">
            <w:pPr>
              <w:ind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Times New Roman" w:hAnsi="Calibri" w:cs="Calibri"/>
                <w:color w:val="auto"/>
                <w:sz w:val="18"/>
                <w:szCs w:val="18"/>
                <w:lang w:eastAsia="pl-PL"/>
              </w:rPr>
              <w:t>Rozwój systemu monitoringu i ostrzegania przed ekstremalnymi zjawiskami pogodowymi</w:t>
            </w:r>
          </w:p>
        </w:tc>
        <w:tc>
          <w:tcPr>
            <w:tcW w:w="567" w:type="dxa"/>
            <w:shd w:val="clear" w:color="auto" w:fill="C3E098"/>
            <w:vAlign w:val="center"/>
          </w:tcPr>
          <w:p w14:paraId="5DE374A2"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79FE5F83"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EA31DAD"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2B63DB4"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46A03A5"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21AC84D"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883195F"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87144D4"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C6A4165"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135BAB5E"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EC9E960"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30AD280"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39ED2916"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2AB6E8C1"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5.6.</w:t>
            </w:r>
          </w:p>
        </w:tc>
        <w:tc>
          <w:tcPr>
            <w:tcW w:w="7540" w:type="dxa"/>
            <w:shd w:val="clear" w:color="auto" w:fill="FFFFFF"/>
            <w:vAlign w:val="center"/>
          </w:tcPr>
          <w:p w14:paraId="460C0303" w14:textId="77777777" w:rsidR="00616C3E" w:rsidRPr="00E833A9" w:rsidRDefault="00616C3E" w:rsidP="00616C3E">
            <w:pPr>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Times New Roman" w:hAnsi="Calibri" w:cs="Calibri"/>
                <w:color w:val="auto"/>
                <w:sz w:val="18"/>
                <w:szCs w:val="18"/>
                <w:lang w:eastAsia="pl-PL"/>
              </w:rPr>
              <w:t>Aktualizacja planów kryzysowych</w:t>
            </w:r>
          </w:p>
        </w:tc>
        <w:tc>
          <w:tcPr>
            <w:tcW w:w="567" w:type="dxa"/>
            <w:shd w:val="clear" w:color="auto" w:fill="C3E098"/>
            <w:vAlign w:val="center"/>
          </w:tcPr>
          <w:p w14:paraId="55DC6E31"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047C416B"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DE663C3"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A8E0B06"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649E78E"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C450E86"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04AFFA7"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83E5C65"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B6B6767"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626ADD04"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8ADD35F"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F92B315"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706DAB1F"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5A4DFF97"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6.1.</w:t>
            </w:r>
          </w:p>
        </w:tc>
        <w:tc>
          <w:tcPr>
            <w:tcW w:w="7540" w:type="dxa"/>
            <w:shd w:val="clear" w:color="auto" w:fill="F2F2F2"/>
            <w:vAlign w:val="center"/>
          </w:tcPr>
          <w:p w14:paraId="7D533272" w14:textId="77777777" w:rsidR="00616C3E" w:rsidRPr="00E833A9" w:rsidRDefault="00616C3E" w:rsidP="00616C3E">
            <w:pPr>
              <w:ind w:firstLine="0"/>
              <w:jc w:val="left"/>
              <w:cnfStyle w:val="000000100000" w:firstRow="0" w:lastRow="0" w:firstColumn="0" w:lastColumn="0" w:oddVBand="0" w:evenVBand="0" w:oddHBand="1" w:evenHBand="0" w:firstRowFirstColumn="0" w:firstRowLastColumn="0" w:lastRowFirstColumn="0" w:lastRowLastColumn="0"/>
              <w:rPr>
                <w:rFonts w:ascii="Calibri" w:eastAsia="Aptos" w:hAnsi="Calibri" w:cs="Calibri"/>
                <w:b/>
                <w:bCs/>
                <w:color w:val="auto"/>
                <w:sz w:val="18"/>
                <w:szCs w:val="18"/>
                <w:lang w:eastAsia="pl-PL"/>
              </w:rPr>
            </w:pPr>
            <w:r w:rsidRPr="00E833A9">
              <w:rPr>
                <w:rFonts w:ascii="Calibri" w:eastAsia="Times New Roman" w:hAnsi="Calibri" w:cs="Calibri"/>
                <w:color w:val="auto"/>
                <w:sz w:val="18"/>
                <w:szCs w:val="18"/>
                <w:lang w:eastAsia="pl-PL"/>
              </w:rPr>
              <w:t>Proekologiczna postawa mieszkańców</w:t>
            </w:r>
          </w:p>
        </w:tc>
        <w:tc>
          <w:tcPr>
            <w:tcW w:w="567" w:type="dxa"/>
            <w:shd w:val="clear" w:color="auto" w:fill="C3E098"/>
            <w:vAlign w:val="center"/>
          </w:tcPr>
          <w:p w14:paraId="7BC34382"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D01DB6C"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B4B8831"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BB47DFE"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165249F9"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DECA0FB"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9E8C0FC"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1404A81"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A771139"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44DCBA28"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2DE7382"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B024069"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016E10BE"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3A4AC032"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6.2.</w:t>
            </w:r>
          </w:p>
        </w:tc>
        <w:tc>
          <w:tcPr>
            <w:tcW w:w="7540" w:type="dxa"/>
            <w:shd w:val="clear" w:color="auto" w:fill="FFFFFF"/>
            <w:vAlign w:val="center"/>
          </w:tcPr>
          <w:p w14:paraId="60BC026C" w14:textId="77777777" w:rsidR="00616C3E" w:rsidRPr="00E833A9" w:rsidRDefault="00616C3E" w:rsidP="00616C3E">
            <w:pPr>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Times New Roman" w:hAnsi="Calibri" w:cs="Calibri"/>
                <w:color w:val="auto"/>
                <w:sz w:val="18"/>
                <w:szCs w:val="18"/>
                <w:lang w:eastAsia="pl-PL"/>
              </w:rPr>
              <w:t>Lekcje ekologiczne dla dzieci</w:t>
            </w:r>
          </w:p>
        </w:tc>
        <w:tc>
          <w:tcPr>
            <w:tcW w:w="567" w:type="dxa"/>
            <w:shd w:val="clear" w:color="auto" w:fill="C3E098"/>
            <w:vAlign w:val="center"/>
          </w:tcPr>
          <w:p w14:paraId="27B5D548"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5C40227"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B934139"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B3A043E"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2BC1A4E1"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EDF0403"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CA9AA61"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3FA030F"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9543CA8"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7FA7A336"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D2D58EF"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FB9AEA7"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424AEFCD"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7684F4DA"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6.3.</w:t>
            </w:r>
          </w:p>
        </w:tc>
        <w:tc>
          <w:tcPr>
            <w:tcW w:w="7540" w:type="dxa"/>
            <w:shd w:val="clear" w:color="auto" w:fill="F2F2F2"/>
            <w:vAlign w:val="center"/>
          </w:tcPr>
          <w:p w14:paraId="65B2595D" w14:textId="77777777" w:rsidR="00616C3E" w:rsidRPr="00E833A9" w:rsidRDefault="00616C3E" w:rsidP="00616C3E">
            <w:pPr>
              <w:ind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Times New Roman" w:hAnsi="Calibri" w:cs="Calibri"/>
                <w:color w:val="auto"/>
                <w:sz w:val="18"/>
                <w:szCs w:val="18"/>
                <w:lang w:eastAsia="pl-PL"/>
              </w:rPr>
              <w:t>Kampania informacyjna skierowana do przedsiębiorców</w:t>
            </w:r>
          </w:p>
        </w:tc>
        <w:tc>
          <w:tcPr>
            <w:tcW w:w="567" w:type="dxa"/>
            <w:shd w:val="clear" w:color="auto" w:fill="C3E098"/>
            <w:vAlign w:val="center"/>
          </w:tcPr>
          <w:p w14:paraId="061B2812"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ADCE180"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6C3D6B8"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2114E47"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6CF4AFD0"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209BD59"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AB1B069"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DC98504"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7009EE7"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4DDCE373"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E0EA352"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29C53E3"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5F86A327"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4FDE5820"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6.4.</w:t>
            </w:r>
          </w:p>
        </w:tc>
        <w:tc>
          <w:tcPr>
            <w:tcW w:w="7540" w:type="dxa"/>
            <w:shd w:val="clear" w:color="auto" w:fill="FFFFFF"/>
            <w:vAlign w:val="center"/>
          </w:tcPr>
          <w:p w14:paraId="1FE7AD80" w14:textId="77777777" w:rsidR="00616C3E" w:rsidRPr="00E833A9" w:rsidRDefault="00616C3E" w:rsidP="00616C3E">
            <w:pPr>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Times New Roman" w:hAnsi="Calibri" w:cs="Calibri"/>
                <w:color w:val="auto"/>
                <w:sz w:val="18"/>
                <w:szCs w:val="18"/>
                <w:lang w:eastAsia="pl-PL"/>
              </w:rPr>
              <w:t>Pokazy filmów o tematyce ekologicznej</w:t>
            </w:r>
          </w:p>
        </w:tc>
        <w:tc>
          <w:tcPr>
            <w:tcW w:w="567" w:type="dxa"/>
            <w:shd w:val="clear" w:color="auto" w:fill="C3E098"/>
            <w:vAlign w:val="center"/>
          </w:tcPr>
          <w:p w14:paraId="15F7D43B"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F958EE8"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7985252"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99AC6D0"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41CA0E27"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F8DB9EB"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B225EB5"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0984D26"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DD48D56"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7E3EF0AF"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FA45E9D"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FCE7C62"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60B1E961"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4B2DEA35"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6.5.</w:t>
            </w:r>
          </w:p>
        </w:tc>
        <w:tc>
          <w:tcPr>
            <w:tcW w:w="7540" w:type="dxa"/>
            <w:shd w:val="clear" w:color="auto" w:fill="F2F2F2"/>
            <w:vAlign w:val="center"/>
          </w:tcPr>
          <w:p w14:paraId="3B7EC154" w14:textId="77777777" w:rsidR="00616C3E" w:rsidRPr="00E833A9" w:rsidRDefault="00616C3E" w:rsidP="00616C3E">
            <w:pPr>
              <w:ind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Aptos" w:hAnsi="Calibri" w:cs="Calibri"/>
                <w:color w:val="auto"/>
                <w:sz w:val="18"/>
                <w:szCs w:val="18"/>
                <w:lang w:eastAsia="pl-PL"/>
              </w:rPr>
              <w:t>Spotkania dyskusyjne nad książkami o tematyce ekologicznej</w:t>
            </w:r>
          </w:p>
        </w:tc>
        <w:tc>
          <w:tcPr>
            <w:tcW w:w="567" w:type="dxa"/>
            <w:shd w:val="clear" w:color="auto" w:fill="C3E098"/>
            <w:vAlign w:val="center"/>
          </w:tcPr>
          <w:p w14:paraId="08CB97B3"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5875BE3"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4DCCD3C"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5BA525D"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27F66BEA"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396B757"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8045B73"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A351243"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10A52C2"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04159BB8"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C03A102"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244B3C8"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591B402B"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24531365"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6.6.</w:t>
            </w:r>
          </w:p>
        </w:tc>
        <w:tc>
          <w:tcPr>
            <w:tcW w:w="7540" w:type="dxa"/>
            <w:shd w:val="clear" w:color="auto" w:fill="FFFFFF"/>
            <w:vAlign w:val="center"/>
          </w:tcPr>
          <w:p w14:paraId="221BC569" w14:textId="77777777" w:rsidR="00616C3E" w:rsidRPr="00E833A9" w:rsidRDefault="00616C3E" w:rsidP="00616C3E">
            <w:pPr>
              <w:ind w:firstLine="0"/>
              <w:jc w:val="left"/>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lang w:eastAsia="pl-PL"/>
              </w:rPr>
            </w:pPr>
            <w:r w:rsidRPr="00E833A9">
              <w:rPr>
                <w:rFonts w:ascii="Calibri" w:eastAsia="Times New Roman" w:hAnsi="Calibri" w:cs="Calibri"/>
                <w:color w:val="auto"/>
                <w:sz w:val="18"/>
                <w:szCs w:val="18"/>
                <w:lang w:eastAsia="pl-PL"/>
              </w:rPr>
              <w:t>Czytanie dla dzieci książek o tematyce ekologicznej</w:t>
            </w:r>
          </w:p>
        </w:tc>
        <w:tc>
          <w:tcPr>
            <w:tcW w:w="567" w:type="dxa"/>
            <w:shd w:val="clear" w:color="auto" w:fill="C3E098"/>
            <w:vAlign w:val="center"/>
          </w:tcPr>
          <w:p w14:paraId="1E711E12"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49B529B"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5BCFBC0"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E12968B"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6A262943"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509D637"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56BE4E1"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73870F7"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B529CDB"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0B585155"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634E033"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589F8D1"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444FEF3B" w14:textId="77777777" w:rsidTr="001F2281">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2F2F2"/>
            <w:vAlign w:val="center"/>
          </w:tcPr>
          <w:p w14:paraId="05798E16"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6.7.</w:t>
            </w:r>
          </w:p>
        </w:tc>
        <w:tc>
          <w:tcPr>
            <w:tcW w:w="7540" w:type="dxa"/>
            <w:shd w:val="clear" w:color="auto" w:fill="F2F2F2"/>
            <w:vAlign w:val="center"/>
          </w:tcPr>
          <w:p w14:paraId="234C9B04" w14:textId="77777777" w:rsidR="00616C3E" w:rsidRPr="00E833A9" w:rsidRDefault="00616C3E" w:rsidP="00616C3E">
            <w:pPr>
              <w:ind w:firstLine="0"/>
              <w:jc w:val="left"/>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Times New Roman" w:hAnsi="Calibri" w:cs="Calibri"/>
                <w:color w:val="auto"/>
                <w:sz w:val="18"/>
                <w:szCs w:val="18"/>
                <w:lang w:eastAsia="pl-PL"/>
              </w:rPr>
              <w:t>Spektakle teatralne przeplatające tematy ekologiczne</w:t>
            </w:r>
          </w:p>
        </w:tc>
        <w:tc>
          <w:tcPr>
            <w:tcW w:w="567" w:type="dxa"/>
            <w:shd w:val="clear" w:color="auto" w:fill="C3E098"/>
            <w:vAlign w:val="center"/>
          </w:tcPr>
          <w:p w14:paraId="4CE3A4B2"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4321C00"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216915F3"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77BDEF9"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4625CC2D"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3316AC65"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7E07490"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8E471EF"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EF3AB72"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65053B82"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4C8D740"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7F670BD" w14:textId="77777777" w:rsidR="00616C3E" w:rsidRPr="00E833A9" w:rsidRDefault="00616C3E" w:rsidP="00616C3E">
            <w:pPr>
              <w:ind w:firstLine="0"/>
              <w:jc w:val="center"/>
              <w:cnfStyle w:val="000000100000" w:firstRow="0" w:lastRow="0" w:firstColumn="0" w:lastColumn="0" w:oddVBand="0" w:evenVBand="0" w:oddHBand="1"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r w:rsidR="00616C3E" w:rsidRPr="00E833A9" w14:paraId="69C9DB64" w14:textId="77777777" w:rsidTr="001F2281">
        <w:trPr>
          <w:trHeight w:val="340"/>
        </w:trPr>
        <w:tc>
          <w:tcPr>
            <w:cnfStyle w:val="001000000000" w:firstRow="0" w:lastRow="0" w:firstColumn="1" w:lastColumn="0" w:oddVBand="0" w:evenVBand="0" w:oddHBand="0" w:evenHBand="0" w:firstRowFirstColumn="0" w:firstRowLastColumn="0" w:lastRowFirstColumn="0" w:lastRowLastColumn="0"/>
            <w:tcW w:w="586" w:type="dxa"/>
            <w:shd w:val="clear" w:color="auto" w:fill="FFFFFF"/>
            <w:vAlign w:val="center"/>
          </w:tcPr>
          <w:p w14:paraId="49998BEA" w14:textId="77777777" w:rsidR="00616C3E" w:rsidRPr="00E833A9" w:rsidRDefault="00616C3E" w:rsidP="00616C3E">
            <w:pPr>
              <w:ind w:firstLine="0"/>
              <w:jc w:val="center"/>
              <w:rPr>
                <w:rFonts w:ascii="Calibri" w:eastAsia="Aptos" w:hAnsi="Calibri" w:cs="Calibri"/>
                <w:color w:val="auto"/>
                <w:sz w:val="18"/>
                <w:szCs w:val="18"/>
              </w:rPr>
            </w:pPr>
            <w:r w:rsidRPr="00E833A9">
              <w:rPr>
                <w:rFonts w:ascii="Calibri" w:eastAsia="Aptos" w:hAnsi="Calibri" w:cs="Calibri"/>
                <w:color w:val="auto"/>
                <w:sz w:val="18"/>
                <w:szCs w:val="18"/>
              </w:rPr>
              <w:t>6.8.</w:t>
            </w:r>
          </w:p>
        </w:tc>
        <w:tc>
          <w:tcPr>
            <w:tcW w:w="7540" w:type="dxa"/>
            <w:shd w:val="clear" w:color="auto" w:fill="FFFFFF"/>
            <w:vAlign w:val="center"/>
          </w:tcPr>
          <w:p w14:paraId="229975EA" w14:textId="77777777" w:rsidR="00616C3E" w:rsidRPr="00E833A9" w:rsidRDefault="00616C3E" w:rsidP="00616C3E">
            <w:pPr>
              <w:ind w:firstLine="0"/>
              <w:jc w:val="left"/>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auto"/>
                <w:sz w:val="18"/>
                <w:szCs w:val="18"/>
                <w:lang w:eastAsia="pl-PL"/>
              </w:rPr>
            </w:pPr>
            <w:r w:rsidRPr="00E833A9">
              <w:rPr>
                <w:rFonts w:ascii="Calibri" w:eastAsia="Times New Roman" w:hAnsi="Calibri" w:cs="Calibri"/>
                <w:color w:val="auto"/>
                <w:sz w:val="18"/>
                <w:szCs w:val="18"/>
                <w:lang w:eastAsia="pl-PL"/>
              </w:rPr>
              <w:t>Wspieranie organizacji pozarządowych w działaniach związanych z tematyką ochrony przyrody</w:t>
            </w:r>
          </w:p>
        </w:tc>
        <w:tc>
          <w:tcPr>
            <w:tcW w:w="567" w:type="dxa"/>
            <w:shd w:val="clear" w:color="auto" w:fill="C3E098"/>
            <w:vAlign w:val="center"/>
          </w:tcPr>
          <w:p w14:paraId="744D46AE"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39D75A6"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5AB745A2"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3F73A02"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7E79369D"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B3127B7"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77CD4290"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187F792A"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6D57F4A1"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FF7C80"/>
            <w:vAlign w:val="center"/>
          </w:tcPr>
          <w:p w14:paraId="6250C36A"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4F65AE52"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c>
          <w:tcPr>
            <w:tcW w:w="567" w:type="dxa"/>
            <w:shd w:val="clear" w:color="auto" w:fill="C3E098"/>
            <w:vAlign w:val="center"/>
          </w:tcPr>
          <w:p w14:paraId="0ADD6073" w14:textId="77777777" w:rsidR="00616C3E" w:rsidRPr="00E833A9" w:rsidRDefault="00616C3E" w:rsidP="00616C3E">
            <w:pPr>
              <w:ind w:firstLine="0"/>
              <w:jc w:val="center"/>
              <w:cnfStyle w:val="000000000000" w:firstRow="0" w:lastRow="0" w:firstColumn="0" w:lastColumn="0" w:oddVBand="0" w:evenVBand="0" w:oddHBand="0" w:evenHBand="0" w:firstRowFirstColumn="0" w:firstRowLastColumn="0" w:lastRowFirstColumn="0" w:lastRowLastColumn="0"/>
              <w:rPr>
                <w:rFonts w:ascii="Calibri" w:eastAsia="Aptos" w:hAnsi="Calibri" w:cs="Calibri"/>
                <w:color w:val="auto"/>
                <w:sz w:val="18"/>
                <w:szCs w:val="18"/>
              </w:rPr>
            </w:pPr>
            <w:r w:rsidRPr="00E833A9">
              <w:rPr>
                <w:rFonts w:ascii="Calibri" w:eastAsia="Aptos" w:hAnsi="Calibri" w:cs="Calibri"/>
                <w:color w:val="auto"/>
                <w:sz w:val="18"/>
                <w:szCs w:val="18"/>
              </w:rPr>
              <w:t>+</w:t>
            </w:r>
          </w:p>
        </w:tc>
      </w:tr>
    </w:tbl>
    <w:p w14:paraId="2059AFCD" w14:textId="19EC1756" w:rsidR="00EA4C85" w:rsidRDefault="001F2281" w:rsidP="009946BE">
      <w:pPr>
        <w:pStyle w:val="Cytat"/>
      </w:pPr>
      <w:r>
        <w:t>Źródło: op</w:t>
      </w:r>
      <w:r w:rsidR="00463A42">
        <w:t>r</w:t>
      </w:r>
      <w:r>
        <w:t>acowanie własne</w:t>
      </w:r>
    </w:p>
    <w:p w14:paraId="11480AAC" w14:textId="77777777" w:rsidR="00EA4C85" w:rsidRDefault="00EA4C85">
      <w:pPr>
        <w:spacing w:after="200"/>
        <w:ind w:firstLine="0"/>
        <w:jc w:val="left"/>
        <w:rPr>
          <w:rFonts w:cstheme="minorHAnsi"/>
          <w:color w:val="auto"/>
          <w:sz w:val="20"/>
          <w:szCs w:val="20"/>
          <w:lang w:eastAsia="ar-SA"/>
        </w:rPr>
      </w:pPr>
      <w:r>
        <w:br w:type="page"/>
      </w:r>
    </w:p>
    <w:p w14:paraId="28A82AC5" w14:textId="77777777" w:rsidR="00EA4C85" w:rsidRDefault="00EA4C85" w:rsidP="00EA4C85">
      <w:pPr>
        <w:pStyle w:val="Cytat"/>
        <w:keepNext/>
      </w:pPr>
      <w:r>
        <w:rPr>
          <w:noProof/>
        </w:rPr>
        <w:lastRenderedPageBreak/>
        <w:drawing>
          <wp:inline distT="0" distB="0" distL="0" distR="0" wp14:anchorId="065907B8" wp14:editId="66EAE8A5">
            <wp:extent cx="7381668" cy="5219999"/>
            <wp:effectExtent l="19050" t="19050" r="10160" b="19050"/>
            <wp:docPr id="1203618716"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618716" name="Obraz 48"/>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7381668" cy="5219999"/>
                    </a:xfrm>
                    <a:prstGeom prst="rect">
                      <a:avLst/>
                    </a:prstGeom>
                    <a:ln>
                      <a:solidFill>
                        <a:schemeClr val="tx1"/>
                      </a:solidFill>
                    </a:ln>
                  </pic:spPr>
                </pic:pic>
              </a:graphicData>
            </a:graphic>
          </wp:inline>
        </w:drawing>
      </w:r>
    </w:p>
    <w:p w14:paraId="3FE39C33" w14:textId="7FFE843A" w:rsidR="00704454" w:rsidRDefault="00EA4C85" w:rsidP="00EA4C85">
      <w:pPr>
        <w:pStyle w:val="Stylrysunek"/>
      </w:pPr>
      <w:bookmarkStart w:id="275" w:name="_Toc178846394"/>
      <w:r>
        <w:t xml:space="preserve">Rysunek </w:t>
      </w:r>
      <w:r>
        <w:fldChar w:fldCharType="begin"/>
      </w:r>
      <w:r>
        <w:instrText xml:space="preserve"> SEQ Rysunek \* ARABIC </w:instrText>
      </w:r>
      <w:r>
        <w:fldChar w:fldCharType="separate"/>
      </w:r>
      <w:r w:rsidR="00A654D8">
        <w:rPr>
          <w:noProof/>
        </w:rPr>
        <w:t>52</w:t>
      </w:r>
      <w:r>
        <w:rPr>
          <w:noProof/>
        </w:rPr>
        <w:fldChar w:fldCharType="end"/>
      </w:r>
      <w:r>
        <w:t>. Znana lokalizacja zadań</w:t>
      </w:r>
      <w:r w:rsidR="002F223F">
        <w:t xml:space="preserve"> adaptacyjnych</w:t>
      </w:r>
      <w:r>
        <w:t>.</w:t>
      </w:r>
      <w:bookmarkEnd w:id="275"/>
    </w:p>
    <w:p w14:paraId="26160E20" w14:textId="479D34FC" w:rsidR="00EA4C85" w:rsidRPr="00655FC7" w:rsidRDefault="00EA4C85" w:rsidP="00EA4C85">
      <w:pPr>
        <w:pStyle w:val="Cytat"/>
      </w:pPr>
      <w:r>
        <w:t>Źródło: opracowanie własne</w:t>
      </w:r>
    </w:p>
    <w:p w14:paraId="3D28AC0D" w14:textId="77777777" w:rsidR="00C3065E" w:rsidRPr="00655FC7" w:rsidRDefault="00C3065E" w:rsidP="00704454">
      <w:pPr>
        <w:tabs>
          <w:tab w:val="left" w:pos="3119"/>
        </w:tabs>
        <w:jc w:val="center"/>
        <w:rPr>
          <w:rFonts w:cstheme="minorHAnsi"/>
          <w:color w:val="auto"/>
        </w:rPr>
        <w:sectPr w:rsidR="00C3065E" w:rsidRPr="00655FC7" w:rsidSect="00880211">
          <w:headerReference w:type="even" r:id="rId185"/>
          <w:headerReference w:type="default" r:id="rId186"/>
          <w:footerReference w:type="even" r:id="rId187"/>
          <w:footerReference w:type="default" r:id="rId188"/>
          <w:pgSz w:w="16838" w:h="11906" w:orient="landscape"/>
          <w:pgMar w:top="1418" w:right="1418" w:bottom="1418" w:left="1418" w:header="709" w:footer="709" w:gutter="0"/>
          <w:cols w:space="708"/>
          <w:docGrid w:linePitch="360"/>
        </w:sectPr>
      </w:pPr>
    </w:p>
    <w:p w14:paraId="69FB1A00" w14:textId="72CAD7BC" w:rsidR="00D07AF8" w:rsidRPr="00655FC7" w:rsidRDefault="00D07AF8" w:rsidP="0079694A">
      <w:pPr>
        <w:spacing w:after="120"/>
        <w:rPr>
          <w:rFonts w:cstheme="minorHAnsi"/>
        </w:rPr>
      </w:pPr>
      <w:bookmarkStart w:id="276" w:name="_Toc45714114"/>
      <w:bookmarkStart w:id="277" w:name="_Toc46483315"/>
      <w:bookmarkStart w:id="278" w:name="_Toc75170268"/>
      <w:bookmarkStart w:id="279" w:name="_Toc45188239"/>
    </w:p>
    <w:p w14:paraId="6AE0C900" w14:textId="6B079376" w:rsidR="007473B6" w:rsidRPr="00655FC7" w:rsidRDefault="00D07AF8" w:rsidP="009946BE">
      <w:pPr>
        <w:pStyle w:val="Nagwek1"/>
      </w:pPr>
      <w:bookmarkStart w:id="280" w:name="_Toc143596959"/>
      <w:bookmarkStart w:id="281" w:name="_Toc177732091"/>
      <w:r w:rsidRPr="00655FC7">
        <w:t>Wdrażanie Planu Adaptacji</w:t>
      </w:r>
      <w:bookmarkEnd w:id="280"/>
      <w:bookmarkEnd w:id="281"/>
    </w:p>
    <w:p w14:paraId="22DDC91C" w14:textId="05BDAC6E" w:rsidR="00CB01A2" w:rsidRDefault="00456508" w:rsidP="00CB01A2">
      <w:bookmarkStart w:id="282" w:name="_Toc75170271"/>
      <w:bookmarkStart w:id="283" w:name="_Toc143596960"/>
      <w:r>
        <w:t>Wdrażanie Planu Adaptacji jest najważniejszym etapem jego realizacji i kluczowym elementem procesu adaptacji wskazanego obszaru. Tylko zrealizowanie planu adaptacji może przynieść jakiekolwiek efekty w kierunku zminimalizowania</w:t>
      </w:r>
      <w:r w:rsidR="00CB01A2">
        <w:t xml:space="preserve"> skutków zmian klimatu.</w:t>
      </w:r>
    </w:p>
    <w:p w14:paraId="2A799841" w14:textId="54AEDE4A" w:rsidR="00CB01A2" w:rsidRDefault="00CB01A2" w:rsidP="00CB01A2">
      <w:r>
        <w:t>Na wdrażanie MPA składa się kilka elementów:</w:t>
      </w:r>
    </w:p>
    <w:p w14:paraId="3C81684A" w14:textId="0D897A60" w:rsidR="00474E1C" w:rsidRDefault="00474E1C">
      <w:pPr>
        <w:pStyle w:val="Akapitzlist"/>
        <w:numPr>
          <w:ilvl w:val="0"/>
          <w:numId w:val="98"/>
        </w:numPr>
      </w:pPr>
      <w:r w:rsidRPr="00083DE3">
        <w:rPr>
          <w:b/>
          <w:bCs/>
        </w:rPr>
        <w:t>Organizacja struktur</w:t>
      </w:r>
      <w:r>
        <w:t xml:space="preserve"> – należy wyznaczyć struktury w Urzędzie Miasta, które odpowiadać będą za realizację zapisów Planu Adaptacji. Struktura takiej jednostki powinna odpowiadać możliwościom kadrowym oraz być uzależniona od wielkości miasta</w:t>
      </w:r>
      <w:r w:rsidR="004D0B0B">
        <w:t xml:space="preserve">. </w:t>
      </w:r>
      <w:r w:rsidR="004D0B0B" w:rsidRPr="004D0B0B">
        <w:t>Zaleca się, aby nadzór nad wdrażaniem MPA pełnił organ wykonawczy gminy</w:t>
      </w:r>
      <w:r w:rsidR="004D0B0B">
        <w:t xml:space="preserve"> (</w:t>
      </w:r>
      <w:r w:rsidR="004D0B0B" w:rsidRPr="004D0B0B">
        <w:t>burmistrz)</w:t>
      </w:r>
      <w:r w:rsidR="004D0B0B">
        <w:t>.</w:t>
      </w:r>
    </w:p>
    <w:p w14:paraId="2A721CAF" w14:textId="4CDE306B" w:rsidR="00474E1C" w:rsidRDefault="00474E1C">
      <w:pPr>
        <w:pStyle w:val="Akapitzlist"/>
        <w:numPr>
          <w:ilvl w:val="0"/>
          <w:numId w:val="98"/>
        </w:numPr>
      </w:pPr>
      <w:r w:rsidRPr="00083DE3">
        <w:rPr>
          <w:b/>
          <w:bCs/>
        </w:rPr>
        <w:t>Koordynacja polityk</w:t>
      </w:r>
      <w:r w:rsidR="004D0B0B">
        <w:t xml:space="preserve"> – nowo opracowywane polityki miasta w przyszłości powinny zostać skoordynowane z Planem Adaptacji, tzn. ich zapisy powinny współgrać z celami i zadaniami wyznaczonymi z MPA, a szczególnie się nie wykluczać. Tym samym realizacja innych dokumentów strategicznych pozwoli na realizację Planu Adaptacji</w:t>
      </w:r>
      <w:r w:rsidR="00320D7E">
        <w:t>.</w:t>
      </w:r>
    </w:p>
    <w:p w14:paraId="5534A02A" w14:textId="6B6ADC39" w:rsidR="00474E1C" w:rsidRDefault="00474E1C">
      <w:pPr>
        <w:pStyle w:val="Akapitzlist"/>
        <w:numPr>
          <w:ilvl w:val="0"/>
          <w:numId w:val="98"/>
        </w:numPr>
      </w:pPr>
      <w:r w:rsidRPr="00083DE3">
        <w:rPr>
          <w:b/>
          <w:bCs/>
        </w:rPr>
        <w:t>Prawidłowa komunikacja</w:t>
      </w:r>
      <w:r w:rsidR="00BC2573">
        <w:t xml:space="preserve"> – rozumiana tutaj jako dialog z interesariuszami. Współpraca z osobami, których działania adaptacyjne dotyczą w sposób bezpośredni pozwoli wypracować lepszą akceptację dla realizacji tych zadań, co tym samym przyczyni się do sprawniejszego wdrażania MPA.</w:t>
      </w:r>
    </w:p>
    <w:p w14:paraId="0C263169" w14:textId="1A605E5B" w:rsidR="00474E1C" w:rsidRDefault="00474E1C">
      <w:pPr>
        <w:pStyle w:val="Akapitzlist"/>
        <w:numPr>
          <w:ilvl w:val="0"/>
          <w:numId w:val="98"/>
        </w:numPr>
      </w:pPr>
      <w:r w:rsidRPr="00083DE3">
        <w:rPr>
          <w:b/>
          <w:bCs/>
        </w:rPr>
        <w:t>Proces doskonaleni</w:t>
      </w:r>
      <w:r w:rsidR="00BC2573" w:rsidRPr="00083DE3">
        <w:rPr>
          <w:b/>
          <w:bCs/>
        </w:rPr>
        <w:t>a</w:t>
      </w:r>
      <w:r w:rsidR="00BC2573">
        <w:t xml:space="preserve"> – w miarę postępu czasu i rozwoju nauki ewolucji ulegają także metody adaptacyjne. W celu sprawn</w:t>
      </w:r>
      <w:r w:rsidR="00432F3D">
        <w:t>ego wdrażania potencjalnych rozwiązań, jednostka odpowiedzialna za wdrażanie MPA powinna stale rozwijać swoje kompetencje oraz wiedzę.</w:t>
      </w:r>
    </w:p>
    <w:p w14:paraId="53A13CA9" w14:textId="1DDC0EF1" w:rsidR="00474E1C" w:rsidRDefault="00474E1C">
      <w:pPr>
        <w:pStyle w:val="Akapitzlist"/>
        <w:numPr>
          <w:ilvl w:val="0"/>
          <w:numId w:val="98"/>
        </w:numPr>
      </w:pPr>
      <w:r w:rsidRPr="00083DE3">
        <w:rPr>
          <w:b/>
          <w:bCs/>
        </w:rPr>
        <w:t>Finansowanie</w:t>
      </w:r>
      <w:r w:rsidR="00432F3D">
        <w:t xml:space="preserve"> </w:t>
      </w:r>
      <w:r w:rsidR="00E93531">
        <w:t>–</w:t>
      </w:r>
      <w:r w:rsidR="00432F3D">
        <w:t xml:space="preserve"> </w:t>
      </w:r>
      <w:r w:rsidR="00E93531">
        <w:t xml:space="preserve">warunkiem możliwości realizacji zadań adaptacyjnych jest również posiadane odpowiednich środków na ich realizację. </w:t>
      </w:r>
      <w:r w:rsidR="00083DE3">
        <w:t>Konieczne będzie więc zatem aktywne pozyskiwanie różnych wariantów montażu finansowego. W dalszej części opisano potencjalne źródła finansowania MPA biorąc pod uwagę, iż adaptacja obejmuje szerokie grono interesariuszy, więc propozycje nie odnoszą się jedynie do jednostek samorządu terytorialnego, ale także do jednostek podległych i podmiotów zewnętrznych</w:t>
      </w:r>
      <w:r>
        <w:t>.</w:t>
      </w:r>
    </w:p>
    <w:p w14:paraId="507C48B2" w14:textId="77777777" w:rsidR="00CB01A2" w:rsidRDefault="00CB01A2" w:rsidP="00CB01A2"/>
    <w:p w14:paraId="31A31DBF" w14:textId="377B26ED" w:rsidR="00D07AF8" w:rsidRPr="00655FC7" w:rsidRDefault="00D07AF8" w:rsidP="00B62479">
      <w:pPr>
        <w:pStyle w:val="Nagwek2"/>
      </w:pPr>
      <w:bookmarkStart w:id="284" w:name="_Toc177732092"/>
      <w:r w:rsidRPr="00655FC7">
        <w:t>Harmonogram wdrażania Planu Adaptacji</w:t>
      </w:r>
      <w:bookmarkEnd w:id="282"/>
      <w:bookmarkEnd w:id="283"/>
      <w:bookmarkEnd w:id="284"/>
    </w:p>
    <w:p w14:paraId="59B8EA53" w14:textId="3E0F3FDE" w:rsidR="00D07AF8" w:rsidRPr="00655FC7" w:rsidRDefault="00D07AF8" w:rsidP="00D07AF8">
      <w:pPr>
        <w:tabs>
          <w:tab w:val="left" w:pos="3119"/>
        </w:tabs>
        <w:rPr>
          <w:rFonts w:cstheme="minorHAnsi"/>
          <w:color w:val="auto"/>
        </w:rPr>
      </w:pPr>
      <w:r w:rsidRPr="00655FC7">
        <w:rPr>
          <w:rFonts w:cstheme="minorHAnsi"/>
          <w:color w:val="auto"/>
        </w:rPr>
        <w:t xml:space="preserve">Plan Adaptacji podlega bieżącemu monitoringowi realizacji działań oraz bieżącej ewaluacji realizacji działań co dwa lata. Aktualizacje Planu Adaptacji przewiduje się po sześciu latach. </w:t>
      </w:r>
      <w:r w:rsidR="00456508">
        <w:rPr>
          <w:rFonts w:cstheme="minorHAnsi"/>
          <w:color w:val="auto"/>
        </w:rPr>
        <w:t>Poniżej przedstawiono harmonogram</w:t>
      </w:r>
      <w:r w:rsidRPr="00655FC7">
        <w:rPr>
          <w:rFonts w:cstheme="minorHAnsi"/>
          <w:color w:val="auto"/>
        </w:rPr>
        <w:t xml:space="preserve"> wdrażania Planu Adaptacji do zmian klimatu dla Miasta </w:t>
      </w:r>
      <w:r w:rsidR="00456508">
        <w:rPr>
          <w:rFonts w:cstheme="minorHAnsi"/>
          <w:color w:val="auto"/>
        </w:rPr>
        <w:t>Tarnogród</w:t>
      </w:r>
      <w:r w:rsidRPr="00655FC7">
        <w:rPr>
          <w:rFonts w:cstheme="minorHAnsi"/>
          <w:color w:val="auto"/>
        </w:rPr>
        <w:t xml:space="preserve">. </w:t>
      </w:r>
    </w:p>
    <w:p w14:paraId="26024600" w14:textId="1E3601EE" w:rsidR="00083DE3" w:rsidRDefault="00083DE3">
      <w:pPr>
        <w:spacing w:after="200"/>
        <w:ind w:firstLine="0"/>
        <w:jc w:val="left"/>
        <w:rPr>
          <w:rFonts w:cstheme="minorHAnsi"/>
          <w:color w:val="auto"/>
        </w:rPr>
      </w:pPr>
      <w:r>
        <w:rPr>
          <w:rFonts w:cstheme="minorHAnsi"/>
          <w:color w:val="auto"/>
        </w:rPr>
        <w:br w:type="page"/>
      </w:r>
    </w:p>
    <w:p w14:paraId="40442B4B" w14:textId="48705F00" w:rsidR="00D07AF8" w:rsidRPr="00655FC7" w:rsidRDefault="00D07AF8" w:rsidP="009946BE">
      <w:pPr>
        <w:pStyle w:val="Styltabela"/>
        <w:rPr>
          <w:rFonts w:eastAsiaTheme="minorEastAsia"/>
        </w:rPr>
      </w:pPr>
      <w:bookmarkStart w:id="285" w:name="_Toc178846339"/>
      <w:r w:rsidRPr="00655FC7">
        <w:rPr>
          <w:rFonts w:eastAsiaTheme="minorEastAsia"/>
        </w:rPr>
        <w:lastRenderedPageBreak/>
        <w:t xml:space="preserve">Tabela </w:t>
      </w:r>
      <w:r w:rsidR="00E833A9">
        <w:rPr>
          <w:rFonts w:eastAsiaTheme="minorEastAsia"/>
        </w:rPr>
        <w:fldChar w:fldCharType="begin"/>
      </w:r>
      <w:r w:rsidR="00E833A9">
        <w:rPr>
          <w:rFonts w:eastAsiaTheme="minorEastAsia"/>
        </w:rPr>
        <w:instrText xml:space="preserve"> SEQ Tabela \* ARABIC </w:instrText>
      </w:r>
      <w:r w:rsidR="00E833A9">
        <w:rPr>
          <w:rFonts w:eastAsiaTheme="minorEastAsia"/>
        </w:rPr>
        <w:fldChar w:fldCharType="separate"/>
      </w:r>
      <w:r w:rsidR="00A654D8">
        <w:rPr>
          <w:rFonts w:eastAsiaTheme="minorEastAsia"/>
          <w:noProof/>
        </w:rPr>
        <w:t>33</w:t>
      </w:r>
      <w:r w:rsidR="00E833A9">
        <w:rPr>
          <w:rFonts w:eastAsiaTheme="minorEastAsia"/>
        </w:rPr>
        <w:fldChar w:fldCharType="end"/>
      </w:r>
      <w:r w:rsidRPr="00655FC7">
        <w:rPr>
          <w:rFonts w:eastAsiaTheme="minorEastAsia"/>
        </w:rPr>
        <w:t xml:space="preserve">. Przebieg wdrażania Planu Adaptacji do zmian klimatu dla Miasta </w:t>
      </w:r>
      <w:r w:rsidR="003647C5">
        <w:rPr>
          <w:rFonts w:eastAsiaTheme="minorEastAsia"/>
        </w:rPr>
        <w:t>Tarnogród</w:t>
      </w:r>
      <w:r w:rsidRPr="00655FC7">
        <w:rPr>
          <w:rFonts w:eastAsiaTheme="minorEastAsia"/>
        </w:rPr>
        <w:t>.</w:t>
      </w:r>
      <w:bookmarkEnd w:id="285"/>
    </w:p>
    <w:tbl>
      <w:tblPr>
        <w:tblStyle w:val="Tabela-MPAaga2"/>
        <w:tblW w:w="9072" w:type="dxa"/>
        <w:jc w:val="center"/>
        <w:tblLayout w:type="fixed"/>
        <w:tblLook w:val="04A0" w:firstRow="1" w:lastRow="0" w:firstColumn="1" w:lastColumn="0" w:noHBand="0" w:noVBand="1"/>
      </w:tblPr>
      <w:tblGrid>
        <w:gridCol w:w="553"/>
        <w:gridCol w:w="2287"/>
        <w:gridCol w:w="871"/>
        <w:gridCol w:w="894"/>
        <w:gridCol w:w="893"/>
        <w:gridCol w:w="893"/>
        <w:gridCol w:w="893"/>
        <w:gridCol w:w="894"/>
        <w:gridCol w:w="894"/>
      </w:tblGrid>
      <w:tr w:rsidR="00EA6C1F" w:rsidRPr="00253BAD" w14:paraId="199CECA3" w14:textId="2003BC4A" w:rsidTr="00707669">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426" w:type="dxa"/>
            <w:shd w:val="clear" w:color="auto" w:fill="C3E098" w:themeFill="accent1" w:themeFillTint="66"/>
            <w:vAlign w:val="center"/>
          </w:tcPr>
          <w:p w14:paraId="123DA60E" w14:textId="054A35E1" w:rsidR="00EA6C1F" w:rsidRPr="00253BAD" w:rsidRDefault="00EA6C1F" w:rsidP="000E30D9">
            <w:pPr>
              <w:tabs>
                <w:tab w:val="left" w:pos="3119"/>
              </w:tabs>
              <w:spacing w:before="40" w:after="40"/>
              <w:ind w:firstLine="0"/>
              <w:jc w:val="center"/>
              <w:rPr>
                <w:rFonts w:ascii="Calibri" w:hAnsi="Calibri" w:cs="Calibri"/>
                <w:color w:val="auto"/>
                <w:szCs w:val="20"/>
              </w:rPr>
            </w:pPr>
            <w:bookmarkStart w:id="286" w:name="_Hlk158973207"/>
            <w:r w:rsidRPr="00253BAD">
              <w:rPr>
                <w:rFonts w:ascii="Calibri" w:hAnsi="Calibri" w:cs="Calibri"/>
                <w:color w:val="auto"/>
                <w:szCs w:val="20"/>
              </w:rPr>
              <w:t>Lp</w:t>
            </w:r>
          </w:p>
        </w:tc>
        <w:tc>
          <w:tcPr>
            <w:tcW w:w="1762" w:type="dxa"/>
            <w:shd w:val="clear" w:color="auto" w:fill="C3E098" w:themeFill="accent1" w:themeFillTint="66"/>
            <w:vAlign w:val="center"/>
          </w:tcPr>
          <w:p w14:paraId="62181757" w14:textId="77777777" w:rsidR="00EA6C1F" w:rsidRPr="00253BAD" w:rsidRDefault="00EA6C1F" w:rsidP="000E30D9">
            <w:pPr>
              <w:tabs>
                <w:tab w:val="left" w:pos="3119"/>
              </w:tabs>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szCs w:val="20"/>
              </w:rPr>
            </w:pPr>
            <w:r w:rsidRPr="00253BAD">
              <w:rPr>
                <w:rFonts w:ascii="Calibri" w:hAnsi="Calibri" w:cs="Calibri"/>
                <w:color w:val="auto"/>
                <w:szCs w:val="20"/>
              </w:rPr>
              <w:t>Czynność</w:t>
            </w:r>
          </w:p>
        </w:tc>
        <w:tc>
          <w:tcPr>
            <w:tcW w:w="671" w:type="dxa"/>
            <w:shd w:val="clear" w:color="auto" w:fill="C3E098" w:themeFill="accent1" w:themeFillTint="66"/>
            <w:vAlign w:val="center"/>
          </w:tcPr>
          <w:p w14:paraId="2C44C7B2" w14:textId="77777777" w:rsidR="00EA6C1F" w:rsidRPr="00253BAD" w:rsidRDefault="00EA6C1F" w:rsidP="000E30D9">
            <w:pPr>
              <w:tabs>
                <w:tab w:val="left" w:pos="3119"/>
              </w:tabs>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szCs w:val="20"/>
              </w:rPr>
            </w:pPr>
            <w:r w:rsidRPr="00253BAD">
              <w:rPr>
                <w:rFonts w:ascii="Calibri" w:hAnsi="Calibri" w:cs="Calibri"/>
                <w:color w:val="auto"/>
                <w:szCs w:val="20"/>
              </w:rPr>
              <w:t>2024</w:t>
            </w:r>
          </w:p>
        </w:tc>
        <w:tc>
          <w:tcPr>
            <w:tcW w:w="689" w:type="dxa"/>
            <w:shd w:val="clear" w:color="auto" w:fill="C3E098" w:themeFill="accent1" w:themeFillTint="66"/>
            <w:vAlign w:val="center"/>
          </w:tcPr>
          <w:p w14:paraId="65ADC164" w14:textId="77777777" w:rsidR="00EA6C1F" w:rsidRPr="00253BAD" w:rsidRDefault="00EA6C1F" w:rsidP="000E30D9">
            <w:pPr>
              <w:tabs>
                <w:tab w:val="left" w:pos="3119"/>
              </w:tabs>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szCs w:val="20"/>
              </w:rPr>
            </w:pPr>
            <w:r w:rsidRPr="00253BAD">
              <w:rPr>
                <w:rFonts w:ascii="Calibri" w:hAnsi="Calibri" w:cs="Calibri"/>
                <w:color w:val="auto"/>
                <w:szCs w:val="20"/>
              </w:rPr>
              <w:t>2025</w:t>
            </w:r>
          </w:p>
        </w:tc>
        <w:tc>
          <w:tcPr>
            <w:tcW w:w="688" w:type="dxa"/>
            <w:shd w:val="clear" w:color="auto" w:fill="C3E098" w:themeFill="accent1" w:themeFillTint="66"/>
            <w:vAlign w:val="center"/>
          </w:tcPr>
          <w:p w14:paraId="55E10F57" w14:textId="77777777" w:rsidR="00EA6C1F" w:rsidRPr="00253BAD" w:rsidRDefault="00EA6C1F" w:rsidP="000E30D9">
            <w:pPr>
              <w:tabs>
                <w:tab w:val="left" w:pos="3119"/>
              </w:tabs>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szCs w:val="20"/>
              </w:rPr>
            </w:pPr>
            <w:r w:rsidRPr="00253BAD">
              <w:rPr>
                <w:rFonts w:ascii="Calibri" w:hAnsi="Calibri" w:cs="Calibri"/>
                <w:color w:val="auto"/>
                <w:szCs w:val="20"/>
              </w:rPr>
              <w:t>2026</w:t>
            </w:r>
          </w:p>
        </w:tc>
        <w:tc>
          <w:tcPr>
            <w:tcW w:w="688" w:type="dxa"/>
            <w:shd w:val="clear" w:color="auto" w:fill="C3E098" w:themeFill="accent1" w:themeFillTint="66"/>
            <w:vAlign w:val="center"/>
          </w:tcPr>
          <w:p w14:paraId="361659AB" w14:textId="77777777" w:rsidR="00EA6C1F" w:rsidRPr="00253BAD" w:rsidRDefault="00EA6C1F" w:rsidP="000E30D9">
            <w:pPr>
              <w:tabs>
                <w:tab w:val="left" w:pos="3119"/>
              </w:tabs>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szCs w:val="20"/>
              </w:rPr>
            </w:pPr>
            <w:r w:rsidRPr="00253BAD">
              <w:rPr>
                <w:rFonts w:ascii="Calibri" w:hAnsi="Calibri" w:cs="Calibri"/>
                <w:color w:val="auto"/>
                <w:szCs w:val="20"/>
              </w:rPr>
              <w:t>2027</w:t>
            </w:r>
          </w:p>
        </w:tc>
        <w:tc>
          <w:tcPr>
            <w:tcW w:w="688" w:type="dxa"/>
            <w:shd w:val="clear" w:color="auto" w:fill="C3E098" w:themeFill="accent1" w:themeFillTint="66"/>
            <w:vAlign w:val="center"/>
          </w:tcPr>
          <w:p w14:paraId="127ABF87" w14:textId="77777777" w:rsidR="00EA6C1F" w:rsidRPr="00253BAD" w:rsidRDefault="00EA6C1F" w:rsidP="000E30D9">
            <w:pPr>
              <w:tabs>
                <w:tab w:val="left" w:pos="3119"/>
              </w:tabs>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szCs w:val="20"/>
              </w:rPr>
            </w:pPr>
            <w:r w:rsidRPr="00253BAD">
              <w:rPr>
                <w:rFonts w:ascii="Calibri" w:hAnsi="Calibri" w:cs="Calibri"/>
                <w:color w:val="auto"/>
                <w:szCs w:val="20"/>
              </w:rPr>
              <w:t>2028</w:t>
            </w:r>
          </w:p>
        </w:tc>
        <w:tc>
          <w:tcPr>
            <w:tcW w:w="689" w:type="dxa"/>
            <w:shd w:val="clear" w:color="auto" w:fill="C3E098" w:themeFill="accent1" w:themeFillTint="66"/>
            <w:vAlign w:val="center"/>
          </w:tcPr>
          <w:p w14:paraId="0A125FAF" w14:textId="77777777" w:rsidR="00EA6C1F" w:rsidRPr="00253BAD" w:rsidRDefault="00EA6C1F" w:rsidP="000E30D9">
            <w:pPr>
              <w:tabs>
                <w:tab w:val="left" w:pos="3119"/>
              </w:tabs>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szCs w:val="20"/>
              </w:rPr>
            </w:pPr>
            <w:r w:rsidRPr="00253BAD">
              <w:rPr>
                <w:rFonts w:ascii="Calibri" w:hAnsi="Calibri" w:cs="Calibri"/>
                <w:color w:val="auto"/>
                <w:szCs w:val="20"/>
              </w:rPr>
              <w:t>2029</w:t>
            </w:r>
          </w:p>
        </w:tc>
        <w:tc>
          <w:tcPr>
            <w:tcW w:w="689" w:type="dxa"/>
            <w:shd w:val="clear" w:color="auto" w:fill="C3E098" w:themeFill="accent1" w:themeFillTint="66"/>
            <w:vAlign w:val="center"/>
          </w:tcPr>
          <w:p w14:paraId="7DED748B" w14:textId="77777777" w:rsidR="00EA6C1F" w:rsidRPr="00253BAD" w:rsidRDefault="00EA6C1F" w:rsidP="000E30D9">
            <w:pPr>
              <w:tabs>
                <w:tab w:val="left" w:pos="3119"/>
              </w:tabs>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auto"/>
                <w:szCs w:val="20"/>
              </w:rPr>
            </w:pPr>
            <w:r w:rsidRPr="00253BAD">
              <w:rPr>
                <w:rFonts w:ascii="Calibri" w:hAnsi="Calibri" w:cs="Calibri"/>
                <w:color w:val="auto"/>
                <w:szCs w:val="20"/>
              </w:rPr>
              <w:t>2030</w:t>
            </w:r>
          </w:p>
        </w:tc>
      </w:tr>
      <w:tr w:rsidR="00EA6C1F" w:rsidRPr="00253BAD" w14:paraId="4219E923" w14:textId="236459DF" w:rsidTr="00707669">
        <w:trPr>
          <w:cnfStyle w:val="000000100000" w:firstRow="0" w:lastRow="0" w:firstColumn="0" w:lastColumn="0" w:oddVBand="0" w:evenVBand="0" w:oddHBand="1" w:evenHBand="0" w:firstRowFirstColumn="0" w:firstRowLastColumn="0" w:lastRowFirstColumn="0" w:lastRowLastColumn="0"/>
          <w:trHeight w:val="703"/>
          <w:jc w:val="center"/>
        </w:trPr>
        <w:tc>
          <w:tcPr>
            <w:cnfStyle w:val="001000000000" w:firstRow="0" w:lastRow="0" w:firstColumn="1" w:lastColumn="0" w:oddVBand="0" w:evenVBand="0" w:oddHBand="0" w:evenHBand="0" w:firstRowFirstColumn="0" w:firstRowLastColumn="0" w:lastRowFirstColumn="0" w:lastRowLastColumn="0"/>
            <w:tcW w:w="426" w:type="dxa"/>
            <w:shd w:val="clear" w:color="auto" w:fill="FFFFFF" w:themeFill="background1"/>
            <w:vAlign w:val="center"/>
          </w:tcPr>
          <w:p w14:paraId="342EF186" w14:textId="77777777" w:rsidR="00EA6C1F" w:rsidRPr="00253BAD" w:rsidRDefault="00EA6C1F" w:rsidP="000E30D9">
            <w:pPr>
              <w:tabs>
                <w:tab w:val="left" w:pos="3119"/>
              </w:tabs>
              <w:spacing w:before="40" w:after="40"/>
              <w:ind w:firstLine="0"/>
              <w:jc w:val="center"/>
              <w:rPr>
                <w:rFonts w:ascii="Calibri" w:hAnsi="Calibri" w:cs="Calibri"/>
                <w:color w:val="auto"/>
                <w:szCs w:val="20"/>
              </w:rPr>
            </w:pPr>
            <w:r w:rsidRPr="00253BAD">
              <w:rPr>
                <w:rFonts w:ascii="Calibri" w:hAnsi="Calibri" w:cs="Calibri"/>
                <w:color w:val="auto"/>
                <w:szCs w:val="20"/>
              </w:rPr>
              <w:t>1</w:t>
            </w:r>
          </w:p>
        </w:tc>
        <w:tc>
          <w:tcPr>
            <w:tcW w:w="1762" w:type="dxa"/>
            <w:shd w:val="clear" w:color="auto" w:fill="FFFFFF" w:themeFill="background1"/>
            <w:vAlign w:val="center"/>
          </w:tcPr>
          <w:p w14:paraId="07F46006"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r w:rsidRPr="00253BAD">
              <w:rPr>
                <w:rFonts w:ascii="Calibri" w:hAnsi="Calibri" w:cs="Calibri"/>
                <w:color w:val="auto"/>
                <w:szCs w:val="20"/>
              </w:rPr>
              <w:t>Opracowanie</w:t>
            </w:r>
          </w:p>
          <w:p w14:paraId="45147E73"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r w:rsidRPr="00253BAD">
              <w:rPr>
                <w:rFonts w:ascii="Calibri" w:hAnsi="Calibri" w:cs="Calibri"/>
                <w:color w:val="auto"/>
                <w:szCs w:val="20"/>
              </w:rPr>
              <w:t>Planu</w:t>
            </w:r>
          </w:p>
        </w:tc>
        <w:tc>
          <w:tcPr>
            <w:tcW w:w="671" w:type="dxa"/>
            <w:shd w:val="clear" w:color="auto" w:fill="638A29" w:themeFill="accent1"/>
            <w:vAlign w:val="center"/>
          </w:tcPr>
          <w:p w14:paraId="272AE8DC" w14:textId="01B9D3FC"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p>
        </w:tc>
        <w:tc>
          <w:tcPr>
            <w:tcW w:w="689" w:type="dxa"/>
            <w:shd w:val="clear" w:color="auto" w:fill="FFFFFF" w:themeFill="background1"/>
            <w:vAlign w:val="center"/>
          </w:tcPr>
          <w:p w14:paraId="34341079"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p>
        </w:tc>
        <w:tc>
          <w:tcPr>
            <w:tcW w:w="688" w:type="dxa"/>
            <w:shd w:val="clear" w:color="auto" w:fill="FFFFFF" w:themeFill="background1"/>
            <w:vAlign w:val="center"/>
          </w:tcPr>
          <w:p w14:paraId="4C68AF8C"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p>
        </w:tc>
        <w:tc>
          <w:tcPr>
            <w:tcW w:w="688" w:type="dxa"/>
            <w:shd w:val="clear" w:color="auto" w:fill="FFFFFF" w:themeFill="background1"/>
            <w:vAlign w:val="center"/>
          </w:tcPr>
          <w:p w14:paraId="67237389"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p>
        </w:tc>
        <w:tc>
          <w:tcPr>
            <w:tcW w:w="688" w:type="dxa"/>
            <w:shd w:val="clear" w:color="auto" w:fill="FFFFFF" w:themeFill="background1"/>
            <w:vAlign w:val="center"/>
          </w:tcPr>
          <w:p w14:paraId="56143B44"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p>
        </w:tc>
        <w:tc>
          <w:tcPr>
            <w:tcW w:w="689" w:type="dxa"/>
            <w:shd w:val="clear" w:color="auto" w:fill="FFFFFF" w:themeFill="background1"/>
            <w:vAlign w:val="center"/>
          </w:tcPr>
          <w:p w14:paraId="61327A24"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p>
        </w:tc>
        <w:tc>
          <w:tcPr>
            <w:tcW w:w="689" w:type="dxa"/>
            <w:shd w:val="clear" w:color="auto" w:fill="FFFFFF" w:themeFill="background1"/>
            <w:vAlign w:val="center"/>
          </w:tcPr>
          <w:p w14:paraId="68849A22"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p>
        </w:tc>
      </w:tr>
      <w:tr w:rsidR="00EA6C1F" w:rsidRPr="00253BAD" w14:paraId="39A03359" w14:textId="1D76AA2F" w:rsidTr="00707669">
        <w:trPr>
          <w:trHeight w:val="703"/>
          <w:jc w:val="center"/>
        </w:trPr>
        <w:tc>
          <w:tcPr>
            <w:cnfStyle w:val="001000000000" w:firstRow="0" w:lastRow="0" w:firstColumn="1" w:lastColumn="0" w:oddVBand="0" w:evenVBand="0" w:oddHBand="0" w:evenHBand="0" w:firstRowFirstColumn="0" w:firstRowLastColumn="0" w:lastRowFirstColumn="0" w:lastRowLastColumn="0"/>
            <w:tcW w:w="426" w:type="dxa"/>
            <w:shd w:val="clear" w:color="auto" w:fill="F1F2E0" w:themeFill="accent2" w:themeFillTint="33"/>
            <w:vAlign w:val="center"/>
          </w:tcPr>
          <w:p w14:paraId="7711B4EF" w14:textId="619FFC44" w:rsidR="00EA6C1F" w:rsidRPr="00253BAD" w:rsidRDefault="00EA6C1F" w:rsidP="000E30D9">
            <w:pPr>
              <w:tabs>
                <w:tab w:val="left" w:pos="3119"/>
              </w:tabs>
              <w:spacing w:before="40" w:after="40"/>
              <w:ind w:firstLine="0"/>
              <w:jc w:val="center"/>
              <w:rPr>
                <w:rFonts w:ascii="Calibri" w:hAnsi="Calibri" w:cs="Calibri"/>
                <w:color w:val="auto"/>
                <w:szCs w:val="20"/>
              </w:rPr>
            </w:pPr>
            <w:r w:rsidRPr="00253BAD">
              <w:rPr>
                <w:rFonts w:ascii="Calibri" w:hAnsi="Calibri" w:cs="Calibri"/>
                <w:color w:val="auto"/>
                <w:szCs w:val="20"/>
              </w:rPr>
              <w:t>2</w:t>
            </w:r>
          </w:p>
        </w:tc>
        <w:tc>
          <w:tcPr>
            <w:tcW w:w="1762" w:type="dxa"/>
            <w:shd w:val="clear" w:color="auto" w:fill="F1F2E0" w:themeFill="accent2" w:themeFillTint="33"/>
            <w:vAlign w:val="center"/>
          </w:tcPr>
          <w:p w14:paraId="7D573120" w14:textId="77777777" w:rsidR="00EA6C1F" w:rsidRPr="00253BAD" w:rsidRDefault="00EA6C1F" w:rsidP="000E30D9">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0"/>
              </w:rPr>
            </w:pPr>
            <w:r w:rsidRPr="00253BAD">
              <w:rPr>
                <w:rFonts w:ascii="Calibri" w:hAnsi="Calibri" w:cs="Calibri"/>
                <w:color w:val="auto"/>
                <w:szCs w:val="20"/>
              </w:rPr>
              <w:t>Przyjęcie Planu przez</w:t>
            </w:r>
          </w:p>
          <w:p w14:paraId="1504A605" w14:textId="77777777" w:rsidR="00EA6C1F" w:rsidRPr="00253BAD" w:rsidRDefault="00EA6C1F" w:rsidP="000E30D9">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0"/>
              </w:rPr>
            </w:pPr>
            <w:r w:rsidRPr="00253BAD">
              <w:rPr>
                <w:rFonts w:ascii="Calibri" w:hAnsi="Calibri" w:cs="Calibri"/>
                <w:color w:val="auto"/>
                <w:szCs w:val="20"/>
              </w:rPr>
              <w:t>Radę Miasta</w:t>
            </w:r>
          </w:p>
        </w:tc>
        <w:tc>
          <w:tcPr>
            <w:tcW w:w="671" w:type="dxa"/>
            <w:shd w:val="clear" w:color="auto" w:fill="638A29" w:themeFill="accent1"/>
            <w:vAlign w:val="center"/>
          </w:tcPr>
          <w:p w14:paraId="70236551" w14:textId="4CB04888" w:rsidR="00EA6C1F" w:rsidRPr="00253BAD" w:rsidRDefault="00EA6C1F" w:rsidP="000E30D9">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0"/>
              </w:rPr>
            </w:pPr>
          </w:p>
        </w:tc>
        <w:tc>
          <w:tcPr>
            <w:tcW w:w="689" w:type="dxa"/>
            <w:shd w:val="clear" w:color="auto" w:fill="F1F2E0" w:themeFill="accent2" w:themeFillTint="33"/>
            <w:vAlign w:val="center"/>
          </w:tcPr>
          <w:p w14:paraId="18F2C0ED" w14:textId="77777777" w:rsidR="00EA6C1F" w:rsidRPr="00253BAD" w:rsidRDefault="00EA6C1F" w:rsidP="000E30D9">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0"/>
              </w:rPr>
            </w:pPr>
          </w:p>
        </w:tc>
        <w:tc>
          <w:tcPr>
            <w:tcW w:w="688" w:type="dxa"/>
            <w:shd w:val="clear" w:color="auto" w:fill="F1F2E0" w:themeFill="accent2" w:themeFillTint="33"/>
            <w:vAlign w:val="center"/>
          </w:tcPr>
          <w:p w14:paraId="33DFF82D" w14:textId="77777777" w:rsidR="00EA6C1F" w:rsidRPr="00253BAD" w:rsidRDefault="00EA6C1F" w:rsidP="000E30D9">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0"/>
              </w:rPr>
            </w:pPr>
          </w:p>
        </w:tc>
        <w:tc>
          <w:tcPr>
            <w:tcW w:w="688" w:type="dxa"/>
            <w:shd w:val="clear" w:color="auto" w:fill="F1F2E0" w:themeFill="accent2" w:themeFillTint="33"/>
            <w:vAlign w:val="center"/>
          </w:tcPr>
          <w:p w14:paraId="3240930A" w14:textId="77777777" w:rsidR="00EA6C1F" w:rsidRPr="00253BAD" w:rsidRDefault="00EA6C1F" w:rsidP="000E30D9">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0"/>
              </w:rPr>
            </w:pPr>
          </w:p>
        </w:tc>
        <w:tc>
          <w:tcPr>
            <w:tcW w:w="688" w:type="dxa"/>
            <w:shd w:val="clear" w:color="auto" w:fill="F1F2E0" w:themeFill="accent2" w:themeFillTint="33"/>
            <w:vAlign w:val="center"/>
          </w:tcPr>
          <w:p w14:paraId="7255C56A" w14:textId="77777777" w:rsidR="00EA6C1F" w:rsidRPr="00253BAD" w:rsidRDefault="00EA6C1F" w:rsidP="000E30D9">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0"/>
              </w:rPr>
            </w:pPr>
          </w:p>
        </w:tc>
        <w:tc>
          <w:tcPr>
            <w:tcW w:w="689" w:type="dxa"/>
            <w:shd w:val="clear" w:color="auto" w:fill="F1F2E0" w:themeFill="accent2" w:themeFillTint="33"/>
            <w:vAlign w:val="center"/>
          </w:tcPr>
          <w:p w14:paraId="5F836B17" w14:textId="77777777" w:rsidR="00EA6C1F" w:rsidRPr="00253BAD" w:rsidRDefault="00EA6C1F" w:rsidP="000E30D9">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0"/>
              </w:rPr>
            </w:pPr>
          </w:p>
        </w:tc>
        <w:tc>
          <w:tcPr>
            <w:tcW w:w="689" w:type="dxa"/>
            <w:shd w:val="clear" w:color="auto" w:fill="F1F2E0" w:themeFill="accent2" w:themeFillTint="33"/>
            <w:vAlign w:val="center"/>
          </w:tcPr>
          <w:p w14:paraId="4FB04DA9" w14:textId="77777777" w:rsidR="00EA6C1F" w:rsidRPr="00253BAD" w:rsidRDefault="00EA6C1F" w:rsidP="000E30D9">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0"/>
              </w:rPr>
            </w:pPr>
          </w:p>
        </w:tc>
      </w:tr>
      <w:tr w:rsidR="00EA6C1F" w:rsidRPr="00253BAD" w14:paraId="220DF119" w14:textId="743DA6BC" w:rsidTr="00707669">
        <w:trPr>
          <w:cnfStyle w:val="000000100000" w:firstRow="0" w:lastRow="0" w:firstColumn="0" w:lastColumn="0" w:oddVBand="0" w:evenVBand="0" w:oddHBand="1" w:evenHBand="0" w:firstRowFirstColumn="0" w:firstRowLastColumn="0" w:lastRowFirstColumn="0" w:lastRowLastColumn="0"/>
          <w:trHeight w:val="703"/>
          <w:jc w:val="center"/>
        </w:trPr>
        <w:tc>
          <w:tcPr>
            <w:cnfStyle w:val="001000000000" w:firstRow="0" w:lastRow="0" w:firstColumn="1" w:lastColumn="0" w:oddVBand="0" w:evenVBand="0" w:oddHBand="0" w:evenHBand="0" w:firstRowFirstColumn="0" w:firstRowLastColumn="0" w:lastRowFirstColumn="0" w:lastRowLastColumn="0"/>
            <w:tcW w:w="426" w:type="dxa"/>
            <w:shd w:val="clear" w:color="auto" w:fill="FFFFFF" w:themeFill="background1"/>
            <w:vAlign w:val="center"/>
          </w:tcPr>
          <w:p w14:paraId="51DEA6D6" w14:textId="77777777" w:rsidR="00EA6C1F" w:rsidRPr="00253BAD" w:rsidRDefault="00EA6C1F" w:rsidP="000E30D9">
            <w:pPr>
              <w:tabs>
                <w:tab w:val="left" w:pos="3119"/>
              </w:tabs>
              <w:spacing w:before="40" w:after="40"/>
              <w:ind w:firstLine="0"/>
              <w:jc w:val="center"/>
              <w:rPr>
                <w:rFonts w:ascii="Calibri" w:hAnsi="Calibri" w:cs="Calibri"/>
                <w:color w:val="auto"/>
                <w:szCs w:val="20"/>
              </w:rPr>
            </w:pPr>
            <w:r w:rsidRPr="00253BAD">
              <w:rPr>
                <w:rFonts w:ascii="Calibri" w:hAnsi="Calibri" w:cs="Calibri"/>
                <w:color w:val="auto"/>
                <w:szCs w:val="20"/>
              </w:rPr>
              <w:t>3</w:t>
            </w:r>
          </w:p>
        </w:tc>
        <w:tc>
          <w:tcPr>
            <w:tcW w:w="1762" w:type="dxa"/>
            <w:shd w:val="clear" w:color="auto" w:fill="FFFFFF" w:themeFill="background1"/>
            <w:vAlign w:val="center"/>
          </w:tcPr>
          <w:p w14:paraId="65B340D9" w14:textId="304F1610"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r w:rsidRPr="00253BAD">
              <w:rPr>
                <w:rFonts w:ascii="Calibri" w:hAnsi="Calibri" w:cs="Calibri"/>
                <w:color w:val="auto"/>
                <w:szCs w:val="20"/>
              </w:rPr>
              <w:t>Wdrażanie</w:t>
            </w:r>
          </w:p>
          <w:p w14:paraId="28CBAE42"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r w:rsidRPr="00253BAD">
              <w:rPr>
                <w:rFonts w:ascii="Calibri" w:hAnsi="Calibri" w:cs="Calibri"/>
                <w:color w:val="auto"/>
                <w:szCs w:val="20"/>
              </w:rPr>
              <w:t>Planu</w:t>
            </w:r>
          </w:p>
        </w:tc>
        <w:tc>
          <w:tcPr>
            <w:tcW w:w="671" w:type="dxa"/>
            <w:shd w:val="clear" w:color="auto" w:fill="638A29" w:themeFill="accent1"/>
            <w:vAlign w:val="center"/>
          </w:tcPr>
          <w:p w14:paraId="3BE2DF23" w14:textId="4FDE4E6C"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p>
        </w:tc>
        <w:tc>
          <w:tcPr>
            <w:tcW w:w="689" w:type="dxa"/>
            <w:shd w:val="clear" w:color="auto" w:fill="638A29" w:themeFill="accent1"/>
            <w:vAlign w:val="center"/>
          </w:tcPr>
          <w:p w14:paraId="099709E0"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p>
        </w:tc>
        <w:tc>
          <w:tcPr>
            <w:tcW w:w="688" w:type="dxa"/>
            <w:shd w:val="clear" w:color="auto" w:fill="638A29" w:themeFill="accent1"/>
            <w:vAlign w:val="center"/>
          </w:tcPr>
          <w:p w14:paraId="026286C8"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p>
        </w:tc>
        <w:tc>
          <w:tcPr>
            <w:tcW w:w="688" w:type="dxa"/>
            <w:shd w:val="clear" w:color="auto" w:fill="638A29" w:themeFill="accent1"/>
            <w:vAlign w:val="center"/>
          </w:tcPr>
          <w:p w14:paraId="18D9672C"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p>
        </w:tc>
        <w:tc>
          <w:tcPr>
            <w:tcW w:w="688" w:type="dxa"/>
            <w:shd w:val="clear" w:color="auto" w:fill="638A29" w:themeFill="accent1"/>
            <w:vAlign w:val="center"/>
          </w:tcPr>
          <w:p w14:paraId="6757C585"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p>
        </w:tc>
        <w:tc>
          <w:tcPr>
            <w:tcW w:w="689" w:type="dxa"/>
            <w:shd w:val="clear" w:color="auto" w:fill="638A29" w:themeFill="accent1"/>
            <w:vAlign w:val="center"/>
          </w:tcPr>
          <w:p w14:paraId="2D417B8D"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p>
        </w:tc>
        <w:tc>
          <w:tcPr>
            <w:tcW w:w="689" w:type="dxa"/>
            <w:shd w:val="clear" w:color="auto" w:fill="638A29" w:themeFill="accent1"/>
            <w:vAlign w:val="center"/>
          </w:tcPr>
          <w:p w14:paraId="442D89D8"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p>
        </w:tc>
      </w:tr>
      <w:tr w:rsidR="00EA6C1F" w:rsidRPr="00253BAD" w14:paraId="77EAA934" w14:textId="36F1597D" w:rsidTr="00707669">
        <w:trPr>
          <w:trHeight w:val="703"/>
          <w:jc w:val="center"/>
        </w:trPr>
        <w:tc>
          <w:tcPr>
            <w:cnfStyle w:val="001000000000" w:firstRow="0" w:lastRow="0" w:firstColumn="1" w:lastColumn="0" w:oddVBand="0" w:evenVBand="0" w:oddHBand="0" w:evenHBand="0" w:firstRowFirstColumn="0" w:firstRowLastColumn="0" w:lastRowFirstColumn="0" w:lastRowLastColumn="0"/>
            <w:tcW w:w="426" w:type="dxa"/>
            <w:shd w:val="clear" w:color="auto" w:fill="F1F2E0" w:themeFill="accent2" w:themeFillTint="33"/>
            <w:vAlign w:val="center"/>
          </w:tcPr>
          <w:p w14:paraId="0BE70674" w14:textId="77777777" w:rsidR="00EA6C1F" w:rsidRPr="00253BAD" w:rsidRDefault="00EA6C1F" w:rsidP="000E30D9">
            <w:pPr>
              <w:tabs>
                <w:tab w:val="left" w:pos="3119"/>
              </w:tabs>
              <w:spacing w:before="40" w:after="40"/>
              <w:ind w:firstLine="0"/>
              <w:jc w:val="center"/>
              <w:rPr>
                <w:rFonts w:ascii="Calibri" w:hAnsi="Calibri" w:cs="Calibri"/>
                <w:color w:val="auto"/>
                <w:szCs w:val="20"/>
              </w:rPr>
            </w:pPr>
            <w:r w:rsidRPr="00253BAD">
              <w:rPr>
                <w:rFonts w:ascii="Calibri" w:hAnsi="Calibri" w:cs="Calibri"/>
                <w:color w:val="auto"/>
                <w:szCs w:val="20"/>
              </w:rPr>
              <w:t>4</w:t>
            </w:r>
          </w:p>
        </w:tc>
        <w:tc>
          <w:tcPr>
            <w:tcW w:w="1762" w:type="dxa"/>
            <w:shd w:val="clear" w:color="auto" w:fill="F1F2E0" w:themeFill="accent2" w:themeFillTint="33"/>
            <w:vAlign w:val="center"/>
          </w:tcPr>
          <w:p w14:paraId="38EF56B9" w14:textId="77777777" w:rsidR="00EA6C1F" w:rsidRPr="00253BAD" w:rsidRDefault="00EA6C1F" w:rsidP="000E30D9">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0"/>
              </w:rPr>
            </w:pPr>
            <w:r w:rsidRPr="00253BAD">
              <w:rPr>
                <w:rFonts w:ascii="Calibri" w:hAnsi="Calibri" w:cs="Calibri"/>
                <w:color w:val="auto"/>
                <w:szCs w:val="20"/>
              </w:rPr>
              <w:t>Bieżący monitoring i ewaluacja realizacji działań</w:t>
            </w:r>
          </w:p>
        </w:tc>
        <w:tc>
          <w:tcPr>
            <w:tcW w:w="671" w:type="dxa"/>
            <w:shd w:val="clear" w:color="auto" w:fill="F1F2E0" w:themeFill="accent2" w:themeFillTint="33"/>
            <w:vAlign w:val="center"/>
          </w:tcPr>
          <w:p w14:paraId="4BEAE164" w14:textId="77777777" w:rsidR="00EA6C1F" w:rsidRPr="00253BAD" w:rsidRDefault="00EA6C1F" w:rsidP="000E30D9">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0"/>
              </w:rPr>
            </w:pPr>
          </w:p>
        </w:tc>
        <w:tc>
          <w:tcPr>
            <w:tcW w:w="689" w:type="dxa"/>
            <w:shd w:val="clear" w:color="auto" w:fill="F1F2E0" w:themeFill="accent2" w:themeFillTint="33"/>
            <w:vAlign w:val="center"/>
          </w:tcPr>
          <w:p w14:paraId="0CD59BCA" w14:textId="77777777" w:rsidR="00EA6C1F" w:rsidRPr="00253BAD" w:rsidRDefault="00EA6C1F" w:rsidP="000E30D9">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0"/>
              </w:rPr>
            </w:pPr>
          </w:p>
        </w:tc>
        <w:tc>
          <w:tcPr>
            <w:tcW w:w="688" w:type="dxa"/>
            <w:shd w:val="clear" w:color="auto" w:fill="638A29" w:themeFill="accent1"/>
            <w:vAlign w:val="center"/>
          </w:tcPr>
          <w:p w14:paraId="79C63B6B" w14:textId="47B41D49" w:rsidR="00EA6C1F" w:rsidRPr="00253BAD" w:rsidRDefault="00EA6C1F" w:rsidP="000E30D9">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0"/>
              </w:rPr>
            </w:pPr>
          </w:p>
        </w:tc>
        <w:tc>
          <w:tcPr>
            <w:tcW w:w="688" w:type="dxa"/>
            <w:shd w:val="clear" w:color="auto" w:fill="F1F2E0" w:themeFill="accent2" w:themeFillTint="33"/>
            <w:vAlign w:val="center"/>
          </w:tcPr>
          <w:p w14:paraId="44E26A10" w14:textId="77777777" w:rsidR="00EA6C1F" w:rsidRPr="00253BAD" w:rsidRDefault="00EA6C1F" w:rsidP="000E30D9">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0"/>
              </w:rPr>
            </w:pPr>
          </w:p>
        </w:tc>
        <w:tc>
          <w:tcPr>
            <w:tcW w:w="688" w:type="dxa"/>
            <w:shd w:val="clear" w:color="auto" w:fill="638A29" w:themeFill="accent1"/>
            <w:vAlign w:val="center"/>
          </w:tcPr>
          <w:p w14:paraId="3D0BBAC2" w14:textId="574330CD" w:rsidR="00EA6C1F" w:rsidRPr="00253BAD" w:rsidRDefault="00EA6C1F" w:rsidP="000E30D9">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0"/>
              </w:rPr>
            </w:pPr>
          </w:p>
        </w:tc>
        <w:tc>
          <w:tcPr>
            <w:tcW w:w="689" w:type="dxa"/>
            <w:shd w:val="clear" w:color="auto" w:fill="F1F2E0" w:themeFill="accent2" w:themeFillTint="33"/>
            <w:vAlign w:val="center"/>
          </w:tcPr>
          <w:p w14:paraId="0608813E" w14:textId="77777777" w:rsidR="00EA6C1F" w:rsidRPr="00253BAD" w:rsidRDefault="00EA6C1F" w:rsidP="000E30D9">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0"/>
              </w:rPr>
            </w:pPr>
          </w:p>
        </w:tc>
        <w:tc>
          <w:tcPr>
            <w:tcW w:w="689" w:type="dxa"/>
            <w:shd w:val="clear" w:color="auto" w:fill="638A29" w:themeFill="accent1"/>
            <w:vAlign w:val="center"/>
          </w:tcPr>
          <w:p w14:paraId="0F52D60F" w14:textId="251FFD3F" w:rsidR="00EA6C1F" w:rsidRPr="00253BAD" w:rsidRDefault="00EA6C1F" w:rsidP="000E30D9">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auto"/>
                <w:szCs w:val="20"/>
              </w:rPr>
            </w:pPr>
          </w:p>
        </w:tc>
      </w:tr>
      <w:tr w:rsidR="00EA6C1F" w:rsidRPr="00253BAD" w14:paraId="24A57AC8" w14:textId="5FF55E81" w:rsidTr="00707669">
        <w:trPr>
          <w:cnfStyle w:val="000000100000" w:firstRow="0" w:lastRow="0" w:firstColumn="0" w:lastColumn="0" w:oddVBand="0" w:evenVBand="0" w:oddHBand="1" w:evenHBand="0" w:firstRowFirstColumn="0" w:firstRowLastColumn="0" w:lastRowFirstColumn="0" w:lastRowLastColumn="0"/>
          <w:trHeight w:val="703"/>
          <w:jc w:val="center"/>
        </w:trPr>
        <w:tc>
          <w:tcPr>
            <w:cnfStyle w:val="001000000000" w:firstRow="0" w:lastRow="0" w:firstColumn="1" w:lastColumn="0" w:oddVBand="0" w:evenVBand="0" w:oddHBand="0" w:evenHBand="0" w:firstRowFirstColumn="0" w:firstRowLastColumn="0" w:lastRowFirstColumn="0" w:lastRowLastColumn="0"/>
            <w:tcW w:w="426" w:type="dxa"/>
            <w:shd w:val="clear" w:color="auto" w:fill="FFFFFF" w:themeFill="background1"/>
            <w:vAlign w:val="center"/>
          </w:tcPr>
          <w:p w14:paraId="006A3318" w14:textId="72D42DB2" w:rsidR="00EA6C1F" w:rsidRPr="00253BAD" w:rsidRDefault="00EA6C1F" w:rsidP="000E30D9">
            <w:pPr>
              <w:tabs>
                <w:tab w:val="left" w:pos="3119"/>
              </w:tabs>
              <w:spacing w:before="40" w:after="40"/>
              <w:ind w:firstLine="0"/>
              <w:jc w:val="center"/>
              <w:rPr>
                <w:rFonts w:ascii="Calibri" w:hAnsi="Calibri" w:cs="Calibri"/>
                <w:color w:val="auto"/>
                <w:szCs w:val="20"/>
              </w:rPr>
            </w:pPr>
            <w:r w:rsidRPr="00253BAD">
              <w:rPr>
                <w:rFonts w:ascii="Calibri" w:hAnsi="Calibri" w:cs="Calibri"/>
                <w:color w:val="auto"/>
                <w:szCs w:val="20"/>
              </w:rPr>
              <w:t>5</w:t>
            </w:r>
          </w:p>
        </w:tc>
        <w:tc>
          <w:tcPr>
            <w:tcW w:w="1762" w:type="dxa"/>
            <w:shd w:val="clear" w:color="auto" w:fill="FFFFFF" w:themeFill="background1"/>
            <w:vAlign w:val="center"/>
          </w:tcPr>
          <w:p w14:paraId="0536D54C"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r w:rsidRPr="00253BAD">
              <w:rPr>
                <w:rFonts w:ascii="Calibri" w:hAnsi="Calibri" w:cs="Calibri"/>
                <w:color w:val="auto"/>
                <w:szCs w:val="20"/>
              </w:rPr>
              <w:t>Aktualizacja</w:t>
            </w:r>
          </w:p>
          <w:p w14:paraId="23A17338"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r w:rsidRPr="00253BAD">
              <w:rPr>
                <w:rFonts w:ascii="Calibri" w:hAnsi="Calibri" w:cs="Calibri"/>
                <w:color w:val="auto"/>
                <w:szCs w:val="20"/>
              </w:rPr>
              <w:t>Planu</w:t>
            </w:r>
          </w:p>
        </w:tc>
        <w:tc>
          <w:tcPr>
            <w:tcW w:w="671" w:type="dxa"/>
            <w:shd w:val="clear" w:color="auto" w:fill="FFFFFF" w:themeFill="background1"/>
            <w:vAlign w:val="center"/>
          </w:tcPr>
          <w:p w14:paraId="791FE510"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p>
        </w:tc>
        <w:tc>
          <w:tcPr>
            <w:tcW w:w="689" w:type="dxa"/>
            <w:shd w:val="clear" w:color="auto" w:fill="FFFFFF" w:themeFill="background1"/>
            <w:vAlign w:val="center"/>
          </w:tcPr>
          <w:p w14:paraId="57A39ACC"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p>
        </w:tc>
        <w:tc>
          <w:tcPr>
            <w:tcW w:w="688" w:type="dxa"/>
            <w:shd w:val="clear" w:color="auto" w:fill="FFFFFF" w:themeFill="background1"/>
            <w:vAlign w:val="center"/>
          </w:tcPr>
          <w:p w14:paraId="3A766FA2"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p>
        </w:tc>
        <w:tc>
          <w:tcPr>
            <w:tcW w:w="688" w:type="dxa"/>
            <w:shd w:val="clear" w:color="auto" w:fill="FFFFFF" w:themeFill="background1"/>
            <w:vAlign w:val="center"/>
          </w:tcPr>
          <w:p w14:paraId="6CA5666D"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p>
        </w:tc>
        <w:tc>
          <w:tcPr>
            <w:tcW w:w="688" w:type="dxa"/>
            <w:shd w:val="clear" w:color="auto" w:fill="FFFFFF" w:themeFill="background1"/>
            <w:vAlign w:val="center"/>
          </w:tcPr>
          <w:p w14:paraId="205755DE"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p>
        </w:tc>
        <w:tc>
          <w:tcPr>
            <w:tcW w:w="689" w:type="dxa"/>
            <w:shd w:val="clear" w:color="auto" w:fill="FFFFFF" w:themeFill="background1"/>
            <w:vAlign w:val="center"/>
          </w:tcPr>
          <w:p w14:paraId="5185D946" w14:textId="77777777"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p>
        </w:tc>
        <w:tc>
          <w:tcPr>
            <w:tcW w:w="689" w:type="dxa"/>
            <w:shd w:val="clear" w:color="auto" w:fill="638A29" w:themeFill="accent1"/>
            <w:vAlign w:val="center"/>
          </w:tcPr>
          <w:p w14:paraId="16ED320B" w14:textId="63D45A2D" w:rsidR="00EA6C1F" w:rsidRPr="00253BAD" w:rsidRDefault="00EA6C1F" w:rsidP="000E30D9">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auto"/>
                <w:szCs w:val="20"/>
              </w:rPr>
            </w:pPr>
          </w:p>
        </w:tc>
      </w:tr>
    </w:tbl>
    <w:bookmarkEnd w:id="286"/>
    <w:p w14:paraId="7B6419A1" w14:textId="0B9A7C49" w:rsidR="00D07AF8" w:rsidRPr="00655FC7" w:rsidRDefault="00704454" w:rsidP="009946BE">
      <w:pPr>
        <w:pStyle w:val="Cytat"/>
      </w:pPr>
      <w:r w:rsidRPr="00655FC7">
        <w:t>Źródło: opracowanie własne</w:t>
      </w:r>
    </w:p>
    <w:p w14:paraId="261B9C8D" w14:textId="060C142E" w:rsidR="00D07AF8" w:rsidRPr="00655FC7" w:rsidRDefault="00D07AF8" w:rsidP="00D07AF8">
      <w:pPr>
        <w:rPr>
          <w:rFonts w:cstheme="minorHAnsi"/>
        </w:rPr>
      </w:pPr>
    </w:p>
    <w:p w14:paraId="5C5D3860" w14:textId="5212D4D1" w:rsidR="00C3065E" w:rsidRPr="00655FC7" w:rsidRDefault="00456508" w:rsidP="00B62479">
      <w:pPr>
        <w:pStyle w:val="Nagwek2"/>
      </w:pPr>
      <w:bookmarkStart w:id="287" w:name="_Toc143596961"/>
      <w:bookmarkStart w:id="288" w:name="_Toc177732093"/>
      <w:r>
        <w:t xml:space="preserve">Potencjalne </w:t>
      </w:r>
      <w:r w:rsidR="00C3065E" w:rsidRPr="00655FC7">
        <w:t>źródła finansowania</w:t>
      </w:r>
      <w:bookmarkEnd w:id="276"/>
      <w:bookmarkEnd w:id="277"/>
      <w:bookmarkEnd w:id="278"/>
      <w:bookmarkEnd w:id="287"/>
      <w:bookmarkEnd w:id="288"/>
    </w:p>
    <w:p w14:paraId="7F48A9EA" w14:textId="6FE79988" w:rsidR="00C3065E" w:rsidRPr="00655FC7" w:rsidRDefault="00906C9A" w:rsidP="00C3065E">
      <w:pPr>
        <w:tabs>
          <w:tab w:val="left" w:pos="3119"/>
        </w:tabs>
        <w:rPr>
          <w:rFonts w:cstheme="minorHAnsi"/>
          <w:color w:val="auto"/>
        </w:rPr>
      </w:pPr>
      <w:r w:rsidRPr="00655FC7">
        <w:rPr>
          <w:rFonts w:cstheme="minorHAnsi"/>
          <w:color w:val="auto"/>
        </w:rPr>
        <w:t xml:space="preserve">Działania zawarte w </w:t>
      </w:r>
      <w:r w:rsidR="00C3065E" w:rsidRPr="00655FC7">
        <w:rPr>
          <w:rFonts w:cstheme="minorHAnsi"/>
          <w:color w:val="auto"/>
        </w:rPr>
        <w:t>Plan</w:t>
      </w:r>
      <w:r w:rsidRPr="00655FC7">
        <w:rPr>
          <w:rFonts w:cstheme="minorHAnsi"/>
          <w:color w:val="auto"/>
        </w:rPr>
        <w:t>ie</w:t>
      </w:r>
      <w:r w:rsidR="00C3065E" w:rsidRPr="00655FC7">
        <w:rPr>
          <w:rFonts w:cstheme="minorHAnsi"/>
          <w:color w:val="auto"/>
        </w:rPr>
        <w:t xml:space="preserve"> Adaptacji </w:t>
      </w:r>
      <w:r w:rsidRPr="00655FC7">
        <w:rPr>
          <w:rFonts w:cstheme="minorHAnsi"/>
          <w:color w:val="auto"/>
        </w:rPr>
        <w:t>mogą</w:t>
      </w:r>
      <w:r w:rsidR="00C3065E" w:rsidRPr="00655FC7">
        <w:rPr>
          <w:rFonts w:cstheme="minorHAnsi"/>
          <w:color w:val="auto"/>
        </w:rPr>
        <w:t xml:space="preserve"> być finansowan</w:t>
      </w:r>
      <w:r w:rsidRPr="00655FC7">
        <w:rPr>
          <w:rFonts w:cstheme="minorHAnsi"/>
          <w:color w:val="auto"/>
        </w:rPr>
        <w:t>e</w:t>
      </w:r>
      <w:r w:rsidR="00C3065E" w:rsidRPr="00655FC7">
        <w:rPr>
          <w:rFonts w:cstheme="minorHAnsi"/>
          <w:color w:val="auto"/>
        </w:rPr>
        <w:t xml:space="preserve"> ze środków krajowych i regionalnych oraz funduszy Unii Europejskiej i współpracy UE z innymi krajami. Komisja Europejska zaproponowała wskaźnik wydatków klimatycznych na poziomie 25% budżetu 2021-2027 do osiągnięcia celów klimatycznych. W Polsce adaptacja do zmian klimatu nie jest priorytetowym obszarem wsparcia finansowego, ale wiele działań</w:t>
      </w:r>
      <w:r w:rsidR="0029168E" w:rsidRPr="00655FC7">
        <w:rPr>
          <w:rFonts w:cstheme="minorHAnsi"/>
          <w:color w:val="auto"/>
        </w:rPr>
        <w:t>,</w:t>
      </w:r>
      <w:r w:rsidR="00C3065E" w:rsidRPr="00655FC7">
        <w:rPr>
          <w:rFonts w:cstheme="minorHAnsi"/>
          <w:color w:val="auto"/>
        </w:rPr>
        <w:t xml:space="preserve"> szczególnie w zakresie ochrony środowiska i ekologii</w:t>
      </w:r>
      <w:r w:rsidR="0029168E" w:rsidRPr="00655FC7">
        <w:rPr>
          <w:rFonts w:cstheme="minorHAnsi"/>
          <w:color w:val="auto"/>
        </w:rPr>
        <w:t>,</w:t>
      </w:r>
      <w:r w:rsidR="00C3065E" w:rsidRPr="00655FC7">
        <w:rPr>
          <w:rFonts w:cstheme="minorHAnsi"/>
          <w:color w:val="auto"/>
        </w:rPr>
        <w:t xml:space="preserve"> finansowanych ze środków krajowych jest spójn</w:t>
      </w:r>
      <w:r w:rsidR="0029168E" w:rsidRPr="00655FC7">
        <w:rPr>
          <w:rFonts w:cstheme="minorHAnsi"/>
          <w:color w:val="auto"/>
        </w:rPr>
        <w:t>ych</w:t>
      </w:r>
      <w:r w:rsidR="00C3065E" w:rsidRPr="00655FC7">
        <w:rPr>
          <w:rFonts w:cstheme="minorHAnsi"/>
          <w:color w:val="auto"/>
        </w:rPr>
        <w:t xml:space="preserve"> z celami adaptacyjnymi.</w:t>
      </w:r>
    </w:p>
    <w:p w14:paraId="21AB7D8E" w14:textId="77777777" w:rsidR="00C3065E" w:rsidRPr="00655FC7" w:rsidRDefault="00C3065E" w:rsidP="00C3065E">
      <w:pPr>
        <w:tabs>
          <w:tab w:val="left" w:pos="3119"/>
        </w:tabs>
        <w:rPr>
          <w:rFonts w:cstheme="minorHAnsi"/>
          <w:color w:val="auto"/>
        </w:rPr>
      </w:pPr>
    </w:p>
    <w:p w14:paraId="4AFC7AB1" w14:textId="77777777" w:rsidR="00C3065E" w:rsidRPr="00655FC7" w:rsidRDefault="00C3065E" w:rsidP="00C3065E">
      <w:pPr>
        <w:tabs>
          <w:tab w:val="left" w:pos="3119"/>
        </w:tabs>
        <w:rPr>
          <w:rFonts w:cstheme="minorHAnsi"/>
          <w:color w:val="auto"/>
        </w:rPr>
      </w:pPr>
      <w:r w:rsidRPr="00655FC7">
        <w:rPr>
          <w:rFonts w:cstheme="minorHAnsi"/>
          <w:color w:val="auto"/>
        </w:rPr>
        <w:t>Dla jednostek samorządowych dostępnymi sposobami finansowania inwestycji są:</w:t>
      </w:r>
    </w:p>
    <w:p w14:paraId="52FBA46D" w14:textId="77777777" w:rsidR="00C3065E" w:rsidRPr="00655FC7" w:rsidRDefault="00C3065E">
      <w:pPr>
        <w:numPr>
          <w:ilvl w:val="0"/>
          <w:numId w:val="3"/>
        </w:numPr>
        <w:tabs>
          <w:tab w:val="left" w:pos="3119"/>
        </w:tabs>
        <w:contextualSpacing/>
        <w:rPr>
          <w:rFonts w:cstheme="minorHAnsi"/>
          <w:color w:val="auto"/>
        </w:rPr>
      </w:pPr>
      <w:r w:rsidRPr="00655FC7">
        <w:rPr>
          <w:rFonts w:cstheme="minorHAnsi"/>
          <w:color w:val="auto"/>
        </w:rPr>
        <w:t>środki własne,</w:t>
      </w:r>
    </w:p>
    <w:p w14:paraId="1ADFD86B" w14:textId="77777777" w:rsidR="00C3065E" w:rsidRPr="00655FC7" w:rsidRDefault="00C3065E">
      <w:pPr>
        <w:numPr>
          <w:ilvl w:val="0"/>
          <w:numId w:val="3"/>
        </w:numPr>
        <w:tabs>
          <w:tab w:val="left" w:pos="3119"/>
        </w:tabs>
        <w:contextualSpacing/>
        <w:rPr>
          <w:rFonts w:cstheme="minorHAnsi"/>
          <w:color w:val="auto"/>
        </w:rPr>
      </w:pPr>
      <w:r w:rsidRPr="00655FC7">
        <w:rPr>
          <w:rFonts w:cstheme="minorHAnsi"/>
          <w:color w:val="auto"/>
        </w:rPr>
        <w:t xml:space="preserve">kredyty i pożyczki udzielane w bankach komercyjnych, </w:t>
      </w:r>
    </w:p>
    <w:p w14:paraId="187E4D27" w14:textId="77777777" w:rsidR="00C3065E" w:rsidRPr="00655FC7" w:rsidRDefault="00C3065E">
      <w:pPr>
        <w:numPr>
          <w:ilvl w:val="0"/>
          <w:numId w:val="3"/>
        </w:numPr>
        <w:tabs>
          <w:tab w:val="left" w:pos="3119"/>
        </w:tabs>
        <w:contextualSpacing/>
        <w:rPr>
          <w:rFonts w:cstheme="minorHAnsi"/>
          <w:color w:val="auto"/>
        </w:rPr>
      </w:pPr>
      <w:r w:rsidRPr="00655FC7">
        <w:rPr>
          <w:rFonts w:cstheme="minorHAnsi"/>
          <w:color w:val="auto"/>
        </w:rPr>
        <w:t>kredyty i pożyczki preferencyjne udzielane przez instytucje wspierające rozwój gmin,</w:t>
      </w:r>
    </w:p>
    <w:p w14:paraId="40628133" w14:textId="77777777" w:rsidR="00C3065E" w:rsidRPr="00655FC7" w:rsidRDefault="00C3065E">
      <w:pPr>
        <w:numPr>
          <w:ilvl w:val="0"/>
          <w:numId w:val="3"/>
        </w:numPr>
        <w:tabs>
          <w:tab w:val="left" w:pos="3119"/>
        </w:tabs>
        <w:contextualSpacing/>
        <w:rPr>
          <w:rFonts w:cstheme="minorHAnsi"/>
          <w:color w:val="auto"/>
        </w:rPr>
      </w:pPr>
      <w:r w:rsidRPr="00655FC7">
        <w:rPr>
          <w:rFonts w:cstheme="minorHAnsi"/>
          <w:color w:val="auto"/>
        </w:rPr>
        <w:t>dotacje państwowe z funduszy krajowych i zagranicznych,</w:t>
      </w:r>
    </w:p>
    <w:p w14:paraId="1E034591" w14:textId="77777777" w:rsidR="00C3065E" w:rsidRPr="00655FC7" w:rsidRDefault="00C3065E">
      <w:pPr>
        <w:numPr>
          <w:ilvl w:val="0"/>
          <w:numId w:val="3"/>
        </w:numPr>
        <w:tabs>
          <w:tab w:val="left" w:pos="3119"/>
        </w:tabs>
        <w:contextualSpacing/>
        <w:rPr>
          <w:rFonts w:cstheme="minorHAnsi"/>
          <w:color w:val="auto"/>
        </w:rPr>
      </w:pPr>
      <w:r w:rsidRPr="00655FC7">
        <w:rPr>
          <w:rFonts w:cstheme="minorHAnsi"/>
          <w:color w:val="auto"/>
        </w:rPr>
        <w:t>emisja obligacji.</w:t>
      </w:r>
    </w:p>
    <w:p w14:paraId="0321DB27" w14:textId="77777777" w:rsidR="004B7BA4" w:rsidRDefault="004B7BA4" w:rsidP="00C3065E">
      <w:pPr>
        <w:tabs>
          <w:tab w:val="left" w:pos="3119"/>
        </w:tabs>
        <w:rPr>
          <w:rFonts w:cstheme="minorHAnsi"/>
          <w:color w:val="auto"/>
        </w:rPr>
      </w:pPr>
    </w:p>
    <w:p w14:paraId="31E8BD6D" w14:textId="77777777" w:rsidR="00707669" w:rsidRPr="00596802" w:rsidRDefault="00707669" w:rsidP="00707669">
      <w:pPr>
        <w:rPr>
          <w:rStyle w:val="Wyrnienieintensywne"/>
        </w:rPr>
      </w:pPr>
      <w:bookmarkStart w:id="289" w:name="_Toc75170269"/>
      <w:r w:rsidRPr="00596802">
        <w:rPr>
          <w:rStyle w:val="Wyrnienieintensywne"/>
        </w:rPr>
        <w:t>Fundusze Europejskie na Infrastrukturę, Klimat i Środowisko (FEnIKS)</w:t>
      </w:r>
    </w:p>
    <w:p w14:paraId="48B7C3AE" w14:textId="77777777" w:rsidR="00707669" w:rsidRPr="00C20316" w:rsidRDefault="00707669" w:rsidP="00707669">
      <w:r w:rsidRPr="00C20316">
        <w:t>Program Fundusze Europejskie na Infrastrukturę, Klimat, Środowisko 2021-2027 (FEnIKS) stanowi kontynuacje dwóch wcześniejszych programów Infrastruktura i Środowisko 2007-2013 oraz 2014-2020. Głównym celem programu jest poprawa warunków rozwoju kraju poprzez budowę infrastruktury technicznej i społecznej zgodnie z założeniami zrównoważonego rozwoju, w tym poprzez:</w:t>
      </w:r>
    </w:p>
    <w:p w14:paraId="4CDAD62F" w14:textId="77777777" w:rsidR="00707669" w:rsidRPr="00C20316" w:rsidRDefault="00707669">
      <w:pPr>
        <w:pStyle w:val="Akapitzlist"/>
        <w:numPr>
          <w:ilvl w:val="0"/>
          <w:numId w:val="104"/>
        </w:numPr>
        <w:ind w:left="567"/>
      </w:pPr>
      <w:r w:rsidRPr="00C20316">
        <w:t>obniżenie emisyjności gospodarki, transformację w kierunku gospodarki przyjaznej środowisku i o obiegu zamkniętym,</w:t>
      </w:r>
    </w:p>
    <w:p w14:paraId="0257991A" w14:textId="77777777" w:rsidR="00707669" w:rsidRPr="00C20316" w:rsidRDefault="00707669">
      <w:pPr>
        <w:numPr>
          <w:ilvl w:val="0"/>
          <w:numId w:val="104"/>
        </w:numPr>
        <w:shd w:val="clear" w:color="auto" w:fill="FFFFFF"/>
        <w:ind w:left="567"/>
      </w:pPr>
      <w:r w:rsidRPr="00C20316">
        <w:t>budowę efektywnego i odpornego systemu transportowego o jak najniższym negatywnym wpływie na środowisko naturalne,</w:t>
      </w:r>
    </w:p>
    <w:p w14:paraId="75992D9E" w14:textId="77777777" w:rsidR="00707669" w:rsidRPr="00C20316" w:rsidRDefault="00707669">
      <w:pPr>
        <w:numPr>
          <w:ilvl w:val="0"/>
          <w:numId w:val="104"/>
        </w:numPr>
        <w:shd w:val="clear" w:color="auto" w:fill="FFFFFF"/>
        <w:ind w:left="567"/>
      </w:pPr>
      <w:r w:rsidRPr="00C20316">
        <w:t>dokończenie realizacji odcinków sieci bazowej TEN-T do roku 2030,</w:t>
      </w:r>
    </w:p>
    <w:p w14:paraId="107808EE" w14:textId="77777777" w:rsidR="00707669" w:rsidRPr="00C20316" w:rsidRDefault="00707669">
      <w:pPr>
        <w:numPr>
          <w:ilvl w:val="0"/>
          <w:numId w:val="104"/>
        </w:numPr>
        <w:shd w:val="clear" w:color="auto" w:fill="FFFFFF"/>
        <w:ind w:left="567"/>
      </w:pPr>
      <w:r w:rsidRPr="00C20316">
        <w:t>poprawę bezpieczeństwa transportu,</w:t>
      </w:r>
    </w:p>
    <w:p w14:paraId="67FB46AF" w14:textId="77777777" w:rsidR="00707669" w:rsidRPr="00C20316" w:rsidRDefault="00707669">
      <w:pPr>
        <w:numPr>
          <w:ilvl w:val="0"/>
          <w:numId w:val="104"/>
        </w:numPr>
        <w:shd w:val="clear" w:color="auto" w:fill="FFFFFF"/>
        <w:ind w:left="567"/>
      </w:pPr>
      <w:r w:rsidRPr="00C20316">
        <w:lastRenderedPageBreak/>
        <w:t>zapewnienie równego dostępu do opieki zdrowotnej oraz poprawę odporności systemu ochrony zdrowia,</w:t>
      </w:r>
    </w:p>
    <w:p w14:paraId="2DD39891" w14:textId="77777777" w:rsidR="00707669" w:rsidRPr="00C20316" w:rsidRDefault="00707669">
      <w:pPr>
        <w:numPr>
          <w:ilvl w:val="0"/>
          <w:numId w:val="104"/>
        </w:numPr>
        <w:shd w:val="clear" w:color="auto" w:fill="FFFFFF"/>
        <w:ind w:left="567"/>
      </w:pPr>
      <w:r w:rsidRPr="00C20316">
        <w:t>wzmocnienie roli kultury w rozwoju społecznym i gospodarczym.</w:t>
      </w:r>
    </w:p>
    <w:p w14:paraId="2990C938" w14:textId="77777777" w:rsidR="00707669" w:rsidRPr="00C20316" w:rsidRDefault="00707669" w:rsidP="00707669">
      <w:r w:rsidRPr="00C20316">
        <w:t>Realizacja programu zwiększy efektywność energetyczną mieszkalnictwa, budynków użyteczności publicznej i przedsiębiorstw oraz zwiększy udział zielonej energii z odnawialnych źródeł energii w końcowym zużyciu energii. Inwestycje w infrastrukturę energetyczną mają przynieść poprawę jakości i bezpieczeństwa funkcjonowania sieci elektroenergetycznych oraz rozwój inteligentnych sieci gazowych i wzrost ich znaczenia w nowoczesnym, zielonym systemie energetycznym. Inwestycje w sektorze środowiska mają przyczynić się do większej odporności na zmiany klimatu (w tym na susze i powodzie) oraz ochronę dziedzictwa przyrodniczego (wzrost zdolności retencyjnych oraz poprawę systemów monitorowania i zarządzania kryzysowego).</w:t>
      </w:r>
    </w:p>
    <w:p w14:paraId="32843B51" w14:textId="77777777" w:rsidR="00707669" w:rsidRPr="00C20316" w:rsidRDefault="00707669" w:rsidP="00707669">
      <w:pPr>
        <w:shd w:val="clear" w:color="auto" w:fill="FFFFFF"/>
      </w:pPr>
      <w:r w:rsidRPr="00C20316">
        <w:t>Oferta programu skierowana będzie do m.in.:</w:t>
      </w:r>
    </w:p>
    <w:p w14:paraId="15E46154" w14:textId="77777777" w:rsidR="00707669" w:rsidRPr="00C20316" w:rsidRDefault="00707669">
      <w:pPr>
        <w:numPr>
          <w:ilvl w:val="0"/>
          <w:numId w:val="105"/>
        </w:numPr>
        <w:shd w:val="clear" w:color="auto" w:fill="FFFFFF"/>
      </w:pPr>
      <w:r w:rsidRPr="00C20316">
        <w:t>przedsiębiorstw,</w:t>
      </w:r>
    </w:p>
    <w:p w14:paraId="75769141" w14:textId="77777777" w:rsidR="00707669" w:rsidRPr="00C20316" w:rsidRDefault="00707669">
      <w:pPr>
        <w:numPr>
          <w:ilvl w:val="0"/>
          <w:numId w:val="105"/>
        </w:numPr>
        <w:shd w:val="clear" w:color="auto" w:fill="FFFFFF"/>
      </w:pPr>
      <w:r w:rsidRPr="00C20316">
        <w:t>jednostek samorządu terytorialnego,</w:t>
      </w:r>
    </w:p>
    <w:p w14:paraId="60AF5E3A" w14:textId="77777777" w:rsidR="00707669" w:rsidRPr="00C20316" w:rsidRDefault="00707669">
      <w:pPr>
        <w:numPr>
          <w:ilvl w:val="0"/>
          <w:numId w:val="105"/>
        </w:numPr>
        <w:shd w:val="clear" w:color="auto" w:fill="FFFFFF"/>
      </w:pPr>
      <w:r w:rsidRPr="00C20316">
        <w:t>podmiotów świadczących usługi publiczne w ramach realizacji obowiązków własnych jednostek samorządu terytorialnego,</w:t>
      </w:r>
    </w:p>
    <w:p w14:paraId="42BEBB66" w14:textId="77777777" w:rsidR="00707669" w:rsidRPr="00C20316" w:rsidRDefault="00707669">
      <w:pPr>
        <w:numPr>
          <w:ilvl w:val="0"/>
          <w:numId w:val="105"/>
        </w:numPr>
        <w:shd w:val="clear" w:color="auto" w:fill="FFFFFF"/>
      </w:pPr>
      <w:r w:rsidRPr="00C20316">
        <w:t>właścicieli budynków mieszkalnych,</w:t>
      </w:r>
    </w:p>
    <w:p w14:paraId="2A281A36" w14:textId="77777777" w:rsidR="00707669" w:rsidRPr="00C20316" w:rsidRDefault="00707669">
      <w:pPr>
        <w:numPr>
          <w:ilvl w:val="0"/>
          <w:numId w:val="105"/>
        </w:numPr>
        <w:shd w:val="clear" w:color="auto" w:fill="FFFFFF"/>
      </w:pPr>
      <w:r w:rsidRPr="00C20316">
        <w:t>państwowych jednostek budżetowych i administracji publicznej,</w:t>
      </w:r>
    </w:p>
    <w:p w14:paraId="5F826182" w14:textId="77777777" w:rsidR="00707669" w:rsidRPr="00C20316" w:rsidRDefault="00707669">
      <w:pPr>
        <w:numPr>
          <w:ilvl w:val="0"/>
          <w:numId w:val="105"/>
        </w:numPr>
        <w:shd w:val="clear" w:color="auto" w:fill="FFFFFF"/>
      </w:pPr>
      <w:r w:rsidRPr="00C20316">
        <w:t>dostawców usług energetycznych,</w:t>
      </w:r>
    </w:p>
    <w:p w14:paraId="27E3948A" w14:textId="77777777" w:rsidR="00707669" w:rsidRPr="00C20316" w:rsidRDefault="00707669">
      <w:pPr>
        <w:numPr>
          <w:ilvl w:val="0"/>
          <w:numId w:val="105"/>
        </w:numPr>
        <w:shd w:val="clear" w:color="auto" w:fill="FFFFFF"/>
      </w:pPr>
      <w:r w:rsidRPr="00C20316">
        <w:t>zarządców dróg krajowych i linii kolejowych, </w:t>
      </w:r>
    </w:p>
    <w:p w14:paraId="60C64394" w14:textId="77777777" w:rsidR="00707669" w:rsidRPr="00C20316" w:rsidRDefault="00707669">
      <w:pPr>
        <w:numPr>
          <w:ilvl w:val="0"/>
          <w:numId w:val="105"/>
        </w:numPr>
        <w:shd w:val="clear" w:color="auto" w:fill="FFFFFF"/>
      </w:pPr>
      <w:r w:rsidRPr="00C20316">
        <w:t>służb ratowniczych (ratownictwo techniczne) i odpowiedzialnych za bezpieczeństwo ruchu,</w:t>
      </w:r>
    </w:p>
    <w:p w14:paraId="311B6F9D" w14:textId="77777777" w:rsidR="00707669" w:rsidRPr="00C20316" w:rsidRDefault="00707669">
      <w:pPr>
        <w:numPr>
          <w:ilvl w:val="0"/>
          <w:numId w:val="105"/>
        </w:numPr>
        <w:shd w:val="clear" w:color="auto" w:fill="FFFFFF"/>
      </w:pPr>
      <w:r w:rsidRPr="00C20316">
        <w:t>Państwowej Straży Pożarnej,</w:t>
      </w:r>
    </w:p>
    <w:p w14:paraId="0495B4A1" w14:textId="77777777" w:rsidR="00707669" w:rsidRPr="00C20316" w:rsidRDefault="00707669">
      <w:pPr>
        <w:numPr>
          <w:ilvl w:val="0"/>
          <w:numId w:val="105"/>
        </w:numPr>
        <w:shd w:val="clear" w:color="auto" w:fill="FFFFFF"/>
      </w:pPr>
      <w:r w:rsidRPr="00C20316">
        <w:t>podmiotów zarządzających portami lotniczymi oraz portami morskimi,</w:t>
      </w:r>
    </w:p>
    <w:p w14:paraId="7E3F28C0" w14:textId="77777777" w:rsidR="00707669" w:rsidRPr="00C20316" w:rsidRDefault="00707669">
      <w:pPr>
        <w:numPr>
          <w:ilvl w:val="0"/>
          <w:numId w:val="105"/>
        </w:numPr>
        <w:shd w:val="clear" w:color="auto" w:fill="FFFFFF"/>
      </w:pPr>
      <w:r w:rsidRPr="00C20316">
        <w:t>organizacji pozarządowych,</w:t>
      </w:r>
    </w:p>
    <w:p w14:paraId="580B4AA8" w14:textId="77777777" w:rsidR="00707669" w:rsidRPr="00C20316" w:rsidRDefault="00707669">
      <w:pPr>
        <w:numPr>
          <w:ilvl w:val="0"/>
          <w:numId w:val="105"/>
        </w:numPr>
        <w:shd w:val="clear" w:color="auto" w:fill="FFFFFF"/>
        <w:spacing w:after="120"/>
      </w:pPr>
      <w:r w:rsidRPr="00C20316">
        <w:t>instytucji ochrony zdrowia, instytucji kultury,</w:t>
      </w:r>
    </w:p>
    <w:p w14:paraId="443BE114" w14:textId="77777777" w:rsidR="00707669" w:rsidRPr="00C20316" w:rsidRDefault="00707669" w:rsidP="00707669">
      <w:r w:rsidRPr="00C20316">
        <w:t>Formy wsparcia:</w:t>
      </w:r>
    </w:p>
    <w:p w14:paraId="48369222" w14:textId="77777777" w:rsidR="00707669" w:rsidRPr="00C20316" w:rsidRDefault="00707669">
      <w:pPr>
        <w:pStyle w:val="Akapitzlist"/>
        <w:numPr>
          <w:ilvl w:val="0"/>
          <w:numId w:val="114"/>
        </w:numPr>
        <w:spacing w:after="160" w:line="259" w:lineRule="auto"/>
        <w:jc w:val="left"/>
      </w:pPr>
      <w:r w:rsidRPr="00C20316">
        <w:t>dotacje,</w:t>
      </w:r>
    </w:p>
    <w:p w14:paraId="70910255" w14:textId="77777777" w:rsidR="00707669" w:rsidRPr="00C20316" w:rsidRDefault="00707669">
      <w:pPr>
        <w:pStyle w:val="Akapitzlist"/>
        <w:numPr>
          <w:ilvl w:val="0"/>
          <w:numId w:val="114"/>
        </w:numPr>
        <w:spacing w:after="160" w:line="259" w:lineRule="auto"/>
        <w:jc w:val="left"/>
      </w:pPr>
      <w:r w:rsidRPr="00C20316">
        <w:t>instrumenty finansowe,</w:t>
      </w:r>
    </w:p>
    <w:p w14:paraId="06136ADF" w14:textId="77777777" w:rsidR="00707669" w:rsidRPr="00C20316" w:rsidRDefault="00707669">
      <w:pPr>
        <w:pStyle w:val="Akapitzlist"/>
        <w:numPr>
          <w:ilvl w:val="0"/>
          <w:numId w:val="114"/>
        </w:numPr>
        <w:spacing w:after="160" w:line="259" w:lineRule="auto"/>
        <w:jc w:val="left"/>
      </w:pPr>
      <w:r w:rsidRPr="00C20316">
        <w:t>instrumenty łączące finansowanie zwrotne i dotacje.</w:t>
      </w:r>
    </w:p>
    <w:p w14:paraId="04DD2130" w14:textId="77777777" w:rsidR="00707669" w:rsidRPr="00596802" w:rsidRDefault="00707669" w:rsidP="00707669">
      <w:pPr>
        <w:rPr>
          <w:rStyle w:val="Wyrnienieintensywne"/>
        </w:rPr>
      </w:pPr>
      <w:r w:rsidRPr="00596802">
        <w:rPr>
          <w:rStyle w:val="Wyrnienieintensywne"/>
        </w:rPr>
        <w:t>Krajowy Plan Odbudowy (KPO)</w:t>
      </w:r>
      <w:r>
        <w:rPr>
          <w:rStyle w:val="Odwoanieprzypisudolnego"/>
          <w:i/>
          <w:iCs/>
          <w:color w:val="49671E" w:themeColor="accent1" w:themeShade="BF"/>
        </w:rPr>
        <w:footnoteReference w:id="49"/>
      </w:r>
    </w:p>
    <w:p w14:paraId="324EE5F6" w14:textId="77777777" w:rsidR="00707669" w:rsidRPr="00C20316" w:rsidRDefault="00707669" w:rsidP="00707669">
      <w:r w:rsidRPr="00C20316">
        <w:t>Krajowy Plan Odbudowy i Zwiększania Odporności (KPO) jest kompleksowym programem reform i projektów strategicznych. Jego celem jest wzmocnienie odporności społecznej i gospodarczej oraz budowa potencjału gospodarki na przyszłość.</w:t>
      </w:r>
    </w:p>
    <w:p w14:paraId="17D8D8B3" w14:textId="77777777" w:rsidR="00707669" w:rsidRDefault="00707669" w:rsidP="00707669">
      <w:r w:rsidRPr="00C20316">
        <w:t>KPO ma posłużyć odbudowie kondycji gospodarki oraz zwiększeniu jej odporności na ewentualne przyszłe kryzysy. Reformy zawarte w KPO powinny długofalowo realizować zieloną (neutralną klimatycznie i cyrkularną) i cyfrową transformację. Obecnie toczą się prace w grupach analizujących projekty z zakresu infrastruktura, transport, energia i środowisko, innowacje, cyfryzacja, zdrowie, społeczeństwo oraz spójność terytorialna.</w:t>
      </w:r>
    </w:p>
    <w:p w14:paraId="18E2ABDF" w14:textId="77777777" w:rsidR="00707669" w:rsidRPr="00C20316" w:rsidRDefault="00707669" w:rsidP="00707669"/>
    <w:p w14:paraId="74FE05B1" w14:textId="77777777" w:rsidR="00707669" w:rsidRPr="007C7BA5" w:rsidRDefault="00707669" w:rsidP="00707669">
      <w:pPr>
        <w:rPr>
          <w:rStyle w:val="Wyrnienieintensywne"/>
        </w:rPr>
      </w:pPr>
      <w:r w:rsidRPr="007C7BA5">
        <w:rPr>
          <w:rStyle w:val="Wyrnienieintensywne"/>
        </w:rPr>
        <w:lastRenderedPageBreak/>
        <w:t>Program Fundusze Europejskie dla Polski Wschodniej</w:t>
      </w:r>
      <w:r>
        <w:rPr>
          <w:rStyle w:val="Odwoanieprzypisudolnego"/>
          <w:i/>
          <w:iCs/>
          <w:color w:val="49671E" w:themeColor="accent1" w:themeShade="BF"/>
        </w:rPr>
        <w:footnoteReference w:id="50"/>
      </w:r>
    </w:p>
    <w:p w14:paraId="502D601F" w14:textId="77777777" w:rsidR="00707669" w:rsidRPr="00C20316" w:rsidRDefault="00707669" w:rsidP="00707669">
      <w:r w:rsidRPr="00C20316">
        <w:t>Dokument ten ma na celu utrwalenie warunków sprzyjających konkurencyjności gospodarki oraz wyższej jakości życia w Polsce Wschodniej. Program ma na celu w szczególności:</w:t>
      </w:r>
    </w:p>
    <w:p w14:paraId="77CD52CF" w14:textId="77777777" w:rsidR="00707669" w:rsidRPr="00C20316" w:rsidRDefault="00707669">
      <w:pPr>
        <w:pStyle w:val="Akapitzlist"/>
        <w:numPr>
          <w:ilvl w:val="0"/>
          <w:numId w:val="109"/>
        </w:numPr>
        <w:spacing w:after="160" w:line="259" w:lineRule="auto"/>
      </w:pPr>
      <w:r w:rsidRPr="00C20316">
        <w:t>wsparcie konkurencyjności i innowacyjności przedsiębiorstw;</w:t>
      </w:r>
    </w:p>
    <w:p w14:paraId="1AEECF54" w14:textId="77777777" w:rsidR="00707669" w:rsidRPr="00C20316" w:rsidRDefault="00707669">
      <w:pPr>
        <w:pStyle w:val="Akapitzlist"/>
        <w:numPr>
          <w:ilvl w:val="0"/>
          <w:numId w:val="109"/>
        </w:numPr>
        <w:spacing w:after="160" w:line="259" w:lineRule="auto"/>
      </w:pPr>
      <w:r w:rsidRPr="00C20316">
        <w:t>zwiększanie atrakcyjności miast i podniesienie jakości życia mieszkańców w dobie zmian klimatu;</w:t>
      </w:r>
    </w:p>
    <w:p w14:paraId="5694945E" w14:textId="77777777" w:rsidR="00707669" w:rsidRPr="00C20316" w:rsidRDefault="00707669">
      <w:pPr>
        <w:pStyle w:val="Akapitzlist"/>
        <w:numPr>
          <w:ilvl w:val="0"/>
          <w:numId w:val="109"/>
        </w:numPr>
        <w:spacing w:after="160" w:line="259" w:lineRule="auto"/>
      </w:pPr>
      <w:r w:rsidRPr="00C20316">
        <w:t>zwiększenie dostępności transportowej (kolejowej i drogowej) makroregionu;</w:t>
      </w:r>
    </w:p>
    <w:p w14:paraId="1D0CC599" w14:textId="77777777" w:rsidR="00707669" w:rsidRPr="00C20316" w:rsidRDefault="00707669">
      <w:pPr>
        <w:pStyle w:val="Akapitzlist"/>
        <w:numPr>
          <w:ilvl w:val="0"/>
          <w:numId w:val="109"/>
        </w:numPr>
        <w:spacing w:after="160" w:line="259" w:lineRule="auto"/>
      </w:pPr>
      <w:r w:rsidRPr="00C20316">
        <w:t>wzrost wykorzystania potencjału turystyki dla rozwoju społeczno-gospodarczego.</w:t>
      </w:r>
    </w:p>
    <w:p w14:paraId="0E054432" w14:textId="77777777" w:rsidR="00707669" w:rsidRPr="00C20316" w:rsidRDefault="00707669" w:rsidP="00707669">
      <w:r w:rsidRPr="00C20316">
        <w:t>Budżet, jakim operuje program to 2,65 mld EUR z Europejskiego Funduszu Rozwoju Regionalnego.</w:t>
      </w:r>
    </w:p>
    <w:p w14:paraId="7B15DBD2" w14:textId="77777777" w:rsidR="00707669" w:rsidRPr="00C20316" w:rsidRDefault="00707669" w:rsidP="00707669">
      <w:r w:rsidRPr="00C20316">
        <w:t>Program zakłada realizację sześciu priorytetów, w ramach których jednym z celi jest Energia i klimat: rozwój inteligentnych sieci energetycznych, dostosowanie miast do zmian klimatu, ochrona bioróżnorodności, podnoszenie świadomości ekologicznej.</w:t>
      </w:r>
    </w:p>
    <w:p w14:paraId="109F0732" w14:textId="77777777" w:rsidR="00707669" w:rsidRPr="00C20316" w:rsidRDefault="00707669" w:rsidP="00707669">
      <w:r w:rsidRPr="00C20316">
        <w:t>W ramach priorytetu określono działanie FEPW.02.02 Adaptacja do zmian klimatu, którego celem szczegółowym jest Wspieranie przystosowania się do zmian klimatu i zapobiegania ryzyku związanemu z klęskami żywiołowymi i katastrofami, a także odporności, z uwzględnieniem podejścia ekosystemowego.</w:t>
      </w:r>
    </w:p>
    <w:p w14:paraId="3FE3BF0A" w14:textId="77777777" w:rsidR="00707669" w:rsidRPr="00C20316" w:rsidRDefault="00707669" w:rsidP="00707669">
      <w:r w:rsidRPr="00C20316">
        <w:t>W ramach realizacji MPA, Miasto Tarnogród ma możliwość aplikowania o FEdPW na działania objęte wsparciem w projekcie, gdyż warunkiem otrzymania dofinansowania jest posiadanie Planu adaptacji do zmian klimatu.</w:t>
      </w:r>
    </w:p>
    <w:p w14:paraId="1F24AD1D" w14:textId="77777777" w:rsidR="00707669" w:rsidRPr="00C20316" w:rsidRDefault="00707669" w:rsidP="00707669">
      <w:r w:rsidRPr="00C20316">
        <w:t>Wsparcie zostanie przeznaczone na zwiększanie powierzchni czynnych biologicznie i hydrologicznie (rozszczelnianie) na obszarach zurbanizowanych oraz zagospodarowanie wód (w tym zatrzymanie, retencjonowanie i oczyszczanie wód opadowych) w zlewniach miejskich. Zastosowanie znajdą rozwiązania oparte na ekosystemach i zasobach naturalnych, obecnych i rozwijanych przez miasta (w tym zielono-niebieska infrastruktura i różnorodność biologiczna). W powyższym zakresie możliwe będzie współfinansowanie takich elementów jak m.in.:</w:t>
      </w:r>
    </w:p>
    <w:p w14:paraId="5D11FA24" w14:textId="77777777" w:rsidR="00707669" w:rsidRPr="00C20316" w:rsidRDefault="00707669">
      <w:pPr>
        <w:pStyle w:val="Akapitzlist"/>
        <w:numPr>
          <w:ilvl w:val="0"/>
          <w:numId w:val="110"/>
        </w:numPr>
        <w:spacing w:after="160" w:line="259" w:lineRule="auto"/>
      </w:pPr>
      <w:r w:rsidRPr="00C20316">
        <w:t>parki, parki kieszonkowe, ogrody, małe obszary leśne, trawiaste krawędzie, zielone dachy/ fasady/ściany, drzewa przydrożne,</w:t>
      </w:r>
    </w:p>
    <w:p w14:paraId="15B6114B" w14:textId="77777777" w:rsidR="00707669" w:rsidRPr="00C20316" w:rsidRDefault="00707669">
      <w:pPr>
        <w:pStyle w:val="Akapitzlist"/>
        <w:numPr>
          <w:ilvl w:val="0"/>
          <w:numId w:val="110"/>
        </w:numPr>
        <w:spacing w:after="160" w:line="259" w:lineRule="auto"/>
      </w:pPr>
      <w:r w:rsidRPr="00C20316">
        <w:t>zrównoważone systemy retencji, zagospodarowania i oczyszczania wód opadowych (nawierzchnie przepuszczalne, podłoża strukturalne), stawy, zagospodarowanie nabrzeży, lokalne obniżenia z bioretencją, powierzchnie przepuszczalne, rewitalizacja koryt rzecznych/ cieków/ dolin, stawy retencyjne, niecki bioretencyjne, zbiorniki, rowy bioretencyjne, rowy infiltracyjne, ogrody deszczowe,</w:t>
      </w:r>
    </w:p>
    <w:p w14:paraId="04C23866" w14:textId="77777777" w:rsidR="00707669" w:rsidRPr="00C20316" w:rsidRDefault="00707669">
      <w:pPr>
        <w:pStyle w:val="Akapitzlist"/>
        <w:numPr>
          <w:ilvl w:val="0"/>
          <w:numId w:val="110"/>
        </w:numPr>
        <w:spacing w:after="160" w:line="259" w:lineRule="auto"/>
      </w:pPr>
      <w:r w:rsidRPr="00C20316">
        <w:t>żywopłoty, pasy dzikiej przyrody,</w:t>
      </w:r>
    </w:p>
    <w:p w14:paraId="29FA65D7" w14:textId="77777777" w:rsidR="00707669" w:rsidRPr="00C20316" w:rsidRDefault="00707669">
      <w:pPr>
        <w:pStyle w:val="Akapitzlist"/>
        <w:numPr>
          <w:ilvl w:val="0"/>
          <w:numId w:val="110"/>
        </w:numPr>
        <w:spacing w:after="160" w:line="259" w:lineRule="auto"/>
      </w:pPr>
      <w:r w:rsidRPr="00C20316">
        <w:t>zielone mosty nad korytarzami drogowymi, tunele pod korytarzami transportowymi,</w:t>
      </w:r>
    </w:p>
    <w:p w14:paraId="0621B935" w14:textId="77777777" w:rsidR="00707669" w:rsidRPr="00C20316" w:rsidRDefault="00707669">
      <w:pPr>
        <w:pStyle w:val="Akapitzlist"/>
        <w:numPr>
          <w:ilvl w:val="0"/>
          <w:numId w:val="110"/>
        </w:numPr>
        <w:spacing w:after="160" w:line="259" w:lineRule="auto"/>
      </w:pPr>
      <w:r w:rsidRPr="00C20316">
        <w:t>systemy (w tym urządzenia i instalacje oraz sposób kształtowania powierzchni terenu) mające za zadanie zapobieganie podtopieniom i zalaniom oraz ograniczanie skutków tych zjawisk, zwiększenie absorbcji gruntu, spowolnienie odpływu oraz retencjonowanie wody wraz z systemami jej dystrybucji podczas suszy.</w:t>
      </w:r>
    </w:p>
    <w:p w14:paraId="56CAE066" w14:textId="77777777" w:rsidR="00707669" w:rsidRPr="00C20316" w:rsidRDefault="00707669" w:rsidP="00707669">
      <w:r w:rsidRPr="00C20316">
        <w:t>Wsparciem objęte będzie również opracowanie dokumentów planistycznych oraz budowanie kompetencji w zakresie adaptacji do zmian klimatu dla miast PW+.</w:t>
      </w:r>
    </w:p>
    <w:p w14:paraId="400F8119" w14:textId="77777777" w:rsidR="00707669" w:rsidRPr="00596802" w:rsidRDefault="00707669" w:rsidP="00707669">
      <w:pPr>
        <w:rPr>
          <w:rStyle w:val="Wyrnienieintensywne"/>
        </w:rPr>
      </w:pPr>
      <w:r w:rsidRPr="00596802">
        <w:rPr>
          <w:rStyle w:val="Wyrnienieintensywne"/>
        </w:rPr>
        <w:lastRenderedPageBreak/>
        <w:t>Fundusze europejskie dla Lubelskiego 2021-2027</w:t>
      </w:r>
      <w:r>
        <w:rPr>
          <w:rStyle w:val="Odwoanieprzypisudolnego"/>
          <w:i/>
          <w:iCs/>
          <w:color w:val="49671E" w:themeColor="accent1" w:themeShade="BF"/>
        </w:rPr>
        <w:footnoteReference w:id="51"/>
      </w:r>
    </w:p>
    <w:p w14:paraId="2DD85FF8" w14:textId="77777777" w:rsidR="00707669" w:rsidRDefault="00707669" w:rsidP="00707669">
      <w:r w:rsidRPr="00C20316">
        <w:t>Fundusze regionalne są podstawowym instrumentem rozwoju, jakim dysponują organ</w:t>
      </w:r>
      <w:r>
        <w:t>y</w:t>
      </w:r>
      <w:r w:rsidRPr="00C20316">
        <w:t xml:space="preserve"> samorządu województwa</w:t>
      </w:r>
      <w:r>
        <w:t>.</w:t>
      </w:r>
    </w:p>
    <w:p w14:paraId="60E6764C" w14:textId="77777777" w:rsidR="00707669" w:rsidRDefault="00707669" w:rsidP="00707669">
      <w:r>
        <w:t>Fundusze europejskie dla Lubelskiego przewidują 13 priorytetów w działaniach:</w:t>
      </w:r>
    </w:p>
    <w:p w14:paraId="04552D36" w14:textId="77777777" w:rsidR="00707669" w:rsidRDefault="00707669">
      <w:pPr>
        <w:pStyle w:val="Akapitzlist"/>
        <w:numPr>
          <w:ilvl w:val="0"/>
          <w:numId w:val="112"/>
        </w:numPr>
        <w:spacing w:after="160" w:line="259" w:lineRule="auto"/>
        <w:jc w:val="left"/>
      </w:pPr>
      <w:r>
        <w:t>Priorytet 1: badania naukowe i innowacje</w:t>
      </w:r>
    </w:p>
    <w:p w14:paraId="52B41DCC" w14:textId="77777777" w:rsidR="00707669" w:rsidRDefault="00707669">
      <w:pPr>
        <w:pStyle w:val="Akapitzlist"/>
        <w:numPr>
          <w:ilvl w:val="0"/>
          <w:numId w:val="112"/>
        </w:numPr>
        <w:spacing w:after="160" w:line="259" w:lineRule="auto"/>
        <w:jc w:val="left"/>
      </w:pPr>
      <w:r>
        <w:t>Priorytet 2: transformacja gospodarcza i cyfrowa regionu</w:t>
      </w:r>
    </w:p>
    <w:p w14:paraId="62E80941" w14:textId="77777777" w:rsidR="00707669" w:rsidRDefault="00707669">
      <w:pPr>
        <w:pStyle w:val="Akapitzlist"/>
        <w:numPr>
          <w:ilvl w:val="0"/>
          <w:numId w:val="112"/>
        </w:numPr>
        <w:spacing w:after="160" w:line="259" w:lineRule="auto"/>
        <w:jc w:val="left"/>
      </w:pPr>
      <w:r>
        <w:t>Priorytet 3: ochrona zasobów środowiska i klimatu</w:t>
      </w:r>
    </w:p>
    <w:p w14:paraId="7AB7DCE6" w14:textId="77777777" w:rsidR="00707669" w:rsidRDefault="00707669">
      <w:pPr>
        <w:pStyle w:val="Akapitzlist"/>
        <w:numPr>
          <w:ilvl w:val="0"/>
          <w:numId w:val="112"/>
        </w:numPr>
        <w:spacing w:after="160" w:line="259" w:lineRule="auto"/>
        <w:jc w:val="left"/>
      </w:pPr>
      <w:r>
        <w:t>Priorytet 4: efektywne wykorzystanie energii</w:t>
      </w:r>
    </w:p>
    <w:p w14:paraId="7AA25F09" w14:textId="77777777" w:rsidR="00707669" w:rsidRDefault="00707669">
      <w:pPr>
        <w:pStyle w:val="Akapitzlist"/>
        <w:numPr>
          <w:ilvl w:val="0"/>
          <w:numId w:val="112"/>
        </w:numPr>
        <w:spacing w:after="160" w:line="259" w:lineRule="auto"/>
        <w:jc w:val="left"/>
      </w:pPr>
      <w:r>
        <w:t>Priorytet 5: zrównoważona mobilność miejska</w:t>
      </w:r>
    </w:p>
    <w:p w14:paraId="4224C34C" w14:textId="77777777" w:rsidR="00707669" w:rsidRDefault="00707669">
      <w:pPr>
        <w:pStyle w:val="Akapitzlist"/>
        <w:numPr>
          <w:ilvl w:val="0"/>
          <w:numId w:val="112"/>
        </w:numPr>
        <w:spacing w:after="160" w:line="259" w:lineRule="auto"/>
        <w:jc w:val="left"/>
      </w:pPr>
      <w:r>
        <w:t>Priorytet 6: zrównoważony system transportu</w:t>
      </w:r>
    </w:p>
    <w:p w14:paraId="17650B29" w14:textId="77777777" w:rsidR="00707669" w:rsidRDefault="00707669">
      <w:pPr>
        <w:pStyle w:val="Akapitzlist"/>
        <w:numPr>
          <w:ilvl w:val="0"/>
          <w:numId w:val="112"/>
        </w:numPr>
        <w:spacing w:after="160" w:line="259" w:lineRule="auto"/>
        <w:jc w:val="left"/>
      </w:pPr>
      <w:r>
        <w:t>Priorytet 7: rozwój infrastruktury społecznej i zdrowotnej</w:t>
      </w:r>
    </w:p>
    <w:p w14:paraId="1A69E17D" w14:textId="77777777" w:rsidR="00707669" w:rsidRDefault="00707669">
      <w:pPr>
        <w:pStyle w:val="Akapitzlist"/>
        <w:numPr>
          <w:ilvl w:val="0"/>
          <w:numId w:val="112"/>
        </w:numPr>
        <w:spacing w:after="160" w:line="259" w:lineRule="auto"/>
        <w:jc w:val="left"/>
      </w:pPr>
      <w:r>
        <w:t>Priorytet 8: zwiększenie spójności społecznej</w:t>
      </w:r>
    </w:p>
    <w:p w14:paraId="6AFC37B9" w14:textId="77777777" w:rsidR="00707669" w:rsidRDefault="00707669">
      <w:pPr>
        <w:pStyle w:val="Akapitzlist"/>
        <w:numPr>
          <w:ilvl w:val="0"/>
          <w:numId w:val="112"/>
        </w:numPr>
        <w:spacing w:after="160" w:line="259" w:lineRule="auto"/>
        <w:jc w:val="left"/>
      </w:pPr>
      <w:r>
        <w:t>Priorytet 9: zaspokajanie potrzeb rynku pracy</w:t>
      </w:r>
    </w:p>
    <w:p w14:paraId="68F2A0B3" w14:textId="77777777" w:rsidR="00707669" w:rsidRDefault="00707669">
      <w:pPr>
        <w:pStyle w:val="Akapitzlist"/>
        <w:numPr>
          <w:ilvl w:val="0"/>
          <w:numId w:val="112"/>
        </w:numPr>
        <w:spacing w:after="160" w:line="259" w:lineRule="auto"/>
        <w:jc w:val="left"/>
      </w:pPr>
      <w:r>
        <w:t>Priorytet 10: lepsza edukacja</w:t>
      </w:r>
    </w:p>
    <w:p w14:paraId="3F0BF3D4" w14:textId="77777777" w:rsidR="00707669" w:rsidRDefault="00707669">
      <w:pPr>
        <w:pStyle w:val="Akapitzlist"/>
        <w:numPr>
          <w:ilvl w:val="0"/>
          <w:numId w:val="112"/>
        </w:numPr>
        <w:spacing w:after="160" w:line="259" w:lineRule="auto"/>
        <w:jc w:val="left"/>
      </w:pPr>
      <w:r>
        <w:t>Priorytet 11: rozwój zrównoważony terytorialnie</w:t>
      </w:r>
    </w:p>
    <w:p w14:paraId="4895EF12" w14:textId="77777777" w:rsidR="00707669" w:rsidRDefault="00707669">
      <w:pPr>
        <w:pStyle w:val="Akapitzlist"/>
        <w:numPr>
          <w:ilvl w:val="0"/>
          <w:numId w:val="112"/>
        </w:numPr>
        <w:spacing w:after="160" w:line="259" w:lineRule="auto"/>
        <w:jc w:val="left"/>
      </w:pPr>
      <w:r>
        <w:t>Priorytet 12: wsparcie wdrażania Funduszy europejskich dla Lubelskiego 2021-2027 w ramach EFS+</w:t>
      </w:r>
    </w:p>
    <w:p w14:paraId="3B016453" w14:textId="77777777" w:rsidR="00707669" w:rsidRDefault="00707669">
      <w:pPr>
        <w:pStyle w:val="Akapitzlist"/>
        <w:numPr>
          <w:ilvl w:val="0"/>
          <w:numId w:val="112"/>
        </w:numPr>
        <w:spacing w:after="160" w:line="259" w:lineRule="auto"/>
        <w:jc w:val="left"/>
      </w:pPr>
      <w:r>
        <w:t>Priorytet 13: wsparcie wdrażania Funduszy europejskich dla Lubelskiego 2021-2027 w ramach EFRR</w:t>
      </w:r>
    </w:p>
    <w:p w14:paraId="3F729560" w14:textId="663F02FA" w:rsidR="00707669" w:rsidRDefault="00707669" w:rsidP="00707669">
      <w:r>
        <w:t>Priorytet 3: ochrona zasobów i środowiska klimatu jest szczególnie ważny w kontekście adaptacji i</w:t>
      </w:r>
      <w:r w:rsidR="00B51D69">
        <w:t> </w:t>
      </w:r>
      <w:r>
        <w:t>mitygacji do zmian klimatu. Priorytet obejmuje cele szczegółowe:</w:t>
      </w:r>
    </w:p>
    <w:p w14:paraId="29D959D2" w14:textId="77777777" w:rsidR="00707669" w:rsidRDefault="00707669">
      <w:pPr>
        <w:pStyle w:val="Akapitzlist"/>
        <w:numPr>
          <w:ilvl w:val="0"/>
          <w:numId w:val="113"/>
        </w:numPr>
        <w:spacing w:after="160" w:line="259" w:lineRule="auto"/>
      </w:pPr>
      <w:r>
        <w:t>wspieranie przystosowania się do zmian klimatu i zapobiegania ryzyku związanemu z klęskami żywiołowymi i katastrofami, a także odporności, z uwzględnieniem podejścia ekosystemowego,</w:t>
      </w:r>
    </w:p>
    <w:p w14:paraId="12578DE1" w14:textId="77777777" w:rsidR="00707669" w:rsidRDefault="00707669">
      <w:pPr>
        <w:pStyle w:val="Akapitzlist"/>
        <w:numPr>
          <w:ilvl w:val="0"/>
          <w:numId w:val="113"/>
        </w:numPr>
        <w:spacing w:after="160" w:line="259" w:lineRule="auto"/>
      </w:pPr>
      <w:r w:rsidRPr="006C6646">
        <w:t>wspieranie dostępu do wody oraz zrównoważonej gospodarki wodnej</w:t>
      </w:r>
      <w:r>
        <w:t>,</w:t>
      </w:r>
    </w:p>
    <w:p w14:paraId="43EABA3E" w14:textId="77777777" w:rsidR="00707669" w:rsidRDefault="00707669">
      <w:pPr>
        <w:pStyle w:val="Akapitzlist"/>
        <w:numPr>
          <w:ilvl w:val="0"/>
          <w:numId w:val="113"/>
        </w:numPr>
        <w:spacing w:after="160" w:line="259" w:lineRule="auto"/>
      </w:pPr>
      <w:r>
        <w:t>wspieranie transformacji w kierunku gospodarki o obiegu zamkniętym i gospodarki zasobooszczędnej</w:t>
      </w:r>
    </w:p>
    <w:p w14:paraId="1EF7BDA2" w14:textId="77777777" w:rsidR="00707669" w:rsidRPr="00C20316" w:rsidRDefault="00707669">
      <w:pPr>
        <w:pStyle w:val="Akapitzlist"/>
        <w:numPr>
          <w:ilvl w:val="0"/>
          <w:numId w:val="113"/>
        </w:numPr>
        <w:spacing w:after="160" w:line="259" w:lineRule="auto"/>
      </w:pPr>
      <w:r w:rsidRPr="006C6646">
        <w:t>wzmacnianie ochrony i zachowania przyrody, różnorodności biologicznej oraz zielonej infrastruktury, w tym na obszarach miejskich, oraz ograniczanie wszelkich rodzajów zanieczyszczenia</w:t>
      </w:r>
    </w:p>
    <w:p w14:paraId="2132B2EA" w14:textId="77777777" w:rsidR="00707669" w:rsidRPr="00596802" w:rsidRDefault="00707669" w:rsidP="00707669">
      <w:pPr>
        <w:rPr>
          <w:rStyle w:val="Wyrnienieintensywne"/>
        </w:rPr>
      </w:pPr>
      <w:r w:rsidRPr="00596802">
        <w:rPr>
          <w:rStyle w:val="Wyrnienieintensywne"/>
        </w:rPr>
        <w:t>Narodowy Fundusz Ochrony Środowiska i Gospodarki Wodnej</w:t>
      </w:r>
    </w:p>
    <w:p w14:paraId="3106844A" w14:textId="071B8836" w:rsidR="00707669" w:rsidRPr="00C20316" w:rsidRDefault="00707669" w:rsidP="00707669">
      <w:r w:rsidRPr="00C20316">
        <w:t>Narodowy Fundusz Ochrony Środowiska i Gospodarki Wodnej jest największą instytucją realizującą Politykę Ekologiczną Państwa poprzez finansowanie inwestycji w ochronie środowiska i gospodarce wodnej, w obszarach ważnych z punktu widzenia procesu dostosowawczego do standardów i norm Unii Europejskiej. Narodowy Fundusz działa od 1 lipca 1989 roku, a powstał na podstawie ustawy z</w:t>
      </w:r>
      <w:r w:rsidR="00B51D69">
        <w:t> </w:t>
      </w:r>
      <w:r w:rsidRPr="00C20316">
        <w:t>dnia 31 stycznia 1980 roku o ochronie i kształtowaniu środowiska. Celem działalności Narodowego Funduszu jest finansowe wspieranie inwestycji ekologicznych o znaczeniu i zasięgu ogólnopolskim i</w:t>
      </w:r>
      <w:r w:rsidR="00B51D69">
        <w:t> </w:t>
      </w:r>
      <w:r w:rsidRPr="00C20316">
        <w:t>ponadregionalnym oraz zadań lokalnych, istotnych z punktu widzenia potrzeb środowiska.</w:t>
      </w:r>
    </w:p>
    <w:p w14:paraId="620DD715" w14:textId="77777777" w:rsidR="00707669" w:rsidRPr="00C20316" w:rsidRDefault="00707669" w:rsidP="00707669">
      <w:r w:rsidRPr="00C20316">
        <w:t>Dystrybucja środków finansowych z Narodowego Funduszu Ochrony Środowiska i Gospodarki Wodnej odbywa się w ramach następujących dziedzin:</w:t>
      </w:r>
    </w:p>
    <w:p w14:paraId="4801366A" w14:textId="77777777" w:rsidR="00707669" w:rsidRPr="00C20316" w:rsidRDefault="00707669">
      <w:pPr>
        <w:pStyle w:val="Akapitzlist"/>
        <w:numPr>
          <w:ilvl w:val="0"/>
          <w:numId w:val="106"/>
        </w:numPr>
        <w:spacing w:line="259" w:lineRule="auto"/>
        <w:ind w:left="714" w:hanging="357"/>
        <w:jc w:val="left"/>
      </w:pPr>
      <w:r w:rsidRPr="00C20316">
        <w:t>Ochrona powietrza,</w:t>
      </w:r>
    </w:p>
    <w:p w14:paraId="71916F06" w14:textId="77777777" w:rsidR="00707669" w:rsidRPr="00C20316" w:rsidRDefault="00707669">
      <w:pPr>
        <w:pStyle w:val="Akapitzlist"/>
        <w:numPr>
          <w:ilvl w:val="0"/>
          <w:numId w:val="106"/>
        </w:numPr>
        <w:spacing w:after="120"/>
        <w:ind w:left="714" w:hanging="357"/>
        <w:jc w:val="left"/>
      </w:pPr>
      <w:r w:rsidRPr="00C20316">
        <w:lastRenderedPageBreak/>
        <w:t>Ochrona wód i gospodarka wodna,</w:t>
      </w:r>
    </w:p>
    <w:p w14:paraId="735D364F" w14:textId="77777777" w:rsidR="00707669" w:rsidRPr="00C20316" w:rsidRDefault="00707669">
      <w:pPr>
        <w:pStyle w:val="Akapitzlist"/>
        <w:numPr>
          <w:ilvl w:val="0"/>
          <w:numId w:val="106"/>
        </w:numPr>
        <w:spacing w:after="120"/>
        <w:ind w:left="714" w:hanging="357"/>
        <w:jc w:val="left"/>
      </w:pPr>
      <w:r w:rsidRPr="00C20316">
        <w:t>Ochrona powierzchni ziemi,</w:t>
      </w:r>
    </w:p>
    <w:p w14:paraId="59F95BB9" w14:textId="77777777" w:rsidR="00707669" w:rsidRPr="00C20316" w:rsidRDefault="00707669">
      <w:pPr>
        <w:pStyle w:val="Akapitzlist"/>
        <w:numPr>
          <w:ilvl w:val="0"/>
          <w:numId w:val="106"/>
        </w:numPr>
        <w:spacing w:after="120"/>
        <w:ind w:left="714" w:hanging="357"/>
        <w:jc w:val="left"/>
      </w:pPr>
      <w:r w:rsidRPr="00C20316">
        <w:t>Ochrona przyrody i krajobrazu oraz leśnictwo,</w:t>
      </w:r>
    </w:p>
    <w:p w14:paraId="4E40BF1E" w14:textId="77777777" w:rsidR="00707669" w:rsidRPr="00C20316" w:rsidRDefault="00707669">
      <w:pPr>
        <w:pStyle w:val="Akapitzlist"/>
        <w:numPr>
          <w:ilvl w:val="0"/>
          <w:numId w:val="106"/>
        </w:numPr>
        <w:ind w:left="714" w:hanging="357"/>
        <w:jc w:val="left"/>
      </w:pPr>
      <w:r w:rsidRPr="00C20316">
        <w:t>Geologia i górnictwo,</w:t>
      </w:r>
    </w:p>
    <w:p w14:paraId="24F0C5DB" w14:textId="77777777" w:rsidR="00707669" w:rsidRPr="00C20316" w:rsidRDefault="00707669">
      <w:pPr>
        <w:pStyle w:val="Akapitzlist"/>
        <w:numPr>
          <w:ilvl w:val="0"/>
          <w:numId w:val="106"/>
        </w:numPr>
        <w:spacing w:after="120"/>
        <w:ind w:left="714" w:hanging="357"/>
        <w:jc w:val="left"/>
      </w:pPr>
      <w:r w:rsidRPr="00C20316">
        <w:t>Edukacja ekologiczna,</w:t>
      </w:r>
    </w:p>
    <w:p w14:paraId="43E321E0" w14:textId="77777777" w:rsidR="00707669" w:rsidRPr="00C20316" w:rsidRDefault="00707669">
      <w:pPr>
        <w:pStyle w:val="Akapitzlist"/>
        <w:numPr>
          <w:ilvl w:val="0"/>
          <w:numId w:val="106"/>
        </w:numPr>
        <w:spacing w:after="120"/>
        <w:ind w:left="714" w:hanging="357"/>
        <w:jc w:val="left"/>
      </w:pPr>
      <w:r w:rsidRPr="00C20316">
        <w:t>Państwowy Monitoring Środowiska,</w:t>
      </w:r>
    </w:p>
    <w:p w14:paraId="7B975481" w14:textId="77777777" w:rsidR="00707669" w:rsidRPr="00C20316" w:rsidRDefault="00707669">
      <w:pPr>
        <w:pStyle w:val="Akapitzlist"/>
        <w:numPr>
          <w:ilvl w:val="0"/>
          <w:numId w:val="106"/>
        </w:numPr>
        <w:spacing w:after="120"/>
        <w:ind w:left="714" w:hanging="357"/>
        <w:jc w:val="left"/>
      </w:pPr>
      <w:r w:rsidRPr="00C20316">
        <w:t>Programy międzydziedzinowe,</w:t>
      </w:r>
    </w:p>
    <w:p w14:paraId="7791D9A9" w14:textId="77777777" w:rsidR="00707669" w:rsidRPr="00C20316" w:rsidRDefault="00707669">
      <w:pPr>
        <w:pStyle w:val="Akapitzlist"/>
        <w:numPr>
          <w:ilvl w:val="0"/>
          <w:numId w:val="106"/>
        </w:numPr>
        <w:spacing w:after="120"/>
        <w:ind w:left="714" w:hanging="357"/>
        <w:jc w:val="left"/>
      </w:pPr>
      <w:r w:rsidRPr="00C20316">
        <w:t>Nadzwyczajne zagrożenia środowiska,</w:t>
      </w:r>
    </w:p>
    <w:p w14:paraId="315831E4" w14:textId="77777777" w:rsidR="00707669" w:rsidRPr="00C20316" w:rsidRDefault="00707669">
      <w:pPr>
        <w:pStyle w:val="Akapitzlist"/>
        <w:numPr>
          <w:ilvl w:val="0"/>
          <w:numId w:val="106"/>
        </w:numPr>
        <w:spacing w:after="160"/>
        <w:ind w:left="714" w:hanging="357"/>
        <w:jc w:val="left"/>
      </w:pPr>
      <w:r w:rsidRPr="00C20316">
        <w:t>Ekspertyzy i prace badawcze.</w:t>
      </w:r>
    </w:p>
    <w:p w14:paraId="1F7EB74B" w14:textId="77777777" w:rsidR="00707669" w:rsidRPr="00C20316" w:rsidRDefault="00707669" w:rsidP="00707669">
      <w:r w:rsidRPr="00C20316">
        <w:t>W Narodowym Funduszu stosowane są trzy formy dofinansowywania:</w:t>
      </w:r>
    </w:p>
    <w:p w14:paraId="5B4A8C50" w14:textId="77777777" w:rsidR="00707669" w:rsidRPr="00C20316" w:rsidRDefault="00707669">
      <w:pPr>
        <w:pStyle w:val="Akapitzlist"/>
        <w:numPr>
          <w:ilvl w:val="0"/>
          <w:numId w:val="107"/>
        </w:numPr>
        <w:spacing w:after="120"/>
      </w:pPr>
      <w:r w:rsidRPr="00C20316">
        <w:t>finansowanie pożyczkowe (pożyczki udzielane przez NF, kredyty udzielane przez banki ze środków NF, konsorcja, czyli wspólne finansowanie NF z bankami, linie kredytowe ze środków NF obsługiwane przez banki),</w:t>
      </w:r>
    </w:p>
    <w:p w14:paraId="55F5D19F" w14:textId="77777777" w:rsidR="00707669" w:rsidRPr="00C20316" w:rsidRDefault="00707669">
      <w:pPr>
        <w:pStyle w:val="Akapitzlist"/>
        <w:numPr>
          <w:ilvl w:val="0"/>
          <w:numId w:val="107"/>
        </w:numPr>
        <w:spacing w:after="120"/>
      </w:pPr>
      <w:r w:rsidRPr="00C20316">
        <w:t>finansowanie dotacyjne (dotacje inwestycyjne, dotacje nieinwestycyjne, dopłaty do kredytów bankowych, umorzenia),</w:t>
      </w:r>
    </w:p>
    <w:p w14:paraId="5277A491" w14:textId="77777777" w:rsidR="00707669" w:rsidRPr="00C20316" w:rsidRDefault="00707669">
      <w:pPr>
        <w:pStyle w:val="Akapitzlist"/>
        <w:numPr>
          <w:ilvl w:val="0"/>
          <w:numId w:val="107"/>
        </w:numPr>
        <w:spacing w:after="120"/>
      </w:pPr>
      <w:r w:rsidRPr="00C20316">
        <w:t>finansowanie kapitałowe (obejmowanie akcji i udziałów w zakładanych bądź już istniejących spółkach w celu osiągnięcia efektu ekologicznego).</w:t>
      </w:r>
    </w:p>
    <w:p w14:paraId="52F1266A" w14:textId="3BF2737F" w:rsidR="00707669" w:rsidRPr="00C20316" w:rsidRDefault="00707669" w:rsidP="00707669">
      <w:r w:rsidRPr="00C20316">
        <w:t>Narodowy Fundusz Ochrony Środowiska ma bardzo istotne znaczenie dla ochrony środowiska i</w:t>
      </w:r>
      <w:r w:rsidR="00B51D69">
        <w:t> </w:t>
      </w:r>
      <w:r w:rsidRPr="00C20316">
        <w:t>gospodarki kraju:</w:t>
      </w:r>
    </w:p>
    <w:p w14:paraId="085BA540" w14:textId="77777777" w:rsidR="00707669" w:rsidRPr="00C20316" w:rsidRDefault="00707669">
      <w:pPr>
        <w:pStyle w:val="Akapitzlist"/>
        <w:numPr>
          <w:ilvl w:val="0"/>
          <w:numId w:val="108"/>
        </w:numPr>
        <w:spacing w:after="120"/>
        <w:jc w:val="left"/>
      </w:pPr>
      <w:r w:rsidRPr="00C20316">
        <w:t>finansuje ochronę środowiska,</w:t>
      </w:r>
    </w:p>
    <w:p w14:paraId="3EDF3B94" w14:textId="77777777" w:rsidR="00707669" w:rsidRPr="00C20316" w:rsidRDefault="00707669">
      <w:pPr>
        <w:pStyle w:val="Akapitzlist"/>
        <w:numPr>
          <w:ilvl w:val="0"/>
          <w:numId w:val="108"/>
        </w:numPr>
        <w:spacing w:after="120"/>
        <w:jc w:val="left"/>
      </w:pPr>
      <w:r w:rsidRPr="00C20316">
        <w:t>uruchamia środki innych inwestorów,</w:t>
      </w:r>
    </w:p>
    <w:p w14:paraId="14FD6081" w14:textId="77777777" w:rsidR="00707669" w:rsidRPr="00C20316" w:rsidRDefault="00707669">
      <w:pPr>
        <w:pStyle w:val="Akapitzlist"/>
        <w:numPr>
          <w:ilvl w:val="0"/>
          <w:numId w:val="108"/>
        </w:numPr>
        <w:spacing w:after="120"/>
        <w:jc w:val="left"/>
      </w:pPr>
      <w:r w:rsidRPr="00C20316">
        <w:t>stymuluje nowe inwestycje,</w:t>
      </w:r>
    </w:p>
    <w:p w14:paraId="576BF021" w14:textId="77777777" w:rsidR="00707669" w:rsidRPr="00C20316" w:rsidRDefault="00707669">
      <w:pPr>
        <w:pStyle w:val="Akapitzlist"/>
        <w:numPr>
          <w:ilvl w:val="0"/>
          <w:numId w:val="108"/>
        </w:numPr>
        <w:spacing w:after="120"/>
        <w:jc w:val="left"/>
      </w:pPr>
      <w:r w:rsidRPr="00C20316">
        <w:t>wspomaga tworzenie nowych miejsc pracy,</w:t>
      </w:r>
    </w:p>
    <w:p w14:paraId="62E815D3" w14:textId="77777777" w:rsidR="00707669" w:rsidRPr="00C20316" w:rsidRDefault="00707669">
      <w:pPr>
        <w:pStyle w:val="Akapitzlist"/>
        <w:numPr>
          <w:ilvl w:val="0"/>
          <w:numId w:val="108"/>
        </w:numPr>
        <w:spacing w:after="120"/>
        <w:jc w:val="left"/>
      </w:pPr>
      <w:r w:rsidRPr="00C20316">
        <w:t>ważny dla zrównoważonego rozwoju.</w:t>
      </w:r>
    </w:p>
    <w:p w14:paraId="7C9A38CF" w14:textId="77777777" w:rsidR="00707669" w:rsidRDefault="00707669" w:rsidP="00B51D69">
      <w:r w:rsidRPr="00C20316">
        <w:t xml:space="preserve">Szczegółowy zakres działalności NFOŚiGW, lista programów i przedsięwzięć priorytetowych, kryteria i zasady udzielania wsparcia finansowego, a także wzory wniosków i procedury ich rozpatrywania dostępne są w oficjalnym serwisie internetowym: </w:t>
      </w:r>
      <w:hyperlink r:id="rId189">
        <w:r w:rsidRPr="00C20316">
          <w:t>www.nfosigw.gov.pl</w:t>
        </w:r>
      </w:hyperlink>
      <w:r w:rsidRPr="00C20316">
        <w:t xml:space="preserve"> oraz w siedzibie.</w:t>
      </w:r>
    </w:p>
    <w:p w14:paraId="423FAE60" w14:textId="77777777" w:rsidR="00B51D69" w:rsidRPr="00C20316" w:rsidRDefault="00B51D69" w:rsidP="00B51D69"/>
    <w:p w14:paraId="43825263" w14:textId="77777777" w:rsidR="00707669" w:rsidRDefault="00707669" w:rsidP="00707669">
      <w:pPr>
        <w:rPr>
          <w:rStyle w:val="Wyrnienieintensywne"/>
        </w:rPr>
      </w:pPr>
      <w:r w:rsidRPr="00596802">
        <w:rPr>
          <w:rStyle w:val="Wyrnienieintensywne"/>
        </w:rPr>
        <w:t>Wojewódzki Fundusz Ochrony Środowiska i Gospodarki Wodnej w Lublinie</w:t>
      </w:r>
    </w:p>
    <w:p w14:paraId="799F7D19" w14:textId="6AE31054" w:rsidR="00707669" w:rsidRPr="008A4418" w:rsidRDefault="00707669" w:rsidP="00707669">
      <w:pPr>
        <w:rPr>
          <w:rFonts w:cs="Arial"/>
          <w:color w:val="auto"/>
        </w:rPr>
      </w:pPr>
      <w:r w:rsidRPr="008A4418">
        <w:rPr>
          <w:rFonts w:cs="Arial"/>
          <w:color w:val="auto"/>
        </w:rPr>
        <w:t xml:space="preserve">Wojewódzki Fundusz Ochrony Środowiska i Gospodarki Wodnej w </w:t>
      </w:r>
      <w:r>
        <w:rPr>
          <w:rFonts w:cs="Arial"/>
        </w:rPr>
        <w:t>Lublinie</w:t>
      </w:r>
      <w:r w:rsidRPr="008A4418">
        <w:rPr>
          <w:rFonts w:cs="Arial"/>
          <w:color w:val="auto"/>
        </w:rPr>
        <w:t xml:space="preserve"> to samodzielna instytucja</w:t>
      </w:r>
      <w:r w:rsidRPr="008A4418">
        <w:rPr>
          <w:rFonts w:cs="Arial"/>
          <w:color w:val="auto"/>
          <w:spacing w:val="-21"/>
        </w:rPr>
        <w:t xml:space="preserve"> </w:t>
      </w:r>
      <w:r w:rsidRPr="008A4418">
        <w:rPr>
          <w:rFonts w:cs="Arial"/>
          <w:color w:val="auto"/>
        </w:rPr>
        <w:t>finansowa,</w:t>
      </w:r>
      <w:r w:rsidRPr="008A4418">
        <w:rPr>
          <w:rFonts w:cs="Arial"/>
          <w:color w:val="auto"/>
          <w:spacing w:val="-19"/>
        </w:rPr>
        <w:t xml:space="preserve"> </w:t>
      </w:r>
      <w:r w:rsidRPr="008A4418">
        <w:rPr>
          <w:rFonts w:cs="Arial"/>
          <w:color w:val="auto"/>
        </w:rPr>
        <w:t>powołana</w:t>
      </w:r>
      <w:r w:rsidRPr="008A4418">
        <w:rPr>
          <w:rFonts w:cs="Arial"/>
          <w:color w:val="auto"/>
          <w:spacing w:val="-19"/>
        </w:rPr>
        <w:t xml:space="preserve"> </w:t>
      </w:r>
      <w:r w:rsidRPr="008A4418">
        <w:rPr>
          <w:rFonts w:cs="Arial"/>
          <w:color w:val="auto"/>
        </w:rPr>
        <w:t>do</w:t>
      </w:r>
      <w:r w:rsidRPr="008A4418">
        <w:rPr>
          <w:rFonts w:cs="Arial"/>
          <w:color w:val="auto"/>
          <w:spacing w:val="-17"/>
        </w:rPr>
        <w:t xml:space="preserve"> </w:t>
      </w:r>
      <w:r w:rsidRPr="008A4418">
        <w:rPr>
          <w:rFonts w:cs="Arial"/>
          <w:color w:val="auto"/>
        </w:rPr>
        <w:t>wspierania</w:t>
      </w:r>
      <w:r w:rsidRPr="008A4418">
        <w:rPr>
          <w:rFonts w:cs="Arial"/>
          <w:color w:val="auto"/>
          <w:spacing w:val="-19"/>
        </w:rPr>
        <w:t xml:space="preserve"> </w:t>
      </w:r>
      <w:r w:rsidRPr="008A4418">
        <w:rPr>
          <w:rFonts w:cs="Arial"/>
          <w:color w:val="auto"/>
        </w:rPr>
        <w:t>przedsięwzięć</w:t>
      </w:r>
      <w:r w:rsidRPr="008A4418">
        <w:rPr>
          <w:rFonts w:cs="Arial"/>
          <w:color w:val="auto"/>
          <w:spacing w:val="-18"/>
        </w:rPr>
        <w:t xml:space="preserve"> </w:t>
      </w:r>
      <w:r w:rsidRPr="008A4418">
        <w:rPr>
          <w:rFonts w:cs="Arial"/>
          <w:color w:val="auto"/>
        </w:rPr>
        <w:t>w</w:t>
      </w:r>
      <w:r w:rsidRPr="008A4418">
        <w:rPr>
          <w:rFonts w:cs="Arial"/>
          <w:color w:val="auto"/>
          <w:spacing w:val="-7"/>
        </w:rPr>
        <w:t xml:space="preserve"> </w:t>
      </w:r>
      <w:r w:rsidRPr="008A4418">
        <w:rPr>
          <w:rFonts w:cs="Arial"/>
          <w:color w:val="auto"/>
        </w:rPr>
        <w:t>dziedzinie</w:t>
      </w:r>
      <w:r w:rsidRPr="008A4418">
        <w:rPr>
          <w:rFonts w:cs="Arial"/>
          <w:color w:val="auto"/>
          <w:spacing w:val="-18"/>
        </w:rPr>
        <w:t xml:space="preserve"> </w:t>
      </w:r>
      <w:r w:rsidRPr="008A4418">
        <w:rPr>
          <w:rFonts w:cs="Arial"/>
          <w:color w:val="auto"/>
        </w:rPr>
        <w:t>ekologii.</w:t>
      </w:r>
      <w:r w:rsidRPr="008A4418">
        <w:rPr>
          <w:rFonts w:cs="Arial"/>
          <w:color w:val="auto"/>
          <w:spacing w:val="-18"/>
        </w:rPr>
        <w:t xml:space="preserve"> </w:t>
      </w:r>
      <w:r w:rsidRPr="008A4418">
        <w:rPr>
          <w:rFonts w:cs="Arial"/>
          <w:color w:val="auto"/>
        </w:rPr>
        <w:t>Realizacja</w:t>
      </w:r>
      <w:r w:rsidRPr="008A4418">
        <w:rPr>
          <w:rFonts w:cs="Arial"/>
          <w:color w:val="auto"/>
          <w:spacing w:val="-19"/>
        </w:rPr>
        <w:t xml:space="preserve"> </w:t>
      </w:r>
      <w:r w:rsidRPr="008A4418">
        <w:rPr>
          <w:rFonts w:cs="Arial"/>
          <w:color w:val="auto"/>
        </w:rPr>
        <w:t>zadań statutowych WFOŚiGW odbywa się zgodnie z corocznie uchwalanym planem pracy. Wsparcie finansowe realizowane jest poprzez udzielanie pożyczek i dotacji na zadania realizowane w</w:t>
      </w:r>
      <w:r w:rsidR="00B51D69">
        <w:rPr>
          <w:rFonts w:cs="Arial"/>
          <w:color w:val="auto"/>
        </w:rPr>
        <w:t> </w:t>
      </w:r>
      <w:r w:rsidRPr="008A4418">
        <w:rPr>
          <w:rFonts w:cs="Arial"/>
          <w:color w:val="auto"/>
        </w:rPr>
        <w:t>następujących komponentach</w:t>
      </w:r>
      <w:r w:rsidRPr="008A4418">
        <w:rPr>
          <w:rFonts w:cs="Arial"/>
          <w:color w:val="auto"/>
          <w:spacing w:val="-6"/>
        </w:rPr>
        <w:t xml:space="preserve"> </w:t>
      </w:r>
      <w:r w:rsidRPr="008A4418">
        <w:rPr>
          <w:rFonts w:cs="Arial"/>
          <w:color w:val="auto"/>
        </w:rPr>
        <w:t>środowiska:</w:t>
      </w:r>
    </w:p>
    <w:p w14:paraId="768F1FD0" w14:textId="77777777" w:rsidR="00707669" w:rsidRPr="008F571E" w:rsidRDefault="00707669">
      <w:pPr>
        <w:pStyle w:val="Akapitzlist"/>
        <w:numPr>
          <w:ilvl w:val="0"/>
          <w:numId w:val="115"/>
        </w:numPr>
        <w:jc w:val="left"/>
        <w:rPr>
          <w:rFonts w:cs="Arial"/>
        </w:rPr>
      </w:pPr>
      <w:r w:rsidRPr="008F571E">
        <w:rPr>
          <w:rFonts w:cs="Arial"/>
        </w:rPr>
        <w:t>ochrona</w:t>
      </w:r>
      <w:r w:rsidRPr="008F571E">
        <w:rPr>
          <w:rFonts w:cs="Arial"/>
          <w:spacing w:val="-1"/>
        </w:rPr>
        <w:t xml:space="preserve"> </w:t>
      </w:r>
      <w:r w:rsidRPr="008F571E">
        <w:rPr>
          <w:rFonts w:cs="Arial"/>
        </w:rPr>
        <w:t>wód,</w:t>
      </w:r>
    </w:p>
    <w:p w14:paraId="6BC478F4" w14:textId="77777777" w:rsidR="00707669" w:rsidRPr="008F571E" w:rsidRDefault="00707669">
      <w:pPr>
        <w:pStyle w:val="Akapitzlist"/>
        <w:numPr>
          <w:ilvl w:val="0"/>
          <w:numId w:val="115"/>
        </w:numPr>
        <w:jc w:val="left"/>
        <w:rPr>
          <w:rFonts w:cs="Arial"/>
        </w:rPr>
      </w:pPr>
      <w:r w:rsidRPr="008F571E">
        <w:rPr>
          <w:rFonts w:cs="Arial"/>
        </w:rPr>
        <w:t>ochrona</w:t>
      </w:r>
      <w:r w:rsidRPr="008F571E">
        <w:rPr>
          <w:rFonts w:cs="Arial"/>
          <w:spacing w:val="-1"/>
        </w:rPr>
        <w:t xml:space="preserve"> </w:t>
      </w:r>
      <w:r w:rsidRPr="008F571E">
        <w:rPr>
          <w:rFonts w:cs="Arial"/>
        </w:rPr>
        <w:t>powietrza,</w:t>
      </w:r>
    </w:p>
    <w:p w14:paraId="6B61155C" w14:textId="77777777" w:rsidR="00707669" w:rsidRPr="008F571E" w:rsidRDefault="00707669">
      <w:pPr>
        <w:pStyle w:val="Akapitzlist"/>
        <w:numPr>
          <w:ilvl w:val="0"/>
          <w:numId w:val="115"/>
        </w:numPr>
        <w:jc w:val="left"/>
        <w:rPr>
          <w:rFonts w:cs="Arial"/>
        </w:rPr>
      </w:pPr>
      <w:r w:rsidRPr="008F571E">
        <w:rPr>
          <w:rFonts w:cs="Arial"/>
        </w:rPr>
        <w:t>adaptacja do zmian</w:t>
      </w:r>
      <w:r w:rsidRPr="008F571E">
        <w:rPr>
          <w:rFonts w:cs="Arial"/>
          <w:spacing w:val="-7"/>
        </w:rPr>
        <w:t xml:space="preserve"> </w:t>
      </w:r>
      <w:r w:rsidRPr="008F571E">
        <w:rPr>
          <w:rFonts w:cs="Arial"/>
        </w:rPr>
        <w:t>klimatu,</w:t>
      </w:r>
    </w:p>
    <w:p w14:paraId="067D59D8" w14:textId="77777777" w:rsidR="00707669" w:rsidRPr="008F571E" w:rsidRDefault="00707669">
      <w:pPr>
        <w:pStyle w:val="Akapitzlist"/>
        <w:numPr>
          <w:ilvl w:val="0"/>
          <w:numId w:val="115"/>
        </w:numPr>
        <w:jc w:val="left"/>
        <w:rPr>
          <w:rFonts w:cs="Arial"/>
        </w:rPr>
      </w:pPr>
      <w:r w:rsidRPr="008F571E">
        <w:rPr>
          <w:rFonts w:cs="Arial"/>
        </w:rPr>
        <w:t>gospodarka</w:t>
      </w:r>
      <w:r w:rsidRPr="008F571E">
        <w:rPr>
          <w:rFonts w:cs="Arial"/>
          <w:spacing w:val="-1"/>
        </w:rPr>
        <w:t xml:space="preserve"> </w:t>
      </w:r>
      <w:r w:rsidRPr="008F571E">
        <w:rPr>
          <w:rFonts w:cs="Arial"/>
        </w:rPr>
        <w:t>odpadami,</w:t>
      </w:r>
    </w:p>
    <w:p w14:paraId="11EC6AD8" w14:textId="77777777" w:rsidR="00707669" w:rsidRPr="008F571E" w:rsidRDefault="00707669">
      <w:pPr>
        <w:pStyle w:val="Akapitzlist"/>
        <w:numPr>
          <w:ilvl w:val="0"/>
          <w:numId w:val="115"/>
        </w:numPr>
        <w:jc w:val="left"/>
        <w:rPr>
          <w:rFonts w:cs="Arial"/>
        </w:rPr>
      </w:pPr>
      <w:r w:rsidRPr="008F571E">
        <w:rPr>
          <w:rFonts w:cs="Arial"/>
        </w:rPr>
        <w:t>różnorodność biologiczna.</w:t>
      </w:r>
    </w:p>
    <w:p w14:paraId="35CB9CDD" w14:textId="77777777" w:rsidR="00707669" w:rsidRPr="008A4418" w:rsidRDefault="00707669" w:rsidP="00707669">
      <w:pPr>
        <w:spacing w:before="240"/>
        <w:rPr>
          <w:rFonts w:cs="Arial"/>
          <w:color w:val="auto"/>
        </w:rPr>
      </w:pPr>
      <w:r w:rsidRPr="008A4418">
        <w:rPr>
          <w:rFonts w:cs="Arial"/>
          <w:color w:val="auto"/>
        </w:rPr>
        <w:t>Celami</w:t>
      </w:r>
      <w:r w:rsidRPr="008A4418">
        <w:rPr>
          <w:rFonts w:cs="Arial"/>
          <w:color w:val="auto"/>
          <w:spacing w:val="-12"/>
        </w:rPr>
        <w:t xml:space="preserve"> </w:t>
      </w:r>
      <w:r w:rsidRPr="008A4418">
        <w:rPr>
          <w:rFonts w:cs="Arial"/>
          <w:color w:val="auto"/>
        </w:rPr>
        <w:t>horyzontalnymi</w:t>
      </w:r>
      <w:r w:rsidRPr="008A4418">
        <w:rPr>
          <w:rFonts w:cs="Arial"/>
          <w:color w:val="auto"/>
          <w:spacing w:val="-13"/>
        </w:rPr>
        <w:t xml:space="preserve"> </w:t>
      </w:r>
      <w:r w:rsidRPr="008A4418">
        <w:rPr>
          <w:rFonts w:cs="Arial"/>
          <w:color w:val="auto"/>
        </w:rPr>
        <w:t>Funduszu</w:t>
      </w:r>
      <w:r w:rsidRPr="008A4418">
        <w:rPr>
          <w:rFonts w:cs="Arial"/>
          <w:color w:val="auto"/>
          <w:spacing w:val="-12"/>
        </w:rPr>
        <w:t xml:space="preserve"> </w:t>
      </w:r>
      <w:r w:rsidRPr="008A4418">
        <w:rPr>
          <w:rFonts w:cs="Arial"/>
          <w:color w:val="auto"/>
        </w:rPr>
        <w:t>realizowanymi</w:t>
      </w:r>
      <w:r w:rsidRPr="008A4418">
        <w:rPr>
          <w:rFonts w:cs="Arial"/>
          <w:color w:val="auto"/>
          <w:spacing w:val="-12"/>
        </w:rPr>
        <w:t xml:space="preserve"> </w:t>
      </w:r>
      <w:r w:rsidRPr="008A4418">
        <w:rPr>
          <w:rFonts w:cs="Arial"/>
          <w:color w:val="auto"/>
        </w:rPr>
        <w:t>w</w:t>
      </w:r>
      <w:r w:rsidRPr="008A4418">
        <w:rPr>
          <w:rFonts w:cs="Arial"/>
          <w:color w:val="auto"/>
          <w:spacing w:val="-6"/>
        </w:rPr>
        <w:t xml:space="preserve"> </w:t>
      </w:r>
      <w:r w:rsidRPr="008A4418">
        <w:rPr>
          <w:rFonts w:cs="Arial"/>
          <w:color w:val="auto"/>
        </w:rPr>
        <w:t>każdym</w:t>
      </w:r>
      <w:r w:rsidRPr="008A4418">
        <w:rPr>
          <w:rFonts w:cs="Arial"/>
          <w:color w:val="auto"/>
          <w:spacing w:val="-11"/>
        </w:rPr>
        <w:t xml:space="preserve"> </w:t>
      </w:r>
      <w:r w:rsidRPr="008A4418">
        <w:rPr>
          <w:rFonts w:cs="Arial"/>
          <w:color w:val="auto"/>
        </w:rPr>
        <w:t>z</w:t>
      </w:r>
      <w:r w:rsidRPr="008A4418">
        <w:rPr>
          <w:rFonts w:cs="Arial"/>
          <w:color w:val="auto"/>
          <w:spacing w:val="-6"/>
        </w:rPr>
        <w:t xml:space="preserve"> </w:t>
      </w:r>
      <w:r w:rsidRPr="008A4418">
        <w:rPr>
          <w:rFonts w:cs="Arial"/>
          <w:color w:val="auto"/>
        </w:rPr>
        <w:t>dziedzinowych</w:t>
      </w:r>
      <w:r w:rsidRPr="008A4418">
        <w:rPr>
          <w:rFonts w:cs="Arial"/>
          <w:color w:val="auto"/>
          <w:spacing w:val="-12"/>
        </w:rPr>
        <w:t xml:space="preserve"> </w:t>
      </w:r>
      <w:r w:rsidRPr="008A4418">
        <w:rPr>
          <w:rFonts w:cs="Arial"/>
          <w:color w:val="auto"/>
        </w:rPr>
        <w:t>celów</w:t>
      </w:r>
      <w:r w:rsidRPr="008A4418">
        <w:rPr>
          <w:rFonts w:cs="Arial"/>
          <w:color w:val="auto"/>
          <w:spacing w:val="-14"/>
        </w:rPr>
        <w:t xml:space="preserve"> </w:t>
      </w:r>
      <w:r w:rsidRPr="008A4418">
        <w:rPr>
          <w:rFonts w:cs="Arial"/>
          <w:color w:val="auto"/>
        </w:rPr>
        <w:t>środowiskowych Strategii</w:t>
      </w:r>
      <w:r w:rsidRPr="008A4418">
        <w:rPr>
          <w:rFonts w:cs="Arial"/>
          <w:color w:val="auto"/>
          <w:spacing w:val="-1"/>
        </w:rPr>
        <w:t xml:space="preserve"> </w:t>
      </w:r>
      <w:r w:rsidRPr="008A4418">
        <w:rPr>
          <w:rFonts w:cs="Arial"/>
          <w:color w:val="auto"/>
        </w:rPr>
        <w:t>są:</w:t>
      </w:r>
    </w:p>
    <w:p w14:paraId="5F4D8D32" w14:textId="77777777" w:rsidR="00707669" w:rsidRPr="008F571E" w:rsidRDefault="00707669">
      <w:pPr>
        <w:pStyle w:val="Akapitzlist"/>
        <w:numPr>
          <w:ilvl w:val="0"/>
          <w:numId w:val="116"/>
        </w:numPr>
        <w:spacing w:after="120"/>
        <w:ind w:left="714" w:hanging="357"/>
        <w:rPr>
          <w:rFonts w:cs="Arial"/>
        </w:rPr>
      </w:pPr>
      <w:r w:rsidRPr="008F571E">
        <w:rPr>
          <w:rFonts w:cs="Arial"/>
        </w:rPr>
        <w:lastRenderedPageBreak/>
        <w:t>poprawa stanu środowiska poprzez wsparcie realizacji zobowiązań środowiskowych, w szczególności wynikających z Traktatu</w:t>
      </w:r>
      <w:r w:rsidRPr="008F571E">
        <w:rPr>
          <w:rFonts w:cs="Arial"/>
          <w:spacing w:val="-7"/>
        </w:rPr>
        <w:t xml:space="preserve"> </w:t>
      </w:r>
      <w:r w:rsidRPr="008F571E">
        <w:rPr>
          <w:rFonts w:cs="Arial"/>
        </w:rPr>
        <w:t>Akcesyjnego;</w:t>
      </w:r>
    </w:p>
    <w:p w14:paraId="3D2E98DF" w14:textId="77777777" w:rsidR="00707669" w:rsidRPr="008F571E" w:rsidRDefault="00707669">
      <w:pPr>
        <w:pStyle w:val="Akapitzlist"/>
        <w:numPr>
          <w:ilvl w:val="0"/>
          <w:numId w:val="116"/>
        </w:numPr>
        <w:spacing w:after="120"/>
        <w:ind w:left="714" w:hanging="357"/>
        <w:rPr>
          <w:rFonts w:cs="Arial"/>
        </w:rPr>
      </w:pPr>
      <w:r w:rsidRPr="008F571E">
        <w:rPr>
          <w:rFonts w:cs="Arial"/>
        </w:rPr>
        <w:t>pełne</w:t>
      </w:r>
      <w:r w:rsidRPr="008F571E">
        <w:rPr>
          <w:rFonts w:cs="Arial"/>
          <w:spacing w:val="-8"/>
        </w:rPr>
        <w:t xml:space="preserve"> </w:t>
      </w:r>
      <w:r w:rsidRPr="008F571E">
        <w:rPr>
          <w:rFonts w:cs="Arial"/>
        </w:rPr>
        <w:t>wykorzystanie</w:t>
      </w:r>
      <w:r w:rsidRPr="008F571E">
        <w:rPr>
          <w:rFonts w:cs="Arial"/>
          <w:spacing w:val="-8"/>
        </w:rPr>
        <w:t xml:space="preserve"> </w:t>
      </w:r>
      <w:r w:rsidRPr="008F571E">
        <w:rPr>
          <w:rFonts w:cs="Arial"/>
        </w:rPr>
        <w:t>środków</w:t>
      </w:r>
      <w:r w:rsidRPr="008F571E">
        <w:rPr>
          <w:rFonts w:cs="Arial"/>
          <w:spacing w:val="-11"/>
        </w:rPr>
        <w:t xml:space="preserve"> </w:t>
      </w:r>
      <w:r w:rsidRPr="008F571E">
        <w:rPr>
          <w:rFonts w:cs="Arial"/>
        </w:rPr>
        <w:t>pochodzących</w:t>
      </w:r>
      <w:r w:rsidRPr="008F571E">
        <w:rPr>
          <w:rFonts w:cs="Arial"/>
          <w:spacing w:val="-8"/>
        </w:rPr>
        <w:t xml:space="preserve"> </w:t>
      </w:r>
      <w:r w:rsidRPr="008F571E">
        <w:rPr>
          <w:rFonts w:cs="Arial"/>
        </w:rPr>
        <w:t>z</w:t>
      </w:r>
      <w:r w:rsidRPr="008F571E">
        <w:rPr>
          <w:rFonts w:cs="Arial"/>
          <w:spacing w:val="-7"/>
        </w:rPr>
        <w:t xml:space="preserve"> </w:t>
      </w:r>
      <w:r w:rsidRPr="008F571E">
        <w:rPr>
          <w:rFonts w:cs="Arial"/>
        </w:rPr>
        <w:t>Unii</w:t>
      </w:r>
      <w:r w:rsidRPr="008F571E">
        <w:rPr>
          <w:rFonts w:cs="Arial"/>
          <w:spacing w:val="-9"/>
        </w:rPr>
        <w:t xml:space="preserve"> </w:t>
      </w:r>
      <w:r w:rsidRPr="008F571E">
        <w:rPr>
          <w:rFonts w:cs="Arial"/>
        </w:rPr>
        <w:t>Europejskiej</w:t>
      </w:r>
      <w:r w:rsidRPr="008F571E">
        <w:rPr>
          <w:rFonts w:cs="Arial"/>
          <w:spacing w:val="-6"/>
        </w:rPr>
        <w:t xml:space="preserve"> </w:t>
      </w:r>
      <w:r w:rsidRPr="008F571E">
        <w:rPr>
          <w:rFonts w:cs="Arial"/>
        </w:rPr>
        <w:t>niepodlegających</w:t>
      </w:r>
      <w:r w:rsidRPr="008F571E">
        <w:rPr>
          <w:rFonts w:cs="Arial"/>
          <w:spacing w:val="-8"/>
        </w:rPr>
        <w:t xml:space="preserve"> </w:t>
      </w:r>
      <w:r w:rsidRPr="008F571E">
        <w:rPr>
          <w:rFonts w:cs="Arial"/>
        </w:rPr>
        <w:t>zwrotowi, przeznaczonych na ochronę środowiska i gospodarkę</w:t>
      </w:r>
      <w:r w:rsidRPr="008F571E">
        <w:rPr>
          <w:rFonts w:cs="Arial"/>
          <w:spacing w:val="-6"/>
        </w:rPr>
        <w:t xml:space="preserve"> </w:t>
      </w:r>
      <w:r w:rsidRPr="008F571E">
        <w:rPr>
          <w:rFonts w:cs="Arial"/>
        </w:rPr>
        <w:t>wodną;</w:t>
      </w:r>
    </w:p>
    <w:p w14:paraId="3FAB7775" w14:textId="77777777" w:rsidR="00707669" w:rsidRPr="008F571E" w:rsidRDefault="00707669">
      <w:pPr>
        <w:pStyle w:val="Akapitzlist"/>
        <w:numPr>
          <w:ilvl w:val="0"/>
          <w:numId w:val="116"/>
        </w:numPr>
        <w:spacing w:after="120"/>
        <w:ind w:left="714" w:hanging="357"/>
        <w:rPr>
          <w:rFonts w:cs="Arial"/>
        </w:rPr>
      </w:pPr>
      <w:r w:rsidRPr="008F571E">
        <w:rPr>
          <w:rFonts w:cs="Arial"/>
        </w:rPr>
        <w:t>wdrażanie innowacji z zakresu ochrony środowiska i gospodarki wodnej, poprawa efektywności energetycznej i wykorzystanie odnawialnych źródeł energii, niskoemisyjność gospodarki i społeczeństwa oraz tworzenie warunków do powstawania zielonych miejsc pracy, w tym rozwoju nowych technik i technologii służących między innymi racjonalnej gospodarce zasobami naturalnymi, zapobieganiu powstawaniu lub ograniczeniu emisji do środowiska;</w:t>
      </w:r>
    </w:p>
    <w:p w14:paraId="3012922E" w14:textId="77777777" w:rsidR="00707669" w:rsidRPr="008F571E" w:rsidRDefault="00707669">
      <w:pPr>
        <w:pStyle w:val="Akapitzlist"/>
        <w:numPr>
          <w:ilvl w:val="0"/>
          <w:numId w:val="116"/>
        </w:numPr>
        <w:spacing w:after="120"/>
        <w:ind w:left="714" w:hanging="357"/>
        <w:rPr>
          <w:rFonts w:cs="Arial"/>
        </w:rPr>
      </w:pPr>
      <w:r w:rsidRPr="008F571E">
        <w:rPr>
          <w:rFonts w:cs="Arial"/>
        </w:rPr>
        <w:t>zrównoważone, efektywne korzystanie z zasobów, w tym z surowców</w:t>
      </w:r>
      <w:r w:rsidRPr="008F571E">
        <w:rPr>
          <w:rFonts w:cs="Arial"/>
          <w:spacing w:val="-15"/>
        </w:rPr>
        <w:t xml:space="preserve"> </w:t>
      </w:r>
      <w:r w:rsidRPr="008F571E">
        <w:rPr>
          <w:rFonts w:cs="Arial"/>
        </w:rPr>
        <w:t>pierwotnych;</w:t>
      </w:r>
    </w:p>
    <w:p w14:paraId="537EBDE9" w14:textId="77777777" w:rsidR="00707669" w:rsidRPr="008F571E" w:rsidRDefault="00707669">
      <w:pPr>
        <w:pStyle w:val="Akapitzlist"/>
        <w:numPr>
          <w:ilvl w:val="0"/>
          <w:numId w:val="116"/>
        </w:numPr>
        <w:spacing w:after="120"/>
        <w:ind w:left="714" w:hanging="357"/>
        <w:rPr>
          <w:rFonts w:cs="Arial"/>
        </w:rPr>
      </w:pPr>
      <w:r w:rsidRPr="008F571E">
        <w:rPr>
          <w:rFonts w:cs="Arial"/>
        </w:rPr>
        <w:t>wzrost świadomości ekologicznej mieszkańców województwa poprzez edukację ekologiczną.</w:t>
      </w:r>
    </w:p>
    <w:p w14:paraId="40486D42" w14:textId="77777777" w:rsidR="00707669" w:rsidRPr="00596802" w:rsidRDefault="00707669" w:rsidP="00707669">
      <w:pPr>
        <w:rPr>
          <w:rStyle w:val="Wyrnienieintensywne"/>
        </w:rPr>
      </w:pPr>
      <w:r w:rsidRPr="00596802">
        <w:rPr>
          <w:rStyle w:val="Wyrnienieintensywne"/>
        </w:rPr>
        <w:t>Program LIFE</w:t>
      </w:r>
      <w:r>
        <w:rPr>
          <w:rStyle w:val="Odwoanieprzypisudolnego"/>
          <w:i/>
          <w:iCs/>
          <w:color w:val="49671E" w:themeColor="accent1" w:themeShade="BF"/>
        </w:rPr>
        <w:footnoteReference w:id="52"/>
      </w:r>
    </w:p>
    <w:p w14:paraId="3594601C" w14:textId="77777777" w:rsidR="00707669" w:rsidRPr="00C20316" w:rsidRDefault="00707669" w:rsidP="00707669">
      <w:r w:rsidRPr="00C20316">
        <w:t>Program LIFE to jedyny instrument finansowy Unii Europejskiej poświęcony wyłącznie współfinansowaniu projektów z dziedziny ochrony środowiska, w tym przyrody oraz wpływu człowieka na klimat i dostosowania się do jego zmian. Obecny Program LIFE – program działań na rzecz środowiska i klimatu, obejmujący perspektywę finansową 2021-2027, jest kontynuacją Programu LIFE funkcjonującego w latach 2014-2020.</w:t>
      </w:r>
    </w:p>
    <w:p w14:paraId="1837D190" w14:textId="77777777" w:rsidR="00707669" w:rsidRPr="00C20316" w:rsidRDefault="00707669" w:rsidP="00707669">
      <w:r w:rsidRPr="00C20316">
        <w:t>Program działań na rzecz środowiska i klimatu (2021-2027) został ustanowiony Rozporządzeniem Parlamentu Europejskiego i Rady (UE) w dniu 29 kwietnia 2021 r.</w:t>
      </w:r>
    </w:p>
    <w:p w14:paraId="306F4E6A" w14:textId="1B0ABC1E" w:rsidR="00707669" w:rsidRPr="00C20316" w:rsidRDefault="00707669" w:rsidP="00707669">
      <w:r w:rsidRPr="00C20316">
        <w:t>Beneficjentem Programu LIFE może być każdy podmiot (jednostki, podmioty i instytucje publiczne lub prywatne) zarejestrowany na terenie państwa należącego do UE. Całkowity budżet Programu LIFE na lata 2021-2027 wynosi 5,432 mld euro, w tym na działania na rzecz środowiska – 3,488 mld euro</w:t>
      </w:r>
      <w:r w:rsidR="00B51D69">
        <w:t xml:space="preserve"> </w:t>
      </w:r>
      <w:r w:rsidRPr="00C20316">
        <w:t>oraz na rzecz klimatu – 1,944 mld euro.</w:t>
      </w:r>
    </w:p>
    <w:p w14:paraId="39200ED3" w14:textId="20116BD3" w:rsidR="00707669" w:rsidRDefault="00707669" w:rsidP="00707669">
      <w:r w:rsidRPr="00C20316">
        <w:t>Standardowe dofinansowanie projektu LIFE przez Komisję Europejską wynosi do 60% wartości kosztów kwalifikowanych, a w przypadku projektów przyrodniczych do 75% (w przypadku projektów służących gatunkom i siedliskom priorytetowym/zagrożonym). Polscy Wnioskodawcy mogą dodatkowo ubiegać się o współfinansowanie projektu ze środków krajowych NFOŚiGW uzupełniając montaż finansowy przedsięwzięcia nawet do 95% kosztów kwalifikowanych</w:t>
      </w:r>
      <w:r w:rsidR="00B51D69">
        <w:t>.</w:t>
      </w:r>
    </w:p>
    <w:p w14:paraId="6D73AB9D" w14:textId="77777777" w:rsidR="00B51D69" w:rsidRPr="00C20316" w:rsidRDefault="00B51D69" w:rsidP="00707669"/>
    <w:p w14:paraId="1DE59816" w14:textId="77777777" w:rsidR="00707669" w:rsidRPr="00596802" w:rsidRDefault="00707669" w:rsidP="00707669">
      <w:pPr>
        <w:rPr>
          <w:rStyle w:val="Wyrnienieintensywne"/>
        </w:rPr>
      </w:pPr>
      <w:r w:rsidRPr="00596802">
        <w:rPr>
          <w:rStyle w:val="Wyrnienieintensywne"/>
        </w:rPr>
        <w:t>Program Horyzont Europa</w:t>
      </w:r>
      <w:r>
        <w:rPr>
          <w:rStyle w:val="Odwoanieprzypisudolnego"/>
          <w:i/>
          <w:iCs/>
          <w:color w:val="49671E" w:themeColor="accent1" w:themeShade="BF"/>
        </w:rPr>
        <w:footnoteReference w:id="53"/>
      </w:r>
    </w:p>
    <w:p w14:paraId="0C0838E5" w14:textId="77777777" w:rsidR="00707669" w:rsidRPr="00C20316" w:rsidRDefault="00707669" w:rsidP="00707669">
      <w:r w:rsidRPr="00C20316">
        <w:t>„Horyzont Europa” to program ramowy Unii Europejskiej na rzecz badań i innowacji na lata 2021–2027. Dysponując budżetem w wysokości 95,5 mld EUR, w tym 5,4 mld EUR z instrumentu Next Generation EU, program uzupełnia krajowe i regionalne finansowanie badań naukowych i innowacji.</w:t>
      </w:r>
    </w:p>
    <w:p w14:paraId="327B65CF" w14:textId="77777777" w:rsidR="00707669" w:rsidRPr="00C20316" w:rsidRDefault="00707669" w:rsidP="00707669">
      <w:r w:rsidRPr="00C20316">
        <w:t>Program „Horyzont Europa” ma trzy filary:</w:t>
      </w:r>
    </w:p>
    <w:p w14:paraId="42FD8E04" w14:textId="77777777" w:rsidR="00707669" w:rsidRPr="00C20316" w:rsidRDefault="00707669">
      <w:pPr>
        <w:pStyle w:val="Akapitzlist"/>
        <w:numPr>
          <w:ilvl w:val="0"/>
          <w:numId w:val="111"/>
        </w:numPr>
        <w:spacing w:after="160" w:line="259" w:lineRule="auto"/>
        <w:jc w:val="left"/>
      </w:pPr>
      <w:r w:rsidRPr="00C20316">
        <w:t>doskonała baza naukowa</w:t>
      </w:r>
    </w:p>
    <w:p w14:paraId="143E04CD" w14:textId="77777777" w:rsidR="00707669" w:rsidRPr="00C20316" w:rsidRDefault="00707669">
      <w:pPr>
        <w:pStyle w:val="Akapitzlist"/>
        <w:numPr>
          <w:ilvl w:val="0"/>
          <w:numId w:val="111"/>
        </w:numPr>
        <w:spacing w:after="160" w:line="259" w:lineRule="auto"/>
        <w:jc w:val="left"/>
      </w:pPr>
      <w:r w:rsidRPr="00C20316">
        <w:t>globalne wyzwania i europejska konkurencyjność przemysłowa</w:t>
      </w:r>
    </w:p>
    <w:p w14:paraId="2A4ADBAE" w14:textId="77777777" w:rsidR="00707669" w:rsidRPr="00C20316" w:rsidRDefault="00707669">
      <w:pPr>
        <w:pStyle w:val="Akapitzlist"/>
        <w:numPr>
          <w:ilvl w:val="0"/>
          <w:numId w:val="111"/>
        </w:numPr>
        <w:spacing w:after="160" w:line="259" w:lineRule="auto"/>
        <w:jc w:val="left"/>
      </w:pPr>
      <w:r w:rsidRPr="00C20316">
        <w:t>innowacyjna Europa.</w:t>
      </w:r>
    </w:p>
    <w:p w14:paraId="14DA6653" w14:textId="77777777" w:rsidR="00707669" w:rsidRPr="00C20316" w:rsidRDefault="00707669" w:rsidP="00707669">
      <w:r w:rsidRPr="00C20316">
        <w:t>Dodatkowa część stanowiąca podstawę całego programu wspiera rozszerzenie opartego na doskonałości uczestnictwa podmiotów ze wszystkich państw członkowskich. Pozwoli to zoptymalizować krajowy potencjał w zakresie badań naukowych i innowacji w całej Europie, a tym samym wzmocnić europejską przestrzeń badawczą.</w:t>
      </w:r>
    </w:p>
    <w:p w14:paraId="199435E7" w14:textId="77777777" w:rsidR="00707669" w:rsidRDefault="00707669" w:rsidP="00707669">
      <w:r w:rsidRPr="00C20316">
        <w:lastRenderedPageBreak/>
        <w:t>Zadaniem programu jest zagwarantowanie, że wkład UE w dziedziny nauki i technologii pomoże stawiać czoła poważnym globalnym wyzwaniom w obszarach krytycznych takich jak zdrowie, starzenie się, bezpieczeństwo, zanieczyszczenie i zmiana klimatu.</w:t>
      </w:r>
    </w:p>
    <w:p w14:paraId="4C4D3127" w14:textId="77777777" w:rsidR="00B51D69" w:rsidRPr="00C20316" w:rsidRDefault="00B51D69" w:rsidP="00707669"/>
    <w:p w14:paraId="65E497C9" w14:textId="77777777" w:rsidR="00707669" w:rsidRPr="00596802" w:rsidRDefault="00707669" w:rsidP="00707669">
      <w:pPr>
        <w:rPr>
          <w:rStyle w:val="Wyrnienieintensywne"/>
        </w:rPr>
      </w:pPr>
      <w:r w:rsidRPr="00596802">
        <w:rPr>
          <w:rStyle w:val="Wyrnienieintensywne"/>
        </w:rPr>
        <w:t>Opłaty środowiskowe, miejscowe i uzdrowiskowe</w:t>
      </w:r>
    </w:p>
    <w:p w14:paraId="0D9FF50E" w14:textId="77777777" w:rsidR="00707669" w:rsidRPr="00C20316" w:rsidRDefault="00707669" w:rsidP="00707669">
      <w:r w:rsidRPr="00C20316">
        <w:t>Opłaty ekologiczne są jednym z narzędzi służących ochronie środowiska i realizacji polityki ekologicznej stosowanym przez władze publiczne w gminach. Opłaty te stanowić mogą źródło finansowania inwestycji służących efektywnemu gospodarowaniu wodami opadowymi. W celu realizacji działań adaptacyjnych, szczególnie tych dotyczących zazieleniania, mogą zostać również wykorzystane środki pozyskane dzięki opłatom miejscowym i uzdrowiskowym.</w:t>
      </w:r>
    </w:p>
    <w:p w14:paraId="38B88E2C" w14:textId="77777777" w:rsidR="00707669" w:rsidRPr="00C20316" w:rsidRDefault="00707669" w:rsidP="00707669">
      <w:r w:rsidRPr="00C20316">
        <w:t>Środki publiczne krajowe i unijne stanowią ważne wsparcie adaptacji do zmian klimatu, istnieje jednak wiele innych, potencjalnych źródeł finansowania, które mogą być angażowane w tym procesie. Uzupełniające źródło finansowania adaptacji stanowią środki pochodzące od osób prywatnych, przedsiębiorców czy też organizacji pozarządowych. Dodatkowymi formami finansowania adaptacji mogą być m.in.: budżet partycypacyjny, partnerstwo publiczno-prywatne, a nawet zbiórki społeczne.</w:t>
      </w:r>
    </w:p>
    <w:p w14:paraId="1B3308BA" w14:textId="77777777" w:rsidR="00707669" w:rsidRPr="00C20316" w:rsidRDefault="00707669" w:rsidP="00707669">
      <w:r w:rsidRPr="00C20316">
        <w:t>Wzrastający poziom świadomości społecznej na temat zagrożeń spowodowanych zmianami klimatu oraz programy dofinansowań mogą zmobilizować mieszkańców do podejmowania inwestycji adaptacyjnych z własnych środków. W przypadku środków przedsiębiorców pewną motywacją do wspierania działań adaptacyjnych może stać się konieczność wykazania mierzalnych działań prośrodowiskowych (w ramach tzw. raportowania ESG). Co więcej, adaptacja do zmian klimatu jest dla firm szansą na rozwój nowych modeli biznesowych, które mogą przyczynić się do wzrostu ich konkurencyjności.</w:t>
      </w:r>
    </w:p>
    <w:p w14:paraId="0FE279C7" w14:textId="77777777" w:rsidR="00707669" w:rsidRPr="00C20316" w:rsidRDefault="00707669" w:rsidP="00707669">
      <w:r w:rsidRPr="00C20316">
        <w:t>Działania adaptacyjne mogą być również realizowane przy wsparciu organizacji pozarządowych, które coraz częściej angażują się w ich wdrażanie, szczególnie w projekty dotyczące zazieleniania.</w:t>
      </w:r>
    </w:p>
    <w:p w14:paraId="7E666F3A" w14:textId="77777777" w:rsidR="00707669" w:rsidRPr="00C20316" w:rsidRDefault="00707669" w:rsidP="00707669">
      <w:r w:rsidRPr="00C20316">
        <w:t>Mieszkańcy mają również możliwość decydowania o alokacji części środków publicznych poprzez budżet partycypacyjny, kiedy to wskazują projekty priorytetowe dla swojej społeczności. Takie podejście zwiększa zaangażowanie obywateli i prowadzi do bardziej skutecznego wykorzystania dostępnych zasobów.</w:t>
      </w:r>
    </w:p>
    <w:p w14:paraId="3AC5FD28" w14:textId="2C59DDE8" w:rsidR="00707669" w:rsidRPr="00C20316" w:rsidRDefault="00707669" w:rsidP="00707669">
      <w:r w:rsidRPr="00C20316">
        <w:t>Partnerstwa publiczno-prywatne stanowią kolejny istotny sposób finansowania działań adaptacyjnych. Współpraca między sektorem publicznym oraz prywatnym może przynieść wiele korzyści, nie tylko dostęp do zasobów finansowych, ale również nowoczesnych technologii oraz doświadczenia. Coraz bardziej popularnym sposobem finansowania działań adaptacyjnych, w</w:t>
      </w:r>
      <w:r w:rsidR="00B51D69">
        <w:t> </w:t>
      </w:r>
      <w:r w:rsidRPr="00C20316">
        <w:t>szczególności dotyczących zazieleniania przestrzeni miejskich, stają się również zbiórki społeczne.</w:t>
      </w:r>
    </w:p>
    <w:p w14:paraId="55C7B579" w14:textId="77777777" w:rsidR="0062350A" w:rsidRPr="00655FC7" w:rsidRDefault="0062350A" w:rsidP="00707669"/>
    <w:p w14:paraId="5BFDAC5C" w14:textId="3FAA5A58" w:rsidR="00C3065E" w:rsidRPr="00655FC7" w:rsidRDefault="00C3065E" w:rsidP="00B62479">
      <w:pPr>
        <w:pStyle w:val="Nagwek2"/>
      </w:pPr>
      <w:bookmarkStart w:id="290" w:name="_Toc143596962"/>
      <w:bookmarkStart w:id="291" w:name="_Toc177732094"/>
      <w:r w:rsidRPr="00655FC7">
        <w:t xml:space="preserve">Monitoring </w:t>
      </w:r>
      <w:r w:rsidR="006F45B9">
        <w:t xml:space="preserve">i </w:t>
      </w:r>
      <w:bookmarkEnd w:id="279"/>
      <w:bookmarkEnd w:id="289"/>
      <w:bookmarkEnd w:id="290"/>
      <w:r w:rsidR="006F45B9">
        <w:t>ewaluacja</w:t>
      </w:r>
      <w:bookmarkEnd w:id="291"/>
    </w:p>
    <w:p w14:paraId="0131BE76" w14:textId="7B5168F6" w:rsidR="00272E0C" w:rsidRDefault="003446C0" w:rsidP="003446C0">
      <w:pPr>
        <w:tabs>
          <w:tab w:val="left" w:pos="3119"/>
        </w:tabs>
        <w:rPr>
          <w:rFonts w:cstheme="minorHAnsi"/>
          <w:color w:val="auto"/>
        </w:rPr>
      </w:pPr>
      <w:r>
        <w:rPr>
          <w:rFonts w:cstheme="minorHAnsi"/>
          <w:color w:val="auto"/>
        </w:rPr>
        <w:t xml:space="preserve">Systematyczny monitoring Planu Adaptacji umożliwia efektywne przeprowadzenie procesu wdrażania oraz pozwala na bieżąco dostosowywać działania do zmieniających się warunków i potrzeb. Jednostka odpowiedzialna za monitoring MPA powinna gromadzić informacje w </w:t>
      </w:r>
      <w:r w:rsidRPr="003446C0">
        <w:rPr>
          <w:rFonts w:cstheme="minorHAnsi"/>
          <w:color w:val="auto"/>
        </w:rPr>
        <w:t>sposób kompleksowy i spójny,</w:t>
      </w:r>
      <w:r>
        <w:rPr>
          <w:rFonts w:cstheme="minorHAnsi"/>
          <w:color w:val="auto"/>
        </w:rPr>
        <w:t xml:space="preserve"> </w:t>
      </w:r>
      <w:r w:rsidRPr="003446C0">
        <w:rPr>
          <w:rFonts w:cstheme="minorHAnsi"/>
          <w:color w:val="auto"/>
        </w:rPr>
        <w:t>na określonym poziomie szczegółowości.</w:t>
      </w:r>
      <w:r>
        <w:rPr>
          <w:rFonts w:cstheme="minorHAnsi"/>
          <w:color w:val="auto"/>
        </w:rPr>
        <w:t xml:space="preserve"> Raport z realizacji powinien być także udostępniony mieszkańcom.</w:t>
      </w:r>
    </w:p>
    <w:p w14:paraId="3C02CEF2" w14:textId="77777777" w:rsidR="00FA3EA6" w:rsidRDefault="00FA3EA6" w:rsidP="00E912A6">
      <w:pPr>
        <w:tabs>
          <w:tab w:val="left" w:pos="3119"/>
        </w:tabs>
        <w:rPr>
          <w:rFonts w:cstheme="minorHAnsi"/>
          <w:color w:val="auto"/>
        </w:rPr>
      </w:pPr>
    </w:p>
    <w:p w14:paraId="2939FD8B" w14:textId="3E702783" w:rsidR="00FA3EA6" w:rsidRDefault="00FA3EA6" w:rsidP="00E912A6">
      <w:pPr>
        <w:tabs>
          <w:tab w:val="left" w:pos="3119"/>
        </w:tabs>
        <w:rPr>
          <w:rFonts w:cstheme="minorHAnsi"/>
          <w:color w:val="auto"/>
        </w:rPr>
      </w:pPr>
      <w:r>
        <w:rPr>
          <w:rFonts w:cstheme="minorHAnsi"/>
          <w:color w:val="auto"/>
        </w:rPr>
        <w:t>Monitoring MPA powinien obejmować następujące elementy:</w:t>
      </w:r>
    </w:p>
    <w:p w14:paraId="3AE188C2" w14:textId="6313F7E3" w:rsidR="00FA3EA6" w:rsidRPr="00FA3EA6" w:rsidRDefault="00FA3EA6">
      <w:pPr>
        <w:pStyle w:val="Akapitzlist"/>
        <w:numPr>
          <w:ilvl w:val="0"/>
          <w:numId w:val="117"/>
        </w:numPr>
        <w:tabs>
          <w:tab w:val="left" w:pos="3119"/>
        </w:tabs>
        <w:rPr>
          <w:rFonts w:cstheme="minorHAnsi"/>
          <w:color w:val="auto"/>
        </w:rPr>
      </w:pPr>
      <w:r w:rsidRPr="00FA3EA6">
        <w:rPr>
          <w:rFonts w:cstheme="minorHAnsi"/>
          <w:color w:val="auto"/>
        </w:rPr>
        <w:t>Wskazanie jasnych celów monitoringu i określenie, czego chcemy się dowiedzieć o</w:t>
      </w:r>
      <w:r w:rsidR="00272E0C">
        <w:rPr>
          <w:rFonts w:cstheme="minorHAnsi"/>
          <w:color w:val="auto"/>
        </w:rPr>
        <w:t> </w:t>
      </w:r>
      <w:r w:rsidRPr="00FA3EA6">
        <w:rPr>
          <w:rFonts w:cstheme="minorHAnsi"/>
          <w:color w:val="auto"/>
        </w:rPr>
        <w:t>działaniach</w:t>
      </w:r>
      <w:r>
        <w:rPr>
          <w:rFonts w:cstheme="minorHAnsi"/>
          <w:color w:val="auto"/>
        </w:rPr>
        <w:t xml:space="preserve"> </w:t>
      </w:r>
      <w:r w:rsidRPr="00FA3EA6">
        <w:rPr>
          <w:rFonts w:cstheme="minorHAnsi"/>
          <w:color w:val="auto"/>
        </w:rPr>
        <w:t>adaptacyjnych;</w:t>
      </w:r>
    </w:p>
    <w:p w14:paraId="63708048" w14:textId="199085FB" w:rsidR="00FA3EA6" w:rsidRPr="00FA3EA6" w:rsidRDefault="00FA3EA6">
      <w:pPr>
        <w:pStyle w:val="Akapitzlist"/>
        <w:numPr>
          <w:ilvl w:val="0"/>
          <w:numId w:val="117"/>
        </w:numPr>
        <w:tabs>
          <w:tab w:val="left" w:pos="3119"/>
        </w:tabs>
        <w:rPr>
          <w:rFonts w:cstheme="minorHAnsi"/>
          <w:color w:val="auto"/>
        </w:rPr>
      </w:pPr>
      <w:r w:rsidRPr="00FA3EA6">
        <w:rPr>
          <w:rFonts w:cstheme="minorHAnsi"/>
          <w:color w:val="auto"/>
        </w:rPr>
        <w:lastRenderedPageBreak/>
        <w:t>Zbieranie danych i informacji z różnych źródeł, które będą potrzebne do oceny postępów</w:t>
      </w:r>
      <w:r>
        <w:rPr>
          <w:rFonts w:cstheme="minorHAnsi"/>
          <w:color w:val="auto"/>
        </w:rPr>
        <w:t xml:space="preserve"> </w:t>
      </w:r>
      <w:r w:rsidRPr="00FA3EA6">
        <w:rPr>
          <w:rFonts w:cstheme="minorHAnsi"/>
          <w:color w:val="auto"/>
        </w:rPr>
        <w:t>w realizacji działań adaptacyjnych;</w:t>
      </w:r>
    </w:p>
    <w:p w14:paraId="19E91B9E" w14:textId="2C80DF86" w:rsidR="00FA3EA6" w:rsidRPr="00FA3EA6" w:rsidRDefault="00FA3EA6">
      <w:pPr>
        <w:pStyle w:val="Akapitzlist"/>
        <w:numPr>
          <w:ilvl w:val="0"/>
          <w:numId w:val="117"/>
        </w:numPr>
        <w:tabs>
          <w:tab w:val="left" w:pos="3119"/>
        </w:tabs>
        <w:rPr>
          <w:rFonts w:cstheme="minorHAnsi"/>
          <w:color w:val="auto"/>
        </w:rPr>
      </w:pPr>
      <w:r w:rsidRPr="00FA3EA6">
        <w:rPr>
          <w:rFonts w:cstheme="minorHAnsi"/>
          <w:color w:val="auto"/>
        </w:rPr>
        <w:t>Analiza danych, która pozwoli na zrozumienie stanu obecnego i ewentualnych zmian,</w:t>
      </w:r>
      <w:r>
        <w:rPr>
          <w:rFonts w:cstheme="minorHAnsi"/>
          <w:color w:val="auto"/>
        </w:rPr>
        <w:t xml:space="preserve"> </w:t>
      </w:r>
      <w:r w:rsidRPr="00FA3EA6">
        <w:rPr>
          <w:rFonts w:cstheme="minorHAnsi"/>
          <w:color w:val="auto"/>
        </w:rPr>
        <w:t>jakie zachodzą w wyniku wprowadzania działań adaptacyjnych;</w:t>
      </w:r>
    </w:p>
    <w:p w14:paraId="58185081" w14:textId="7AFAAAB6" w:rsidR="00FA3EA6" w:rsidRPr="00FA3EA6" w:rsidRDefault="00FA3EA6">
      <w:pPr>
        <w:pStyle w:val="Akapitzlist"/>
        <w:numPr>
          <w:ilvl w:val="0"/>
          <w:numId w:val="117"/>
        </w:numPr>
        <w:tabs>
          <w:tab w:val="left" w:pos="3119"/>
        </w:tabs>
        <w:rPr>
          <w:rFonts w:cstheme="minorHAnsi"/>
          <w:color w:val="auto"/>
        </w:rPr>
      </w:pPr>
      <w:r w:rsidRPr="00FA3EA6">
        <w:rPr>
          <w:rFonts w:cstheme="minorHAnsi"/>
          <w:color w:val="auto"/>
        </w:rPr>
        <w:t>Weryfikacja, czy wybrane wskaźniki nadal są odpowiednie i adekwatne do oceny postępów. W miarę potrzeb można zmodyfikować wskaźniki lub cele, aby lepiej odzwierciedlały zmieniające</w:t>
      </w:r>
      <w:r>
        <w:rPr>
          <w:rFonts w:cstheme="minorHAnsi"/>
          <w:color w:val="auto"/>
        </w:rPr>
        <w:t xml:space="preserve"> </w:t>
      </w:r>
      <w:r w:rsidRPr="00FA3EA6">
        <w:rPr>
          <w:rFonts w:cstheme="minorHAnsi"/>
          <w:color w:val="auto"/>
        </w:rPr>
        <w:t>się warunki;</w:t>
      </w:r>
    </w:p>
    <w:p w14:paraId="667B2081" w14:textId="5B3581AF" w:rsidR="00FA3EA6" w:rsidRPr="00FA3EA6" w:rsidRDefault="00FA3EA6">
      <w:pPr>
        <w:pStyle w:val="Akapitzlist"/>
        <w:numPr>
          <w:ilvl w:val="0"/>
          <w:numId w:val="117"/>
        </w:numPr>
        <w:tabs>
          <w:tab w:val="left" w:pos="3119"/>
        </w:tabs>
        <w:rPr>
          <w:rFonts w:cstheme="minorHAnsi"/>
          <w:color w:val="auto"/>
        </w:rPr>
      </w:pPr>
      <w:r w:rsidRPr="00FA3EA6">
        <w:rPr>
          <w:rFonts w:cstheme="minorHAnsi"/>
          <w:color w:val="auto"/>
        </w:rPr>
        <w:t>W przypadku stwierdzenia problemów z realizacją określonych działań, z osiągnięciem zakładanych celów, niezbędna jest wnikliwa diagnoza ich przyczyn. Zidentyfikowanie problemów i barier, które mogą utrudniać skuteczne wdrażanie działań adaptacyjnych, pozwoli</w:t>
      </w:r>
      <w:r>
        <w:rPr>
          <w:rFonts w:cstheme="minorHAnsi"/>
          <w:color w:val="auto"/>
        </w:rPr>
        <w:t xml:space="preserve"> </w:t>
      </w:r>
      <w:r w:rsidRPr="00FA3EA6">
        <w:rPr>
          <w:rFonts w:cstheme="minorHAnsi"/>
          <w:color w:val="auto"/>
        </w:rPr>
        <w:t>na wcześniejsze reagowanie i wprowadzanie korekt w planie;</w:t>
      </w:r>
    </w:p>
    <w:p w14:paraId="29E26BCB" w14:textId="44E3CB6D" w:rsidR="00FA3EA6" w:rsidRPr="00FA3EA6" w:rsidRDefault="00FA3EA6">
      <w:pPr>
        <w:pStyle w:val="Akapitzlist"/>
        <w:numPr>
          <w:ilvl w:val="0"/>
          <w:numId w:val="117"/>
        </w:numPr>
        <w:tabs>
          <w:tab w:val="left" w:pos="3119"/>
        </w:tabs>
        <w:rPr>
          <w:rFonts w:cstheme="minorHAnsi"/>
          <w:color w:val="auto"/>
        </w:rPr>
      </w:pPr>
      <w:r w:rsidRPr="00FA3EA6">
        <w:rPr>
          <w:rFonts w:cstheme="minorHAnsi"/>
          <w:color w:val="auto"/>
        </w:rPr>
        <w:t>Regularne raportowanie wyników monitoringu i opracowanie informacji zwrotnych, które jest kluczowe dla skutecznej komunikacji z interesariuszami. Okresową ocenę polityki adaptacyjnej miasta warto także wykorzystać w komunikacji z interesariuszami, w</w:t>
      </w:r>
      <w:r w:rsidR="00272E0C">
        <w:rPr>
          <w:rFonts w:cstheme="minorHAnsi"/>
          <w:color w:val="auto"/>
        </w:rPr>
        <w:t> </w:t>
      </w:r>
      <w:r w:rsidRPr="00FA3EA6">
        <w:rPr>
          <w:rFonts w:cstheme="minorHAnsi"/>
          <w:color w:val="auto"/>
        </w:rPr>
        <w:t>szczególności z mieszkańcami,</w:t>
      </w:r>
      <w:r>
        <w:rPr>
          <w:rFonts w:cstheme="minorHAnsi"/>
          <w:color w:val="auto"/>
        </w:rPr>
        <w:t xml:space="preserve"> </w:t>
      </w:r>
      <w:r w:rsidRPr="00FA3EA6">
        <w:rPr>
          <w:rFonts w:cstheme="minorHAnsi"/>
          <w:color w:val="auto"/>
        </w:rPr>
        <w:t>którzy są głównym beneficjentem zmian z niej wynikających</w:t>
      </w:r>
      <w:r w:rsidR="00272E0C">
        <w:rPr>
          <w:rFonts w:cstheme="minorHAnsi"/>
          <w:color w:val="auto"/>
        </w:rPr>
        <w:t>;</w:t>
      </w:r>
    </w:p>
    <w:p w14:paraId="342DD9D3" w14:textId="54CFF3F7" w:rsidR="00FA3EA6" w:rsidRDefault="00FA3EA6">
      <w:pPr>
        <w:pStyle w:val="Akapitzlist"/>
        <w:numPr>
          <w:ilvl w:val="0"/>
          <w:numId w:val="117"/>
        </w:numPr>
        <w:tabs>
          <w:tab w:val="left" w:pos="3119"/>
        </w:tabs>
        <w:rPr>
          <w:rFonts w:cstheme="minorHAnsi"/>
          <w:color w:val="auto"/>
        </w:rPr>
      </w:pPr>
      <w:r w:rsidRPr="00272E0C">
        <w:rPr>
          <w:rFonts w:cstheme="minorHAnsi"/>
          <w:color w:val="auto"/>
        </w:rPr>
        <w:t>Ciągłe doskonalenie procesu monitoringu, wskaźników dla działań i dla celów, aby adaptacja była skuteczna i efektywna w długim okresie. Okresowy monitoring może być również okazją</w:t>
      </w:r>
      <w:r w:rsidR="00272E0C">
        <w:rPr>
          <w:rFonts w:cstheme="minorHAnsi"/>
          <w:color w:val="auto"/>
        </w:rPr>
        <w:t xml:space="preserve"> </w:t>
      </w:r>
      <w:r w:rsidRPr="00272E0C">
        <w:rPr>
          <w:rFonts w:cstheme="minorHAnsi"/>
          <w:color w:val="auto"/>
        </w:rPr>
        <w:t>do wskazania szeregu dobrych praktyk dot. działań adaptacyjnych i ich efektywnej realizacji.</w:t>
      </w:r>
    </w:p>
    <w:p w14:paraId="0454B893" w14:textId="77777777" w:rsidR="003446C0" w:rsidRDefault="003446C0" w:rsidP="003446C0">
      <w:pPr>
        <w:tabs>
          <w:tab w:val="left" w:pos="3119"/>
        </w:tabs>
        <w:rPr>
          <w:rFonts w:cstheme="minorHAnsi"/>
          <w:color w:val="auto"/>
        </w:rPr>
      </w:pPr>
    </w:p>
    <w:p w14:paraId="05E3324E" w14:textId="13DA0DE0" w:rsidR="003446C0" w:rsidRPr="003446C0" w:rsidRDefault="003446C0" w:rsidP="003446C0">
      <w:pPr>
        <w:tabs>
          <w:tab w:val="left" w:pos="3119"/>
        </w:tabs>
        <w:rPr>
          <w:rFonts w:cstheme="minorHAnsi"/>
          <w:color w:val="auto"/>
        </w:rPr>
      </w:pPr>
      <w:r w:rsidRPr="003446C0">
        <w:rPr>
          <w:rFonts w:cstheme="minorHAnsi"/>
          <w:color w:val="auto"/>
        </w:rPr>
        <w:t>Zgodnie z powyższym określa się</w:t>
      </w:r>
      <w:r w:rsidR="00414DF7">
        <w:rPr>
          <w:rFonts w:cstheme="minorHAnsi"/>
          <w:color w:val="auto"/>
        </w:rPr>
        <w:t xml:space="preserve"> zasady prowadzenia monitoringu MPA:</w:t>
      </w:r>
    </w:p>
    <w:p w14:paraId="780D9EE4" w14:textId="592881E9" w:rsidR="003446C0" w:rsidRPr="003446C0" w:rsidRDefault="00414DF7">
      <w:pPr>
        <w:pStyle w:val="Akapitzlist"/>
        <w:numPr>
          <w:ilvl w:val="0"/>
          <w:numId w:val="118"/>
        </w:numPr>
        <w:tabs>
          <w:tab w:val="left" w:pos="3119"/>
        </w:tabs>
        <w:rPr>
          <w:rFonts w:cstheme="minorHAnsi"/>
          <w:color w:val="auto"/>
        </w:rPr>
      </w:pPr>
      <w:r>
        <w:rPr>
          <w:rFonts w:cstheme="minorHAnsi"/>
          <w:color w:val="auto"/>
        </w:rPr>
        <w:t>m</w:t>
      </w:r>
      <w:r w:rsidR="003446C0" w:rsidRPr="003446C0">
        <w:rPr>
          <w:rFonts w:cstheme="minorHAnsi"/>
          <w:color w:val="auto"/>
        </w:rPr>
        <w:t xml:space="preserve">onitorowanie realizacji działań adaptacyjnych powierza się </w:t>
      </w:r>
      <w:r w:rsidR="004B5C8C" w:rsidRPr="004B5C8C">
        <w:rPr>
          <w:rFonts w:cstheme="minorHAnsi"/>
          <w:color w:val="auto"/>
        </w:rPr>
        <w:t>Referat</w:t>
      </w:r>
      <w:r w:rsidR="004B5C8C">
        <w:rPr>
          <w:rFonts w:cstheme="minorHAnsi"/>
          <w:color w:val="auto"/>
        </w:rPr>
        <w:t>owi</w:t>
      </w:r>
      <w:r w:rsidR="004B5C8C" w:rsidRPr="004B5C8C">
        <w:rPr>
          <w:rFonts w:cstheme="minorHAnsi"/>
          <w:color w:val="auto"/>
        </w:rPr>
        <w:t xml:space="preserve"> Budownictwa, Gospodarki Komunalnej i Ochrony Środowiska</w:t>
      </w:r>
      <w:r>
        <w:rPr>
          <w:rFonts w:cstheme="minorHAnsi"/>
          <w:color w:val="auto"/>
        </w:rPr>
        <w:t>,</w:t>
      </w:r>
    </w:p>
    <w:p w14:paraId="5FACC1B7" w14:textId="2C3557A9" w:rsidR="00414DF7" w:rsidRDefault="00414DF7">
      <w:pPr>
        <w:pStyle w:val="Akapitzlist"/>
        <w:numPr>
          <w:ilvl w:val="0"/>
          <w:numId w:val="118"/>
        </w:numPr>
        <w:tabs>
          <w:tab w:val="left" w:pos="3119"/>
        </w:tabs>
        <w:rPr>
          <w:rFonts w:cstheme="minorHAnsi"/>
          <w:color w:val="auto"/>
        </w:rPr>
      </w:pPr>
      <w:r>
        <w:rPr>
          <w:rFonts w:cstheme="minorHAnsi"/>
          <w:color w:val="auto"/>
        </w:rPr>
        <w:t>o</w:t>
      </w:r>
      <w:r w:rsidR="003446C0" w:rsidRPr="00414DF7">
        <w:rPr>
          <w:rFonts w:cstheme="minorHAnsi"/>
          <w:color w:val="auto"/>
        </w:rPr>
        <w:t>cena postępu realizacji Planu będzie dokonywana co dwa lata</w:t>
      </w:r>
      <w:r>
        <w:rPr>
          <w:rFonts w:cstheme="minorHAnsi"/>
          <w:color w:val="auto"/>
        </w:rPr>
        <w:t>,</w:t>
      </w:r>
    </w:p>
    <w:p w14:paraId="3EAFEB0A" w14:textId="1DD92FDB" w:rsidR="00414DF7" w:rsidRDefault="00414DF7">
      <w:pPr>
        <w:pStyle w:val="Akapitzlist"/>
        <w:numPr>
          <w:ilvl w:val="0"/>
          <w:numId w:val="118"/>
        </w:numPr>
        <w:tabs>
          <w:tab w:val="left" w:pos="3119"/>
        </w:tabs>
        <w:rPr>
          <w:rFonts w:cstheme="minorHAnsi"/>
          <w:color w:val="auto"/>
        </w:rPr>
      </w:pPr>
      <w:r>
        <w:rPr>
          <w:rFonts w:cstheme="minorHAnsi"/>
          <w:color w:val="auto"/>
        </w:rPr>
        <w:t>r</w:t>
      </w:r>
      <w:r w:rsidR="003446C0" w:rsidRPr="00414DF7">
        <w:rPr>
          <w:rFonts w:cstheme="minorHAnsi"/>
          <w:color w:val="auto"/>
        </w:rPr>
        <w:t>aport z wdrażania Planu Adaptacji będzie przygotowywany w oparciu o informacje przekazane przez podmioty odpowiedzialne za inicjowanie i realizację działań adaptacyjnych.</w:t>
      </w:r>
      <w:r>
        <w:rPr>
          <w:rFonts w:cstheme="minorHAnsi"/>
          <w:color w:val="auto"/>
        </w:rPr>
        <w:t>,</w:t>
      </w:r>
    </w:p>
    <w:p w14:paraId="340A30C9" w14:textId="34E81B1A" w:rsidR="00414DF7" w:rsidRDefault="00414DF7">
      <w:pPr>
        <w:pStyle w:val="Akapitzlist"/>
        <w:numPr>
          <w:ilvl w:val="0"/>
          <w:numId w:val="118"/>
        </w:numPr>
        <w:tabs>
          <w:tab w:val="left" w:pos="3119"/>
        </w:tabs>
        <w:rPr>
          <w:rFonts w:cstheme="minorHAnsi"/>
          <w:color w:val="auto"/>
        </w:rPr>
      </w:pPr>
      <w:r>
        <w:rPr>
          <w:rFonts w:cstheme="minorHAnsi"/>
          <w:color w:val="auto"/>
        </w:rPr>
        <w:t>r</w:t>
      </w:r>
      <w:r w:rsidR="003446C0" w:rsidRPr="00414DF7">
        <w:rPr>
          <w:rFonts w:cstheme="minorHAnsi"/>
          <w:color w:val="auto"/>
        </w:rPr>
        <w:t>aport będzie zawierał podstawowe informacje o zainicjowanych, przygotowanych, realizowanych działaniach adaptacyjnych prowadzonych w okresie sprawozdawczym</w:t>
      </w:r>
      <w:r>
        <w:rPr>
          <w:rFonts w:cstheme="minorHAnsi"/>
          <w:color w:val="auto"/>
        </w:rPr>
        <w:t>,</w:t>
      </w:r>
    </w:p>
    <w:p w14:paraId="68DF9BEF" w14:textId="034DE513" w:rsidR="003446C0" w:rsidRPr="00414DF7" w:rsidRDefault="00414DF7">
      <w:pPr>
        <w:pStyle w:val="Akapitzlist"/>
        <w:numPr>
          <w:ilvl w:val="0"/>
          <w:numId w:val="118"/>
        </w:numPr>
        <w:tabs>
          <w:tab w:val="left" w:pos="3119"/>
        </w:tabs>
        <w:rPr>
          <w:rFonts w:cstheme="minorHAnsi"/>
          <w:color w:val="auto"/>
        </w:rPr>
      </w:pPr>
      <w:r>
        <w:rPr>
          <w:rFonts w:cstheme="minorHAnsi"/>
          <w:color w:val="auto"/>
        </w:rPr>
        <w:t>p</w:t>
      </w:r>
      <w:r w:rsidR="003446C0" w:rsidRPr="00414DF7">
        <w:rPr>
          <w:rFonts w:cstheme="minorHAnsi"/>
          <w:color w:val="auto"/>
        </w:rPr>
        <w:t xml:space="preserve">o zatwierdzeniu raportu przez </w:t>
      </w:r>
      <w:r>
        <w:rPr>
          <w:rFonts w:cstheme="minorHAnsi"/>
          <w:color w:val="auto"/>
        </w:rPr>
        <w:t>Burmistrza Tarnogrodu,</w:t>
      </w:r>
      <w:r w:rsidR="003446C0" w:rsidRPr="00414DF7">
        <w:rPr>
          <w:rFonts w:cstheme="minorHAnsi"/>
          <w:color w:val="auto"/>
        </w:rPr>
        <w:t xml:space="preserve"> będzie on udostępniony w sposób umożliwiający opinii publicznej zapoznanie się z jego treścią.</w:t>
      </w:r>
    </w:p>
    <w:p w14:paraId="7C42551F" w14:textId="77777777" w:rsidR="00446D34" w:rsidRDefault="00446D34" w:rsidP="00E912A6">
      <w:pPr>
        <w:tabs>
          <w:tab w:val="left" w:pos="3119"/>
        </w:tabs>
        <w:rPr>
          <w:rFonts w:cstheme="minorHAnsi"/>
          <w:color w:val="auto"/>
        </w:rPr>
      </w:pPr>
    </w:p>
    <w:p w14:paraId="7F3DF70A" w14:textId="17C88D0F" w:rsidR="0053413A" w:rsidRDefault="00446D34" w:rsidP="00E912A6">
      <w:pPr>
        <w:tabs>
          <w:tab w:val="left" w:pos="3119"/>
        </w:tabs>
        <w:rPr>
          <w:rFonts w:cstheme="minorHAnsi"/>
          <w:color w:val="auto"/>
        </w:rPr>
      </w:pPr>
      <w:r>
        <w:rPr>
          <w:rFonts w:cstheme="minorHAnsi"/>
          <w:color w:val="auto"/>
        </w:rPr>
        <w:t>Do monitoringu działań adaptacyjnych mogą zostać wykorzystane wskaźniki:</w:t>
      </w:r>
    </w:p>
    <w:p w14:paraId="5613EE5A" w14:textId="6E229DCB" w:rsidR="00446D34" w:rsidRDefault="00446D34" w:rsidP="00446D34">
      <w:pPr>
        <w:tabs>
          <w:tab w:val="left" w:pos="3119"/>
        </w:tabs>
        <w:ind w:firstLine="0"/>
        <w:jc w:val="center"/>
        <w:rPr>
          <w:rFonts w:cstheme="minorHAnsi"/>
          <w:color w:val="auto"/>
        </w:rPr>
      </w:pPr>
      <w:r>
        <w:rPr>
          <w:rFonts w:cstheme="minorHAnsi"/>
          <w:noProof/>
          <w:color w:val="auto"/>
        </w:rPr>
        <w:drawing>
          <wp:inline distT="0" distB="0" distL="0" distR="0" wp14:anchorId="410C7147" wp14:editId="76CC715C">
            <wp:extent cx="5760000" cy="1680119"/>
            <wp:effectExtent l="38100" t="0" r="50800" b="0"/>
            <wp:docPr id="1241014206" name="Diagram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0" r:lo="rId191" r:qs="rId192" r:cs="rId193"/>
              </a:graphicData>
            </a:graphic>
          </wp:inline>
        </w:drawing>
      </w:r>
    </w:p>
    <w:p w14:paraId="39B02281" w14:textId="77777777" w:rsidR="00446D34" w:rsidRDefault="00446D34" w:rsidP="00E912A6">
      <w:pPr>
        <w:tabs>
          <w:tab w:val="left" w:pos="3119"/>
        </w:tabs>
        <w:rPr>
          <w:rFonts w:cstheme="minorHAnsi"/>
          <w:color w:val="auto"/>
        </w:rPr>
      </w:pPr>
    </w:p>
    <w:p w14:paraId="4BC4A016" w14:textId="7E2FC83D" w:rsidR="00ED4BA5" w:rsidRPr="00655FC7" w:rsidRDefault="00C3065E" w:rsidP="00ED4BA5">
      <w:pPr>
        <w:tabs>
          <w:tab w:val="left" w:pos="3119"/>
        </w:tabs>
        <w:rPr>
          <w:rFonts w:cstheme="minorHAnsi"/>
          <w:color w:val="auto"/>
        </w:rPr>
      </w:pPr>
      <w:r w:rsidRPr="00655FC7">
        <w:rPr>
          <w:rFonts w:cstheme="minorHAnsi"/>
          <w:color w:val="auto"/>
        </w:rPr>
        <w:lastRenderedPageBreak/>
        <w:t xml:space="preserve">Zadaniem ewaluacji jest sprawdzenie, czy w wyniku podejmowanych działań powstały spodziewane rezultaty </w:t>
      </w:r>
      <w:r w:rsidR="00E3035C" w:rsidRPr="00655FC7">
        <w:rPr>
          <w:rFonts w:cstheme="minorHAnsi"/>
          <w:color w:val="auto"/>
        </w:rPr>
        <w:t>oraz</w:t>
      </w:r>
      <w:r w:rsidRPr="00655FC7">
        <w:rPr>
          <w:rFonts w:cstheme="minorHAnsi"/>
          <w:color w:val="auto"/>
        </w:rPr>
        <w:t xml:space="preserve"> czy przełożyły się one na realizację wyznaczonego celu nadrzędnego </w:t>
      </w:r>
      <w:r w:rsidR="00F66461" w:rsidRPr="00655FC7">
        <w:rPr>
          <w:rFonts w:cstheme="minorHAnsi"/>
          <w:color w:val="auto"/>
        </w:rPr>
        <w:t>Planu Adaptacji</w:t>
      </w:r>
      <w:r w:rsidRPr="00655FC7">
        <w:rPr>
          <w:rFonts w:cstheme="minorHAnsi"/>
          <w:color w:val="auto"/>
        </w:rPr>
        <w:t>. W procesie ewaluacji wykorzystywane są informacje pochodzące z monitoringu oraz dodatkowe badania ewaluacyjne i wskaźniki kontekstowe. Zestawienie proponowanych wskaźników zaprezentowano w poniższej tabeli – wskaźniki będą podlegać rozwojowi oraz doborze według potrzeb.</w:t>
      </w:r>
      <w:r w:rsidR="00ED4BA5" w:rsidRPr="00655FC7">
        <w:rPr>
          <w:rFonts w:cstheme="minorHAnsi"/>
          <w:color w:val="auto"/>
        </w:rPr>
        <w:t xml:space="preserve"> Przyjęto, </w:t>
      </w:r>
      <w:r w:rsidR="001A3545" w:rsidRPr="00655FC7">
        <w:rPr>
          <w:rFonts w:cstheme="minorHAnsi"/>
          <w:color w:val="auto"/>
        </w:rPr>
        <w:t>że Plan</w:t>
      </w:r>
      <w:r w:rsidR="00ED4BA5" w:rsidRPr="00655FC7">
        <w:rPr>
          <w:rFonts w:cstheme="minorHAnsi"/>
          <w:color w:val="auto"/>
        </w:rPr>
        <w:t xml:space="preserve"> adaptacji ma formułę otwartą, co oznacza, że w przypadku zmian zarówno zewnętrznych, jak i wewnętrznych uwarunkowań społecznych i gospodarczych oraz wykreowania nowych projektów – możliwa będzie jej aktualizacja.</w:t>
      </w:r>
    </w:p>
    <w:p w14:paraId="0E170C50" w14:textId="5C65F56C" w:rsidR="00C3065E" w:rsidRPr="00655FC7" w:rsidRDefault="00ED4BA5" w:rsidP="00ED4BA5">
      <w:pPr>
        <w:tabs>
          <w:tab w:val="left" w:pos="3119"/>
        </w:tabs>
        <w:rPr>
          <w:rFonts w:cstheme="minorHAnsi"/>
          <w:color w:val="auto"/>
        </w:rPr>
      </w:pPr>
      <w:r w:rsidRPr="00655FC7">
        <w:rPr>
          <w:rFonts w:cstheme="minorHAnsi"/>
          <w:color w:val="auto"/>
        </w:rPr>
        <w:t>Ewaluacja ma na celu podnoszenie jakości działań poprzez zwiększenie jej adekwatności, skuteczności, użyteczności, efektywności i trwałości. Ewaluacja Planu będzie prowadzona w celu określenia rzeczywistych efektów zrealizowanych działań.</w:t>
      </w:r>
    </w:p>
    <w:p w14:paraId="254020B2" w14:textId="48B40598" w:rsidR="00C3065E" w:rsidRPr="00655FC7" w:rsidRDefault="00C3065E" w:rsidP="00C3065E">
      <w:pPr>
        <w:tabs>
          <w:tab w:val="left" w:pos="3119"/>
        </w:tabs>
        <w:rPr>
          <w:rFonts w:cstheme="minorHAnsi"/>
          <w:color w:val="auto"/>
        </w:rPr>
      </w:pPr>
      <w:r w:rsidRPr="00655FC7">
        <w:rPr>
          <w:rFonts w:cstheme="minorHAnsi"/>
          <w:color w:val="auto"/>
        </w:rPr>
        <w:t xml:space="preserve">Wnioski płynące z ewaluacji stanowią podstawę aktualizacji zapisów </w:t>
      </w:r>
      <w:r w:rsidR="00F66461" w:rsidRPr="00655FC7">
        <w:rPr>
          <w:rFonts w:cstheme="minorHAnsi"/>
          <w:color w:val="auto"/>
        </w:rPr>
        <w:t>Planu Adaptacji</w:t>
      </w:r>
      <w:r w:rsidRPr="00655FC7">
        <w:rPr>
          <w:rFonts w:cstheme="minorHAnsi"/>
          <w:color w:val="auto"/>
        </w:rPr>
        <w:t xml:space="preserve">. O konieczności aktualizacji zdecyduje </w:t>
      </w:r>
      <w:r w:rsidR="004260D4">
        <w:rPr>
          <w:rFonts w:cstheme="minorHAnsi"/>
          <w:color w:val="auto"/>
        </w:rPr>
        <w:t>Burmistrz Tarnogrodu</w:t>
      </w:r>
      <w:r w:rsidR="00EB2570" w:rsidRPr="00655FC7">
        <w:rPr>
          <w:rFonts w:cstheme="minorHAnsi"/>
          <w:color w:val="auto"/>
        </w:rPr>
        <w:t xml:space="preserve"> </w:t>
      </w:r>
      <w:r w:rsidRPr="00655FC7">
        <w:rPr>
          <w:rFonts w:cstheme="minorHAnsi"/>
          <w:color w:val="auto"/>
        </w:rPr>
        <w:t>na podstawie raportów z</w:t>
      </w:r>
      <w:r w:rsidR="004260D4">
        <w:rPr>
          <w:rFonts w:cstheme="minorHAnsi"/>
          <w:color w:val="auto"/>
        </w:rPr>
        <w:t xml:space="preserve"> </w:t>
      </w:r>
      <w:r w:rsidRPr="00655FC7">
        <w:rPr>
          <w:rFonts w:cstheme="minorHAnsi"/>
          <w:color w:val="auto"/>
        </w:rPr>
        <w:t>monitoringu i ewaluacji.</w:t>
      </w:r>
    </w:p>
    <w:p w14:paraId="6CF0CFD2" w14:textId="77777777" w:rsidR="00F22A78" w:rsidRPr="00655FC7" w:rsidRDefault="00F22A78" w:rsidP="00AA1001">
      <w:pPr>
        <w:pStyle w:val="Legenda"/>
        <w:sectPr w:rsidR="00F22A78" w:rsidRPr="00655FC7" w:rsidSect="006A4AE9">
          <w:headerReference w:type="even" r:id="rId195"/>
          <w:headerReference w:type="default" r:id="rId196"/>
          <w:footerReference w:type="even" r:id="rId197"/>
          <w:footerReference w:type="default" r:id="rId198"/>
          <w:type w:val="continuous"/>
          <w:pgSz w:w="11906" w:h="16838"/>
          <w:pgMar w:top="1418" w:right="1418" w:bottom="1418" w:left="1418" w:header="709" w:footer="709" w:gutter="0"/>
          <w:cols w:space="708"/>
          <w:docGrid w:linePitch="360"/>
        </w:sectPr>
      </w:pPr>
      <w:bookmarkStart w:id="292" w:name="_Toc45188269"/>
    </w:p>
    <w:p w14:paraId="2AB42932" w14:textId="2BC80989" w:rsidR="00F7686A" w:rsidRPr="00655FC7" w:rsidRDefault="006B687C" w:rsidP="009B38BD">
      <w:pPr>
        <w:pStyle w:val="Styltabela"/>
      </w:pPr>
      <w:bookmarkStart w:id="293" w:name="_Toc178846340"/>
      <w:r w:rsidRPr="00655FC7">
        <w:lastRenderedPageBreak/>
        <w:t xml:space="preserve">Tabela </w:t>
      </w:r>
      <w:r w:rsidR="00E833A9">
        <w:fldChar w:fldCharType="begin"/>
      </w:r>
      <w:r w:rsidR="00E833A9">
        <w:instrText xml:space="preserve"> SEQ Tabela \* ARABIC </w:instrText>
      </w:r>
      <w:r w:rsidR="00E833A9">
        <w:fldChar w:fldCharType="separate"/>
      </w:r>
      <w:r w:rsidR="00A654D8">
        <w:rPr>
          <w:noProof/>
        </w:rPr>
        <w:t>34</w:t>
      </w:r>
      <w:r w:rsidR="00E833A9">
        <w:rPr>
          <w:noProof/>
        </w:rPr>
        <w:fldChar w:fldCharType="end"/>
      </w:r>
      <w:r w:rsidRPr="00655FC7">
        <w:t xml:space="preserve">. </w:t>
      </w:r>
      <w:r w:rsidR="00C3065E" w:rsidRPr="00655FC7">
        <w:t xml:space="preserve">Przykładowe wskaźniki osiągnięcia celu nadrzędnego </w:t>
      </w:r>
      <w:r w:rsidR="00F66461" w:rsidRPr="00655FC7">
        <w:t>Planu Adaptacji</w:t>
      </w:r>
      <w:r w:rsidR="00C3065E" w:rsidRPr="00655FC7">
        <w:t xml:space="preserve"> w okresie sprawozdawczym</w:t>
      </w:r>
      <w:bookmarkEnd w:id="292"/>
      <w:r w:rsidR="00C3065E" w:rsidRPr="00655FC7">
        <w:t xml:space="preserve"> – do wykorzystania według potrzeb.</w:t>
      </w:r>
      <w:bookmarkEnd w:id="293"/>
    </w:p>
    <w:tbl>
      <w:tblPr>
        <w:tblStyle w:val="Tabela-MPAaga25"/>
        <w:tblW w:w="14488" w:type="dxa"/>
        <w:tblInd w:w="108" w:type="dxa"/>
        <w:tblLayout w:type="fixed"/>
        <w:tblLook w:val="04A0" w:firstRow="1" w:lastRow="0" w:firstColumn="1" w:lastColumn="0" w:noHBand="0" w:noVBand="1"/>
      </w:tblPr>
      <w:tblGrid>
        <w:gridCol w:w="639"/>
        <w:gridCol w:w="5372"/>
        <w:gridCol w:w="1106"/>
        <w:gridCol w:w="1506"/>
        <w:gridCol w:w="1241"/>
        <w:gridCol w:w="1272"/>
        <w:gridCol w:w="1090"/>
        <w:gridCol w:w="2262"/>
      </w:tblGrid>
      <w:tr w:rsidR="00227773" w:rsidRPr="00227773" w14:paraId="722DBE10" w14:textId="77777777" w:rsidTr="00227773">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000" w:firstRow="0" w:lastRow="0" w:firstColumn="1" w:lastColumn="0" w:oddVBand="0" w:evenVBand="0" w:oddHBand="0" w:evenHBand="0" w:firstRowFirstColumn="0" w:firstRowLastColumn="0" w:lastRowFirstColumn="0" w:lastRowLastColumn="0"/>
            <w:tcW w:w="639" w:type="dxa"/>
            <w:shd w:val="clear" w:color="auto" w:fill="C3E098" w:themeFill="accent1" w:themeFillTint="66"/>
            <w:vAlign w:val="center"/>
          </w:tcPr>
          <w:p w14:paraId="4E749E1E" w14:textId="77777777" w:rsidR="00227773" w:rsidRPr="00227773" w:rsidRDefault="00227773" w:rsidP="00227773">
            <w:pPr>
              <w:tabs>
                <w:tab w:val="left" w:pos="3119"/>
              </w:tabs>
              <w:autoSpaceDE w:val="0"/>
              <w:autoSpaceDN w:val="0"/>
              <w:adjustRightInd w:val="0"/>
              <w:ind w:firstLine="0"/>
              <w:jc w:val="center"/>
              <w:rPr>
                <w:rFonts w:asciiTheme="minorHAnsi" w:eastAsia="Calibri" w:hAnsiTheme="minorHAnsi" w:cstheme="minorHAnsi"/>
                <w:color w:val="auto"/>
                <w:szCs w:val="20"/>
                <w:lang w:eastAsia="pl-PL"/>
              </w:rPr>
            </w:pPr>
            <w:r w:rsidRPr="00227773">
              <w:rPr>
                <w:rFonts w:asciiTheme="minorHAnsi" w:eastAsia="Calibri" w:hAnsiTheme="minorHAnsi" w:cstheme="minorHAnsi"/>
                <w:color w:val="auto"/>
                <w:szCs w:val="20"/>
                <w:lang w:eastAsia="pl-PL"/>
              </w:rPr>
              <w:t>Lp.</w:t>
            </w:r>
          </w:p>
        </w:tc>
        <w:tc>
          <w:tcPr>
            <w:tcW w:w="5372" w:type="dxa"/>
            <w:shd w:val="clear" w:color="auto" w:fill="C3E098" w:themeFill="accent1" w:themeFillTint="66"/>
            <w:vAlign w:val="center"/>
          </w:tcPr>
          <w:p w14:paraId="6AE2BFB6" w14:textId="77777777" w:rsidR="00227773" w:rsidRPr="00227773" w:rsidRDefault="00227773" w:rsidP="00227773">
            <w:pPr>
              <w:tabs>
                <w:tab w:val="left" w:pos="3119"/>
              </w:tabs>
              <w:autoSpaceDE w:val="0"/>
              <w:autoSpaceDN w:val="0"/>
              <w:adjustRightInd w:val="0"/>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color w:val="auto"/>
                <w:szCs w:val="20"/>
                <w:lang w:eastAsia="pl-PL"/>
              </w:rPr>
            </w:pPr>
            <w:r w:rsidRPr="00227773">
              <w:rPr>
                <w:rFonts w:asciiTheme="minorHAnsi" w:eastAsia="Calibri" w:hAnsiTheme="minorHAnsi" w:cstheme="minorHAnsi"/>
                <w:color w:val="auto"/>
                <w:szCs w:val="20"/>
                <w:lang w:eastAsia="pl-PL"/>
              </w:rPr>
              <w:t>Mierniki i wskaźniki</w:t>
            </w:r>
          </w:p>
        </w:tc>
        <w:tc>
          <w:tcPr>
            <w:tcW w:w="1106" w:type="dxa"/>
            <w:shd w:val="clear" w:color="auto" w:fill="C3E098" w:themeFill="accent1" w:themeFillTint="66"/>
            <w:vAlign w:val="center"/>
          </w:tcPr>
          <w:p w14:paraId="5140EA62" w14:textId="670F7D0F" w:rsidR="00227773" w:rsidRPr="00227773" w:rsidRDefault="00227773" w:rsidP="00227773">
            <w:pPr>
              <w:tabs>
                <w:tab w:val="left" w:pos="3119"/>
              </w:tabs>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Cs w:val="20"/>
              </w:rPr>
            </w:pPr>
            <w:r w:rsidRPr="00227773">
              <w:rPr>
                <w:rFonts w:asciiTheme="minorHAnsi" w:hAnsiTheme="minorHAnsi" w:cstheme="minorHAnsi"/>
                <w:color w:val="auto"/>
                <w:szCs w:val="20"/>
              </w:rPr>
              <w:t>Jednostka miary</w:t>
            </w:r>
          </w:p>
        </w:tc>
        <w:tc>
          <w:tcPr>
            <w:tcW w:w="1506" w:type="dxa"/>
            <w:shd w:val="clear" w:color="auto" w:fill="C3E098" w:themeFill="accent1" w:themeFillTint="66"/>
            <w:vAlign w:val="center"/>
          </w:tcPr>
          <w:p w14:paraId="4E488FCC" w14:textId="18C46111" w:rsidR="00227773" w:rsidRPr="00227773" w:rsidRDefault="00227773" w:rsidP="00227773">
            <w:pPr>
              <w:tabs>
                <w:tab w:val="left" w:pos="3119"/>
              </w:tabs>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Cs w:val="20"/>
              </w:rPr>
            </w:pPr>
            <w:r w:rsidRPr="00227773">
              <w:rPr>
                <w:rFonts w:asciiTheme="minorHAnsi" w:hAnsiTheme="minorHAnsi" w:cstheme="minorHAnsi"/>
                <w:color w:val="auto"/>
                <w:szCs w:val="20"/>
              </w:rPr>
              <w:t>Wartość w roku bazowym</w:t>
            </w:r>
          </w:p>
        </w:tc>
        <w:tc>
          <w:tcPr>
            <w:tcW w:w="1241" w:type="dxa"/>
            <w:shd w:val="clear" w:color="auto" w:fill="C3E098" w:themeFill="accent1" w:themeFillTint="66"/>
            <w:vAlign w:val="center"/>
          </w:tcPr>
          <w:p w14:paraId="274D0BF7" w14:textId="77777777" w:rsidR="00227773" w:rsidRPr="00227773" w:rsidRDefault="00227773" w:rsidP="00227773">
            <w:pPr>
              <w:tabs>
                <w:tab w:val="left" w:pos="3119"/>
              </w:tabs>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Cs w:val="20"/>
              </w:rPr>
            </w:pPr>
            <w:r w:rsidRPr="00227773">
              <w:rPr>
                <w:rFonts w:asciiTheme="minorHAnsi" w:hAnsiTheme="minorHAnsi" w:cstheme="minorHAnsi"/>
                <w:color w:val="auto"/>
                <w:szCs w:val="20"/>
              </w:rPr>
              <w:t>Rok bazowy</w:t>
            </w:r>
          </w:p>
        </w:tc>
        <w:tc>
          <w:tcPr>
            <w:tcW w:w="1272" w:type="dxa"/>
            <w:shd w:val="clear" w:color="auto" w:fill="C3E098" w:themeFill="accent1" w:themeFillTint="66"/>
            <w:vAlign w:val="center"/>
          </w:tcPr>
          <w:p w14:paraId="51D0D214" w14:textId="2F1F1A7A" w:rsidR="00227773" w:rsidRPr="00227773" w:rsidRDefault="00227773" w:rsidP="00227773">
            <w:pPr>
              <w:tabs>
                <w:tab w:val="left" w:pos="3119"/>
              </w:tabs>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Cs w:val="20"/>
              </w:rPr>
            </w:pPr>
            <w:r w:rsidRPr="00227773">
              <w:rPr>
                <w:rFonts w:asciiTheme="minorHAnsi" w:hAnsiTheme="minorHAnsi" w:cstheme="minorHAnsi"/>
                <w:color w:val="auto"/>
                <w:szCs w:val="20"/>
              </w:rPr>
              <w:t>Oczekiwany trend</w:t>
            </w:r>
          </w:p>
        </w:tc>
        <w:tc>
          <w:tcPr>
            <w:tcW w:w="1090" w:type="dxa"/>
            <w:shd w:val="clear" w:color="auto" w:fill="C3E098" w:themeFill="accent1" w:themeFillTint="66"/>
            <w:vAlign w:val="center"/>
          </w:tcPr>
          <w:p w14:paraId="531830D1" w14:textId="77777777" w:rsidR="00227773" w:rsidRPr="00227773" w:rsidRDefault="00227773" w:rsidP="00227773">
            <w:pPr>
              <w:tabs>
                <w:tab w:val="left" w:pos="3119"/>
              </w:tabs>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Cs w:val="20"/>
              </w:rPr>
            </w:pPr>
            <w:r w:rsidRPr="00227773">
              <w:rPr>
                <w:rFonts w:asciiTheme="minorHAnsi" w:hAnsiTheme="minorHAnsi" w:cstheme="minorHAnsi"/>
                <w:color w:val="auto"/>
                <w:szCs w:val="20"/>
              </w:rPr>
              <w:t>Rok docelowy</w:t>
            </w:r>
          </w:p>
        </w:tc>
        <w:tc>
          <w:tcPr>
            <w:tcW w:w="2262" w:type="dxa"/>
            <w:shd w:val="clear" w:color="auto" w:fill="C3E098" w:themeFill="accent1" w:themeFillTint="66"/>
            <w:vAlign w:val="center"/>
          </w:tcPr>
          <w:p w14:paraId="62159CD0" w14:textId="77777777" w:rsidR="00227773" w:rsidRPr="00227773" w:rsidRDefault="00227773" w:rsidP="00227773">
            <w:pPr>
              <w:tabs>
                <w:tab w:val="left" w:pos="3119"/>
              </w:tabs>
              <w:spacing w:before="40" w:after="40"/>
              <w:ind w:firstLine="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auto"/>
                <w:szCs w:val="20"/>
              </w:rPr>
            </w:pPr>
            <w:r w:rsidRPr="00227773">
              <w:rPr>
                <w:rFonts w:asciiTheme="minorHAnsi" w:hAnsiTheme="minorHAnsi" w:cstheme="minorHAnsi"/>
                <w:color w:val="auto"/>
                <w:szCs w:val="20"/>
              </w:rPr>
              <w:t>Źródło danych</w:t>
            </w:r>
          </w:p>
        </w:tc>
      </w:tr>
      <w:tr w:rsidR="00227773" w:rsidRPr="00227773" w14:paraId="7CF2FCBF" w14:textId="77777777" w:rsidTr="0022777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488" w:type="dxa"/>
            <w:gridSpan w:val="8"/>
            <w:shd w:val="clear" w:color="auto" w:fill="E0F0BD" w:themeFill="text2" w:themeFillTint="33"/>
            <w:vAlign w:val="center"/>
          </w:tcPr>
          <w:p w14:paraId="5CCBD614" w14:textId="1C24D8CA" w:rsidR="00227773" w:rsidRPr="00227773" w:rsidRDefault="00227773" w:rsidP="00227773">
            <w:pPr>
              <w:tabs>
                <w:tab w:val="left" w:pos="3119"/>
              </w:tabs>
              <w:ind w:firstLine="0"/>
              <w:jc w:val="center"/>
              <w:rPr>
                <w:rFonts w:asciiTheme="minorHAnsi" w:hAnsiTheme="minorHAnsi" w:cstheme="minorHAnsi"/>
                <w:color w:val="auto"/>
                <w:szCs w:val="20"/>
              </w:rPr>
            </w:pPr>
            <w:r w:rsidRPr="00227773">
              <w:rPr>
                <w:rFonts w:asciiTheme="minorHAnsi" w:hAnsiTheme="minorHAnsi" w:cstheme="minorHAnsi"/>
                <w:color w:val="auto"/>
                <w:szCs w:val="20"/>
              </w:rPr>
              <w:t>Obszar zieleń</w:t>
            </w:r>
          </w:p>
        </w:tc>
      </w:tr>
      <w:tr w:rsidR="00227773" w:rsidRPr="00227773" w14:paraId="66817D77" w14:textId="77777777" w:rsidTr="00227773">
        <w:trPr>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10D72C0B" w14:textId="77777777" w:rsidR="00227773" w:rsidRPr="00227773" w:rsidRDefault="00227773">
            <w:pPr>
              <w:numPr>
                <w:ilvl w:val="0"/>
                <w:numId w:val="27"/>
              </w:numPr>
              <w:tabs>
                <w:tab w:val="left" w:pos="3119"/>
              </w:tabs>
              <w:autoSpaceDE w:val="0"/>
              <w:autoSpaceDN w:val="0"/>
              <w:adjustRightInd w:val="0"/>
              <w:ind w:left="142" w:firstLine="0"/>
              <w:contextualSpacing/>
              <w:jc w:val="center"/>
              <w:rPr>
                <w:rFonts w:asciiTheme="minorHAnsi" w:eastAsia="Calibri" w:hAnsiTheme="minorHAnsi" w:cstheme="minorHAnsi"/>
                <w:color w:val="auto"/>
                <w:szCs w:val="20"/>
                <w:lang w:eastAsia="pl-PL"/>
              </w:rPr>
            </w:pPr>
          </w:p>
        </w:tc>
        <w:tc>
          <w:tcPr>
            <w:tcW w:w="5372" w:type="dxa"/>
            <w:shd w:val="clear" w:color="auto" w:fill="auto"/>
            <w:vAlign w:val="center"/>
          </w:tcPr>
          <w:p w14:paraId="2D135D58" w14:textId="0560B874" w:rsidR="00227773" w:rsidRPr="00227773" w:rsidRDefault="00227773" w:rsidP="00227773">
            <w:pPr>
              <w:tabs>
                <w:tab w:val="left" w:pos="3119"/>
              </w:tabs>
              <w:autoSpaceDE w:val="0"/>
              <w:autoSpaceDN w:val="0"/>
              <w:adjustRightInd w:val="0"/>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Udział terenów zieleni w urządzonej w powierzchni</w:t>
            </w:r>
          </w:p>
          <w:p w14:paraId="29C150D4" w14:textId="5AF0CBFD" w:rsidR="00227773" w:rsidRPr="00227773" w:rsidRDefault="00227773" w:rsidP="00227773">
            <w:pPr>
              <w:tabs>
                <w:tab w:val="left" w:pos="3119"/>
              </w:tabs>
              <w:autoSpaceDE w:val="0"/>
              <w:autoSpaceDN w:val="0"/>
              <w:adjustRightInd w:val="0"/>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ogólnej miasta</w:t>
            </w:r>
          </w:p>
        </w:tc>
        <w:tc>
          <w:tcPr>
            <w:tcW w:w="1106" w:type="dxa"/>
            <w:shd w:val="clear" w:color="auto" w:fill="auto"/>
            <w:vAlign w:val="center"/>
          </w:tcPr>
          <w:p w14:paraId="4F5C1E19" w14:textId="74971B7F" w:rsidR="00227773" w:rsidRPr="00227773" w:rsidRDefault="00227773" w:rsidP="00227773">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227773">
              <w:rPr>
                <w:rFonts w:cstheme="minorHAnsi"/>
                <w:color w:val="auto"/>
                <w:szCs w:val="20"/>
              </w:rPr>
              <w:t>%</w:t>
            </w:r>
          </w:p>
        </w:tc>
        <w:tc>
          <w:tcPr>
            <w:tcW w:w="1506" w:type="dxa"/>
            <w:shd w:val="clear" w:color="auto" w:fill="auto"/>
            <w:vAlign w:val="center"/>
          </w:tcPr>
          <w:p w14:paraId="78469CA5" w14:textId="12E0A665" w:rsidR="00227773" w:rsidRPr="00227773" w:rsidRDefault="00227773" w:rsidP="00227773">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227773">
              <w:rPr>
                <w:rFonts w:cstheme="minorHAnsi"/>
                <w:color w:val="auto"/>
                <w:szCs w:val="20"/>
              </w:rPr>
              <w:t>13,13</w:t>
            </w:r>
          </w:p>
        </w:tc>
        <w:tc>
          <w:tcPr>
            <w:tcW w:w="1241" w:type="dxa"/>
            <w:shd w:val="clear" w:color="auto" w:fill="auto"/>
            <w:vAlign w:val="center"/>
          </w:tcPr>
          <w:p w14:paraId="03FA0279" w14:textId="77777777" w:rsidR="00227773" w:rsidRPr="00227773" w:rsidRDefault="00227773" w:rsidP="00227773">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227773">
              <w:rPr>
                <w:rFonts w:cstheme="minorHAnsi"/>
                <w:color w:val="auto"/>
                <w:szCs w:val="20"/>
              </w:rPr>
              <w:t>2021</w:t>
            </w:r>
          </w:p>
        </w:tc>
        <w:tc>
          <w:tcPr>
            <w:tcW w:w="1272" w:type="dxa"/>
            <w:shd w:val="clear" w:color="auto" w:fill="auto"/>
            <w:vAlign w:val="center"/>
          </w:tcPr>
          <w:p w14:paraId="293D7C7A" w14:textId="6A356538" w:rsidR="00227773" w:rsidRPr="00227773" w:rsidRDefault="00227773" w:rsidP="00227773">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w:t>
            </w:r>
          </w:p>
        </w:tc>
        <w:tc>
          <w:tcPr>
            <w:tcW w:w="1090" w:type="dxa"/>
            <w:shd w:val="clear" w:color="auto" w:fill="auto"/>
            <w:vAlign w:val="center"/>
          </w:tcPr>
          <w:p w14:paraId="36DD27B7" w14:textId="5BC55921" w:rsidR="00227773" w:rsidRPr="00227773" w:rsidRDefault="00227773" w:rsidP="00227773">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2030</w:t>
            </w:r>
          </w:p>
        </w:tc>
        <w:tc>
          <w:tcPr>
            <w:tcW w:w="2262" w:type="dxa"/>
            <w:shd w:val="clear" w:color="auto" w:fill="auto"/>
            <w:vAlign w:val="center"/>
          </w:tcPr>
          <w:p w14:paraId="5D4977B0" w14:textId="570E2B48" w:rsidR="00227773" w:rsidRPr="00227773" w:rsidRDefault="004B5C8C" w:rsidP="00227773">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GUS</w:t>
            </w:r>
          </w:p>
        </w:tc>
      </w:tr>
      <w:tr w:rsidR="004B5C8C" w:rsidRPr="00227773" w14:paraId="07B5A692" w14:textId="77777777" w:rsidTr="0022777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24044A0B" w14:textId="77777777" w:rsidR="004B5C8C" w:rsidRPr="00227773" w:rsidRDefault="004B5C8C" w:rsidP="004B5C8C">
            <w:pPr>
              <w:numPr>
                <w:ilvl w:val="0"/>
                <w:numId w:val="27"/>
              </w:numPr>
              <w:tabs>
                <w:tab w:val="left" w:pos="3119"/>
              </w:tabs>
              <w:autoSpaceDE w:val="0"/>
              <w:autoSpaceDN w:val="0"/>
              <w:adjustRightInd w:val="0"/>
              <w:ind w:left="142" w:firstLine="0"/>
              <w:contextualSpacing/>
              <w:jc w:val="center"/>
              <w:rPr>
                <w:rFonts w:asciiTheme="minorHAnsi" w:eastAsia="Calibri" w:hAnsiTheme="minorHAnsi" w:cstheme="minorHAnsi"/>
                <w:color w:val="auto"/>
                <w:szCs w:val="20"/>
                <w:lang w:eastAsia="pl-PL"/>
              </w:rPr>
            </w:pPr>
          </w:p>
        </w:tc>
        <w:tc>
          <w:tcPr>
            <w:tcW w:w="5372" w:type="dxa"/>
            <w:shd w:val="clear" w:color="auto" w:fill="auto"/>
            <w:vAlign w:val="center"/>
          </w:tcPr>
          <w:p w14:paraId="53994BCE" w14:textId="77777777" w:rsidR="004B5C8C" w:rsidRPr="00227773" w:rsidRDefault="004B5C8C" w:rsidP="004B5C8C">
            <w:pPr>
              <w:tabs>
                <w:tab w:val="left" w:pos="3119"/>
              </w:tabs>
              <w:autoSpaceDE w:val="0"/>
              <w:autoSpaceDN w:val="0"/>
              <w:adjustRightInd w:val="0"/>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Obiekty oparte na przyrodzie (NBS) na omawianym terenie</w:t>
            </w:r>
          </w:p>
        </w:tc>
        <w:tc>
          <w:tcPr>
            <w:tcW w:w="1106" w:type="dxa"/>
            <w:shd w:val="clear" w:color="auto" w:fill="auto"/>
            <w:vAlign w:val="center"/>
          </w:tcPr>
          <w:p w14:paraId="1AAE307F" w14:textId="6406CC3F" w:rsidR="004B5C8C" w:rsidRPr="00227773" w:rsidRDefault="004B5C8C" w:rsidP="004B5C8C">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szt.</w:t>
            </w:r>
          </w:p>
        </w:tc>
        <w:tc>
          <w:tcPr>
            <w:tcW w:w="1506" w:type="dxa"/>
            <w:shd w:val="clear" w:color="auto" w:fill="auto"/>
            <w:vAlign w:val="center"/>
          </w:tcPr>
          <w:p w14:paraId="3AFE0670" w14:textId="1BFB81C5" w:rsidR="004B5C8C" w:rsidRPr="00227773" w:rsidRDefault="004B5C8C" w:rsidP="004B5C8C">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3</w:t>
            </w:r>
          </w:p>
        </w:tc>
        <w:tc>
          <w:tcPr>
            <w:tcW w:w="1241" w:type="dxa"/>
            <w:shd w:val="clear" w:color="auto" w:fill="auto"/>
            <w:vAlign w:val="center"/>
          </w:tcPr>
          <w:p w14:paraId="2E59392B" w14:textId="77777777" w:rsidR="004B5C8C" w:rsidRPr="00227773" w:rsidRDefault="004B5C8C" w:rsidP="004B5C8C">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2022</w:t>
            </w:r>
          </w:p>
        </w:tc>
        <w:tc>
          <w:tcPr>
            <w:tcW w:w="1272" w:type="dxa"/>
            <w:shd w:val="clear" w:color="auto" w:fill="auto"/>
            <w:vAlign w:val="center"/>
          </w:tcPr>
          <w:p w14:paraId="2FF2F1ED" w14:textId="3FF3020C" w:rsidR="004B5C8C" w:rsidRPr="00227773" w:rsidRDefault="004B5C8C" w:rsidP="004B5C8C">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w:t>
            </w:r>
          </w:p>
        </w:tc>
        <w:tc>
          <w:tcPr>
            <w:tcW w:w="1090" w:type="dxa"/>
            <w:shd w:val="clear" w:color="auto" w:fill="auto"/>
            <w:vAlign w:val="center"/>
          </w:tcPr>
          <w:p w14:paraId="1637D9A2" w14:textId="06E65CF6" w:rsidR="004B5C8C" w:rsidRPr="00227773" w:rsidRDefault="004B5C8C" w:rsidP="004B5C8C">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2030</w:t>
            </w:r>
          </w:p>
        </w:tc>
        <w:tc>
          <w:tcPr>
            <w:tcW w:w="2262" w:type="dxa"/>
            <w:shd w:val="clear" w:color="auto" w:fill="auto"/>
            <w:vAlign w:val="center"/>
          </w:tcPr>
          <w:p w14:paraId="77A4C8BB" w14:textId="734D6209" w:rsidR="004B5C8C" w:rsidRPr="00227773" w:rsidRDefault="004B5C8C" w:rsidP="004B5C8C">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Pr>
                <w:rFonts w:cstheme="minorHAnsi"/>
                <w:bCs/>
                <w:color w:val="auto"/>
                <w:szCs w:val="20"/>
              </w:rPr>
              <w:t>Urząd miejski w Tarnogrodzie</w:t>
            </w:r>
          </w:p>
        </w:tc>
      </w:tr>
      <w:tr w:rsidR="004B5C8C" w:rsidRPr="00227773" w14:paraId="0C4277C1" w14:textId="77777777" w:rsidTr="00227773">
        <w:trPr>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5EC3F372" w14:textId="77777777" w:rsidR="004B5C8C" w:rsidRPr="00227773" w:rsidRDefault="004B5C8C" w:rsidP="004B5C8C">
            <w:pPr>
              <w:numPr>
                <w:ilvl w:val="0"/>
                <w:numId w:val="27"/>
              </w:numPr>
              <w:tabs>
                <w:tab w:val="left" w:pos="3119"/>
              </w:tabs>
              <w:autoSpaceDE w:val="0"/>
              <w:autoSpaceDN w:val="0"/>
              <w:adjustRightInd w:val="0"/>
              <w:ind w:left="142" w:firstLine="0"/>
              <w:contextualSpacing/>
              <w:jc w:val="center"/>
              <w:rPr>
                <w:rFonts w:asciiTheme="minorHAnsi" w:eastAsia="Calibri" w:hAnsiTheme="minorHAnsi" w:cstheme="minorHAnsi"/>
                <w:color w:val="auto"/>
                <w:szCs w:val="20"/>
                <w:lang w:eastAsia="pl-PL"/>
              </w:rPr>
            </w:pPr>
          </w:p>
        </w:tc>
        <w:tc>
          <w:tcPr>
            <w:tcW w:w="5372" w:type="dxa"/>
            <w:shd w:val="clear" w:color="auto" w:fill="auto"/>
            <w:vAlign w:val="center"/>
          </w:tcPr>
          <w:p w14:paraId="1E5F5666" w14:textId="014CD5D1" w:rsidR="004B5C8C" w:rsidRPr="00227773" w:rsidRDefault="004B5C8C" w:rsidP="004B5C8C">
            <w:pPr>
              <w:tabs>
                <w:tab w:val="left" w:pos="3119"/>
              </w:tabs>
              <w:autoSpaceDE w:val="0"/>
              <w:autoSpaceDN w:val="0"/>
              <w:adjustRightInd w:val="0"/>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Pr>
                <w:rFonts w:cstheme="minorHAnsi"/>
                <w:bCs/>
                <w:color w:val="auto"/>
                <w:szCs w:val="20"/>
              </w:rPr>
              <w:t>Ilość obiektów zieleni nieuporządkowanej</w:t>
            </w:r>
          </w:p>
        </w:tc>
        <w:tc>
          <w:tcPr>
            <w:tcW w:w="1106" w:type="dxa"/>
            <w:shd w:val="clear" w:color="auto" w:fill="auto"/>
            <w:vAlign w:val="center"/>
          </w:tcPr>
          <w:p w14:paraId="0716FDEB" w14:textId="73D6897D" w:rsidR="004B5C8C" w:rsidRPr="00227773" w:rsidRDefault="004B5C8C" w:rsidP="004B5C8C">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227773">
              <w:rPr>
                <w:rFonts w:cstheme="minorHAnsi"/>
                <w:color w:val="auto"/>
                <w:szCs w:val="20"/>
              </w:rPr>
              <w:t>szt.</w:t>
            </w:r>
          </w:p>
        </w:tc>
        <w:tc>
          <w:tcPr>
            <w:tcW w:w="1506" w:type="dxa"/>
            <w:shd w:val="clear" w:color="auto" w:fill="auto"/>
            <w:vAlign w:val="center"/>
          </w:tcPr>
          <w:p w14:paraId="4A8255CE" w14:textId="27872805" w:rsidR="004B5C8C" w:rsidRPr="00227773" w:rsidRDefault="004B5C8C" w:rsidP="004B5C8C">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227773">
              <w:rPr>
                <w:rFonts w:cstheme="minorHAnsi"/>
                <w:color w:val="auto"/>
                <w:szCs w:val="20"/>
              </w:rPr>
              <w:t>0</w:t>
            </w:r>
          </w:p>
        </w:tc>
        <w:tc>
          <w:tcPr>
            <w:tcW w:w="1241" w:type="dxa"/>
            <w:shd w:val="clear" w:color="auto" w:fill="auto"/>
            <w:vAlign w:val="center"/>
          </w:tcPr>
          <w:p w14:paraId="1AE179DC" w14:textId="77777777" w:rsidR="004B5C8C" w:rsidRPr="00227773" w:rsidRDefault="004B5C8C" w:rsidP="004B5C8C">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227773">
              <w:rPr>
                <w:rFonts w:cstheme="minorHAnsi"/>
                <w:color w:val="auto"/>
                <w:szCs w:val="20"/>
              </w:rPr>
              <w:t>2022</w:t>
            </w:r>
          </w:p>
        </w:tc>
        <w:tc>
          <w:tcPr>
            <w:tcW w:w="1272" w:type="dxa"/>
            <w:shd w:val="clear" w:color="auto" w:fill="auto"/>
            <w:vAlign w:val="center"/>
          </w:tcPr>
          <w:p w14:paraId="570CAA10" w14:textId="737C2E54" w:rsidR="004B5C8C" w:rsidRPr="00227773" w:rsidRDefault="004B5C8C" w:rsidP="004B5C8C">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w:t>
            </w:r>
          </w:p>
        </w:tc>
        <w:tc>
          <w:tcPr>
            <w:tcW w:w="1090" w:type="dxa"/>
            <w:shd w:val="clear" w:color="auto" w:fill="auto"/>
            <w:vAlign w:val="center"/>
          </w:tcPr>
          <w:p w14:paraId="1BE50A0C" w14:textId="79475167" w:rsidR="004B5C8C" w:rsidRPr="00227773" w:rsidRDefault="004B5C8C" w:rsidP="004B5C8C">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2030</w:t>
            </w:r>
          </w:p>
        </w:tc>
        <w:tc>
          <w:tcPr>
            <w:tcW w:w="2262" w:type="dxa"/>
            <w:shd w:val="clear" w:color="auto" w:fill="auto"/>
            <w:vAlign w:val="center"/>
          </w:tcPr>
          <w:p w14:paraId="3CBF26DB" w14:textId="7AB6F8CA" w:rsidR="004B5C8C" w:rsidRPr="00227773" w:rsidRDefault="004B5C8C" w:rsidP="004B5C8C">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Pr>
                <w:rFonts w:cstheme="minorHAnsi"/>
                <w:bCs/>
                <w:color w:val="auto"/>
                <w:szCs w:val="20"/>
              </w:rPr>
              <w:t>Urząd miejski w Tarnogrodzie</w:t>
            </w:r>
          </w:p>
        </w:tc>
      </w:tr>
      <w:tr w:rsidR="004B5C8C" w:rsidRPr="00227773" w14:paraId="06CAFA83" w14:textId="77777777" w:rsidTr="0022777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219D5967" w14:textId="77777777" w:rsidR="004B5C8C" w:rsidRPr="00227773" w:rsidRDefault="004B5C8C" w:rsidP="004B5C8C">
            <w:pPr>
              <w:numPr>
                <w:ilvl w:val="0"/>
                <w:numId w:val="27"/>
              </w:numPr>
              <w:tabs>
                <w:tab w:val="left" w:pos="3119"/>
              </w:tabs>
              <w:autoSpaceDE w:val="0"/>
              <w:autoSpaceDN w:val="0"/>
              <w:adjustRightInd w:val="0"/>
              <w:ind w:left="142" w:firstLine="0"/>
              <w:contextualSpacing/>
              <w:jc w:val="center"/>
              <w:rPr>
                <w:rFonts w:eastAsia="Calibri" w:cstheme="minorHAnsi"/>
                <w:color w:val="auto"/>
                <w:szCs w:val="20"/>
                <w:lang w:eastAsia="pl-PL"/>
              </w:rPr>
            </w:pPr>
          </w:p>
        </w:tc>
        <w:tc>
          <w:tcPr>
            <w:tcW w:w="5372" w:type="dxa"/>
            <w:shd w:val="clear" w:color="auto" w:fill="auto"/>
            <w:vAlign w:val="center"/>
          </w:tcPr>
          <w:p w14:paraId="2C7B96C4" w14:textId="5A5DA224" w:rsidR="004B5C8C" w:rsidRDefault="004B5C8C" w:rsidP="004B5C8C">
            <w:pPr>
              <w:tabs>
                <w:tab w:val="left" w:pos="3119"/>
              </w:tabs>
              <w:autoSpaceDE w:val="0"/>
              <w:autoSpaceDN w:val="0"/>
              <w:adjustRightInd w:val="0"/>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Pr>
                <w:rFonts w:cstheme="minorHAnsi"/>
                <w:bCs/>
                <w:color w:val="auto"/>
                <w:szCs w:val="20"/>
              </w:rPr>
              <w:t>Ilość naturalnych siedlisk na obszarach rolniczych</w:t>
            </w:r>
          </w:p>
        </w:tc>
        <w:tc>
          <w:tcPr>
            <w:tcW w:w="1106" w:type="dxa"/>
            <w:shd w:val="clear" w:color="auto" w:fill="auto"/>
            <w:vAlign w:val="center"/>
          </w:tcPr>
          <w:p w14:paraId="1C53A895" w14:textId="740A7580" w:rsidR="004B5C8C" w:rsidRPr="00227773" w:rsidRDefault="004B5C8C" w:rsidP="004B5C8C">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Pr>
                <w:rFonts w:cstheme="minorHAnsi"/>
                <w:color w:val="auto"/>
                <w:szCs w:val="20"/>
              </w:rPr>
              <w:t>szt.</w:t>
            </w:r>
          </w:p>
        </w:tc>
        <w:tc>
          <w:tcPr>
            <w:tcW w:w="1506" w:type="dxa"/>
            <w:shd w:val="clear" w:color="auto" w:fill="auto"/>
            <w:vAlign w:val="center"/>
          </w:tcPr>
          <w:p w14:paraId="50772BA1" w14:textId="1790D152" w:rsidR="004B5C8C" w:rsidRPr="00227773" w:rsidRDefault="004B5C8C" w:rsidP="004B5C8C">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Pr>
                <w:rFonts w:cstheme="minorHAnsi"/>
                <w:color w:val="auto"/>
                <w:szCs w:val="20"/>
              </w:rPr>
              <w:t>0</w:t>
            </w:r>
          </w:p>
        </w:tc>
        <w:tc>
          <w:tcPr>
            <w:tcW w:w="1241" w:type="dxa"/>
            <w:shd w:val="clear" w:color="auto" w:fill="auto"/>
            <w:vAlign w:val="center"/>
          </w:tcPr>
          <w:p w14:paraId="06D18E9E" w14:textId="22865104" w:rsidR="004B5C8C" w:rsidRPr="00227773" w:rsidRDefault="004B5C8C" w:rsidP="004B5C8C">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Pr>
                <w:rFonts w:cstheme="minorHAnsi"/>
                <w:color w:val="auto"/>
                <w:szCs w:val="20"/>
              </w:rPr>
              <w:t>2022</w:t>
            </w:r>
          </w:p>
        </w:tc>
        <w:tc>
          <w:tcPr>
            <w:tcW w:w="1272" w:type="dxa"/>
            <w:shd w:val="clear" w:color="auto" w:fill="auto"/>
            <w:vAlign w:val="center"/>
          </w:tcPr>
          <w:p w14:paraId="3058EFAF" w14:textId="16F987C7" w:rsidR="004B5C8C" w:rsidRPr="00227773" w:rsidRDefault="004B5C8C" w:rsidP="004B5C8C">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w:t>
            </w:r>
          </w:p>
        </w:tc>
        <w:tc>
          <w:tcPr>
            <w:tcW w:w="1090" w:type="dxa"/>
            <w:shd w:val="clear" w:color="auto" w:fill="auto"/>
            <w:vAlign w:val="center"/>
          </w:tcPr>
          <w:p w14:paraId="5EEFCD76" w14:textId="7DDA9436" w:rsidR="004B5C8C" w:rsidRPr="00227773" w:rsidRDefault="004B5C8C" w:rsidP="004B5C8C">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2030</w:t>
            </w:r>
          </w:p>
        </w:tc>
        <w:tc>
          <w:tcPr>
            <w:tcW w:w="2262" w:type="dxa"/>
            <w:shd w:val="clear" w:color="auto" w:fill="auto"/>
            <w:vAlign w:val="center"/>
          </w:tcPr>
          <w:p w14:paraId="30AA0D3F" w14:textId="58735198" w:rsidR="004B5C8C" w:rsidRPr="00227773" w:rsidRDefault="004B5C8C" w:rsidP="004B5C8C">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Pr>
                <w:rFonts w:cstheme="minorHAnsi"/>
                <w:bCs/>
                <w:color w:val="auto"/>
                <w:szCs w:val="20"/>
              </w:rPr>
              <w:t>Urząd miejski w Tarnogrodzie</w:t>
            </w:r>
          </w:p>
        </w:tc>
      </w:tr>
      <w:tr w:rsidR="00227773" w:rsidRPr="00227773" w14:paraId="5D35073A" w14:textId="77777777" w:rsidTr="00227773">
        <w:trPr>
          <w:trHeight w:val="567"/>
        </w:trPr>
        <w:tc>
          <w:tcPr>
            <w:cnfStyle w:val="001000000000" w:firstRow="0" w:lastRow="0" w:firstColumn="1" w:lastColumn="0" w:oddVBand="0" w:evenVBand="0" w:oddHBand="0" w:evenHBand="0" w:firstRowFirstColumn="0" w:firstRowLastColumn="0" w:lastRowFirstColumn="0" w:lastRowLastColumn="0"/>
            <w:tcW w:w="14488" w:type="dxa"/>
            <w:gridSpan w:val="8"/>
            <w:shd w:val="clear" w:color="auto" w:fill="E0F0BD" w:themeFill="text2" w:themeFillTint="33"/>
            <w:vAlign w:val="center"/>
          </w:tcPr>
          <w:p w14:paraId="65FBB3EF" w14:textId="7D969BCB" w:rsidR="00227773" w:rsidRPr="00227773" w:rsidRDefault="00227773" w:rsidP="00227773">
            <w:pPr>
              <w:tabs>
                <w:tab w:val="left" w:pos="3119"/>
              </w:tabs>
              <w:ind w:firstLine="0"/>
              <w:jc w:val="center"/>
              <w:rPr>
                <w:rFonts w:asciiTheme="minorHAnsi" w:hAnsiTheme="minorHAnsi" w:cstheme="minorHAnsi"/>
                <w:color w:val="auto"/>
                <w:szCs w:val="20"/>
              </w:rPr>
            </w:pPr>
            <w:r>
              <w:rPr>
                <w:rFonts w:asciiTheme="minorHAnsi" w:hAnsiTheme="minorHAnsi" w:cstheme="minorHAnsi"/>
                <w:color w:val="auto"/>
                <w:szCs w:val="20"/>
              </w:rPr>
              <w:t>Obszar retencja</w:t>
            </w:r>
          </w:p>
        </w:tc>
      </w:tr>
      <w:tr w:rsidR="00227773" w:rsidRPr="00227773" w14:paraId="311B1692" w14:textId="77777777" w:rsidTr="0022777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4362FA38" w14:textId="77777777" w:rsidR="00227773" w:rsidRPr="00227773" w:rsidRDefault="00227773">
            <w:pPr>
              <w:numPr>
                <w:ilvl w:val="0"/>
                <w:numId w:val="27"/>
              </w:numPr>
              <w:tabs>
                <w:tab w:val="left" w:pos="3119"/>
              </w:tabs>
              <w:autoSpaceDE w:val="0"/>
              <w:autoSpaceDN w:val="0"/>
              <w:adjustRightInd w:val="0"/>
              <w:ind w:left="142" w:firstLine="0"/>
              <w:contextualSpacing/>
              <w:jc w:val="center"/>
              <w:rPr>
                <w:rFonts w:asciiTheme="minorHAnsi" w:eastAsia="Calibri" w:hAnsiTheme="minorHAnsi" w:cstheme="minorHAnsi"/>
                <w:color w:val="auto"/>
                <w:szCs w:val="20"/>
                <w:lang w:eastAsia="pl-PL"/>
              </w:rPr>
            </w:pPr>
          </w:p>
        </w:tc>
        <w:tc>
          <w:tcPr>
            <w:tcW w:w="5372" w:type="dxa"/>
            <w:shd w:val="clear" w:color="auto" w:fill="auto"/>
            <w:vAlign w:val="center"/>
          </w:tcPr>
          <w:p w14:paraId="472610DB" w14:textId="77777777" w:rsidR="00227773" w:rsidRPr="00227773" w:rsidRDefault="00227773" w:rsidP="00227773">
            <w:pPr>
              <w:tabs>
                <w:tab w:val="left" w:pos="3119"/>
              </w:tabs>
              <w:autoSpaceDE w:val="0"/>
              <w:autoSpaceDN w:val="0"/>
              <w:adjustRightInd w:val="0"/>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Korzystający z sieci wodociągowej instalacji w % ogółu ludności</w:t>
            </w:r>
          </w:p>
        </w:tc>
        <w:tc>
          <w:tcPr>
            <w:tcW w:w="1106" w:type="dxa"/>
            <w:shd w:val="clear" w:color="auto" w:fill="auto"/>
            <w:vAlign w:val="center"/>
          </w:tcPr>
          <w:p w14:paraId="281015D8" w14:textId="24CAD568" w:rsidR="00227773" w:rsidRPr="00227773" w:rsidRDefault="00227773" w:rsidP="00227773">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w:t>
            </w:r>
          </w:p>
        </w:tc>
        <w:tc>
          <w:tcPr>
            <w:tcW w:w="1506" w:type="dxa"/>
            <w:shd w:val="clear" w:color="auto" w:fill="auto"/>
            <w:vAlign w:val="center"/>
          </w:tcPr>
          <w:p w14:paraId="1A618B96" w14:textId="61C0434B" w:rsidR="00227773" w:rsidRPr="00227773" w:rsidRDefault="007050F2" w:rsidP="00227773">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Pr>
                <w:rFonts w:cstheme="minorHAnsi"/>
                <w:color w:val="auto"/>
                <w:szCs w:val="20"/>
              </w:rPr>
              <w:t>99,4</w:t>
            </w:r>
          </w:p>
        </w:tc>
        <w:tc>
          <w:tcPr>
            <w:tcW w:w="1241" w:type="dxa"/>
            <w:shd w:val="clear" w:color="auto" w:fill="auto"/>
            <w:vAlign w:val="center"/>
          </w:tcPr>
          <w:p w14:paraId="1EFC1658" w14:textId="77777777" w:rsidR="00227773" w:rsidRPr="00227773" w:rsidRDefault="00227773" w:rsidP="00227773">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2022</w:t>
            </w:r>
          </w:p>
        </w:tc>
        <w:tc>
          <w:tcPr>
            <w:tcW w:w="1272" w:type="dxa"/>
            <w:shd w:val="clear" w:color="auto" w:fill="auto"/>
            <w:vAlign w:val="center"/>
          </w:tcPr>
          <w:p w14:paraId="47F20064" w14:textId="29ACE205" w:rsidR="00227773" w:rsidRPr="00227773" w:rsidRDefault="00227773" w:rsidP="00227773">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w:t>
            </w:r>
          </w:p>
        </w:tc>
        <w:tc>
          <w:tcPr>
            <w:tcW w:w="1090" w:type="dxa"/>
            <w:shd w:val="clear" w:color="auto" w:fill="auto"/>
            <w:vAlign w:val="center"/>
          </w:tcPr>
          <w:p w14:paraId="2A05CEAD" w14:textId="0E369413" w:rsidR="00227773" w:rsidRPr="00227773" w:rsidRDefault="00227773" w:rsidP="00227773">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2030</w:t>
            </w:r>
          </w:p>
        </w:tc>
        <w:tc>
          <w:tcPr>
            <w:tcW w:w="2262" w:type="dxa"/>
            <w:shd w:val="clear" w:color="auto" w:fill="auto"/>
            <w:vAlign w:val="center"/>
          </w:tcPr>
          <w:p w14:paraId="3BD68E3A" w14:textId="77777777" w:rsidR="00227773" w:rsidRPr="00227773" w:rsidRDefault="00227773" w:rsidP="00227773">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GUS</w:t>
            </w:r>
          </w:p>
        </w:tc>
      </w:tr>
      <w:tr w:rsidR="00227773" w:rsidRPr="00227773" w14:paraId="678F9532" w14:textId="77777777" w:rsidTr="00227773">
        <w:trPr>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773DAE29" w14:textId="77777777" w:rsidR="00227773" w:rsidRPr="00227773" w:rsidRDefault="00227773">
            <w:pPr>
              <w:numPr>
                <w:ilvl w:val="0"/>
                <w:numId w:val="27"/>
              </w:numPr>
              <w:tabs>
                <w:tab w:val="left" w:pos="3119"/>
              </w:tabs>
              <w:autoSpaceDE w:val="0"/>
              <w:autoSpaceDN w:val="0"/>
              <w:adjustRightInd w:val="0"/>
              <w:ind w:left="142" w:firstLine="0"/>
              <w:contextualSpacing/>
              <w:jc w:val="center"/>
              <w:rPr>
                <w:rFonts w:asciiTheme="minorHAnsi" w:eastAsia="Calibri" w:hAnsiTheme="minorHAnsi" w:cstheme="minorHAnsi"/>
                <w:color w:val="auto"/>
                <w:szCs w:val="20"/>
                <w:lang w:eastAsia="pl-PL"/>
              </w:rPr>
            </w:pPr>
          </w:p>
        </w:tc>
        <w:tc>
          <w:tcPr>
            <w:tcW w:w="5372" w:type="dxa"/>
            <w:shd w:val="clear" w:color="auto" w:fill="auto"/>
            <w:vAlign w:val="center"/>
          </w:tcPr>
          <w:p w14:paraId="144F53E8" w14:textId="77777777" w:rsidR="00227773" w:rsidRPr="00227773" w:rsidRDefault="00227773" w:rsidP="00227773">
            <w:pPr>
              <w:tabs>
                <w:tab w:val="left" w:pos="3119"/>
              </w:tabs>
              <w:autoSpaceDE w:val="0"/>
              <w:autoSpaceDN w:val="0"/>
              <w:adjustRightInd w:val="0"/>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Korzystający z sieci kanalizacyjnej instalacji w % ogółu ludności</w:t>
            </w:r>
          </w:p>
        </w:tc>
        <w:tc>
          <w:tcPr>
            <w:tcW w:w="1106" w:type="dxa"/>
            <w:shd w:val="clear" w:color="auto" w:fill="auto"/>
            <w:vAlign w:val="center"/>
          </w:tcPr>
          <w:p w14:paraId="2F0BC7FA" w14:textId="1469CF59" w:rsidR="00227773" w:rsidRPr="00227773" w:rsidRDefault="00227773" w:rsidP="00227773">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227773">
              <w:rPr>
                <w:rFonts w:cstheme="minorHAnsi"/>
                <w:color w:val="auto"/>
                <w:szCs w:val="20"/>
              </w:rPr>
              <w:t>%</w:t>
            </w:r>
          </w:p>
        </w:tc>
        <w:tc>
          <w:tcPr>
            <w:tcW w:w="1506" w:type="dxa"/>
            <w:shd w:val="clear" w:color="auto" w:fill="auto"/>
            <w:vAlign w:val="center"/>
          </w:tcPr>
          <w:p w14:paraId="4252AC3F" w14:textId="3ECDC0B0" w:rsidR="00227773" w:rsidRPr="00227773" w:rsidRDefault="007050F2" w:rsidP="00227773">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Pr>
                <w:rFonts w:cstheme="minorHAnsi"/>
                <w:color w:val="auto"/>
                <w:szCs w:val="20"/>
              </w:rPr>
              <w:t>82,4</w:t>
            </w:r>
          </w:p>
        </w:tc>
        <w:tc>
          <w:tcPr>
            <w:tcW w:w="1241" w:type="dxa"/>
            <w:shd w:val="clear" w:color="auto" w:fill="auto"/>
            <w:vAlign w:val="center"/>
          </w:tcPr>
          <w:p w14:paraId="2E28E184" w14:textId="77777777" w:rsidR="00227773" w:rsidRPr="00227773" w:rsidRDefault="00227773" w:rsidP="00227773">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227773">
              <w:rPr>
                <w:rFonts w:cstheme="minorHAnsi"/>
                <w:color w:val="auto"/>
                <w:szCs w:val="20"/>
              </w:rPr>
              <w:t>2022</w:t>
            </w:r>
          </w:p>
        </w:tc>
        <w:tc>
          <w:tcPr>
            <w:tcW w:w="1272" w:type="dxa"/>
            <w:shd w:val="clear" w:color="auto" w:fill="auto"/>
            <w:vAlign w:val="center"/>
          </w:tcPr>
          <w:p w14:paraId="716049F6" w14:textId="30A565EC" w:rsidR="00227773" w:rsidRPr="00227773" w:rsidRDefault="00227773" w:rsidP="00227773">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w:t>
            </w:r>
          </w:p>
        </w:tc>
        <w:tc>
          <w:tcPr>
            <w:tcW w:w="1090" w:type="dxa"/>
            <w:shd w:val="clear" w:color="auto" w:fill="auto"/>
            <w:vAlign w:val="center"/>
          </w:tcPr>
          <w:p w14:paraId="16024760" w14:textId="1E4E4EEC" w:rsidR="00227773" w:rsidRPr="00227773" w:rsidRDefault="00227773" w:rsidP="00227773">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2030</w:t>
            </w:r>
          </w:p>
        </w:tc>
        <w:tc>
          <w:tcPr>
            <w:tcW w:w="2262" w:type="dxa"/>
            <w:shd w:val="clear" w:color="auto" w:fill="auto"/>
            <w:vAlign w:val="center"/>
          </w:tcPr>
          <w:p w14:paraId="7078DBA7" w14:textId="77777777" w:rsidR="00227773" w:rsidRPr="00227773" w:rsidRDefault="00227773" w:rsidP="00227773">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GUS</w:t>
            </w:r>
          </w:p>
        </w:tc>
      </w:tr>
      <w:tr w:rsidR="00227773" w:rsidRPr="00227773" w14:paraId="04B7FD32" w14:textId="77777777" w:rsidTr="0022777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0A5B7EDA" w14:textId="77777777" w:rsidR="00227773" w:rsidRPr="00227773" w:rsidRDefault="00227773">
            <w:pPr>
              <w:numPr>
                <w:ilvl w:val="0"/>
                <w:numId w:val="27"/>
              </w:numPr>
              <w:tabs>
                <w:tab w:val="left" w:pos="3119"/>
              </w:tabs>
              <w:autoSpaceDE w:val="0"/>
              <w:autoSpaceDN w:val="0"/>
              <w:adjustRightInd w:val="0"/>
              <w:ind w:left="142" w:firstLine="0"/>
              <w:contextualSpacing/>
              <w:jc w:val="center"/>
              <w:rPr>
                <w:rFonts w:asciiTheme="minorHAnsi" w:eastAsia="Calibri" w:hAnsiTheme="minorHAnsi" w:cstheme="minorHAnsi"/>
                <w:color w:val="auto"/>
                <w:szCs w:val="20"/>
                <w:lang w:eastAsia="pl-PL"/>
              </w:rPr>
            </w:pPr>
          </w:p>
        </w:tc>
        <w:tc>
          <w:tcPr>
            <w:tcW w:w="5372" w:type="dxa"/>
            <w:shd w:val="clear" w:color="auto" w:fill="auto"/>
            <w:vAlign w:val="center"/>
          </w:tcPr>
          <w:p w14:paraId="731E22F2" w14:textId="77777777" w:rsidR="00227773" w:rsidRPr="00227773" w:rsidRDefault="00227773" w:rsidP="00227773">
            <w:pPr>
              <w:tabs>
                <w:tab w:val="left" w:pos="3119"/>
              </w:tabs>
              <w:autoSpaceDE w:val="0"/>
              <w:autoSpaceDN w:val="0"/>
              <w:adjustRightInd w:val="0"/>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Zużycie wody na 1 mieszkańca</w:t>
            </w:r>
          </w:p>
        </w:tc>
        <w:tc>
          <w:tcPr>
            <w:tcW w:w="1106" w:type="dxa"/>
            <w:shd w:val="clear" w:color="auto" w:fill="auto"/>
            <w:vAlign w:val="center"/>
          </w:tcPr>
          <w:p w14:paraId="0E4C8185" w14:textId="3A4457A2" w:rsidR="00227773" w:rsidRPr="00227773" w:rsidRDefault="00227773" w:rsidP="00227773">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eastAsia="Calibri" w:cstheme="minorHAnsi"/>
                <w:color w:val="auto"/>
                <w:szCs w:val="20"/>
              </w:rPr>
              <w:t>m</w:t>
            </w:r>
            <w:r w:rsidRPr="00227773">
              <w:rPr>
                <w:rFonts w:eastAsia="Calibri" w:cstheme="minorHAnsi"/>
                <w:color w:val="auto"/>
                <w:szCs w:val="20"/>
                <w:vertAlign w:val="superscript"/>
              </w:rPr>
              <w:t>3</w:t>
            </w:r>
          </w:p>
        </w:tc>
        <w:tc>
          <w:tcPr>
            <w:tcW w:w="1506" w:type="dxa"/>
            <w:shd w:val="clear" w:color="auto" w:fill="auto"/>
            <w:vAlign w:val="center"/>
          </w:tcPr>
          <w:p w14:paraId="662F8F21" w14:textId="2296E19B" w:rsidR="00227773" w:rsidRPr="00227773" w:rsidRDefault="007050F2" w:rsidP="00227773">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Pr>
                <w:rFonts w:cstheme="minorHAnsi"/>
                <w:color w:val="auto"/>
                <w:szCs w:val="20"/>
              </w:rPr>
              <w:t>40,7</w:t>
            </w:r>
          </w:p>
        </w:tc>
        <w:tc>
          <w:tcPr>
            <w:tcW w:w="1241" w:type="dxa"/>
            <w:shd w:val="clear" w:color="auto" w:fill="auto"/>
            <w:vAlign w:val="center"/>
          </w:tcPr>
          <w:p w14:paraId="2055FE2B" w14:textId="77777777" w:rsidR="00227773" w:rsidRPr="00227773" w:rsidRDefault="00227773" w:rsidP="00227773">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2022</w:t>
            </w:r>
          </w:p>
        </w:tc>
        <w:tc>
          <w:tcPr>
            <w:tcW w:w="1272" w:type="dxa"/>
            <w:shd w:val="clear" w:color="auto" w:fill="auto"/>
            <w:vAlign w:val="center"/>
          </w:tcPr>
          <w:p w14:paraId="1E048387" w14:textId="4A979416" w:rsidR="00227773" w:rsidRPr="00227773" w:rsidRDefault="00227773" w:rsidP="00227773">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w:t>
            </w:r>
          </w:p>
        </w:tc>
        <w:tc>
          <w:tcPr>
            <w:tcW w:w="1090" w:type="dxa"/>
            <w:shd w:val="clear" w:color="auto" w:fill="auto"/>
            <w:vAlign w:val="center"/>
          </w:tcPr>
          <w:p w14:paraId="2E368598" w14:textId="6CF6DF35" w:rsidR="00227773" w:rsidRPr="00227773" w:rsidRDefault="00227773" w:rsidP="00227773">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eastAsia="Calibri" w:cstheme="minorHAnsi"/>
                <w:color w:val="auto"/>
                <w:szCs w:val="20"/>
              </w:rPr>
              <w:t>2030</w:t>
            </w:r>
          </w:p>
        </w:tc>
        <w:tc>
          <w:tcPr>
            <w:tcW w:w="2262" w:type="dxa"/>
            <w:shd w:val="clear" w:color="auto" w:fill="auto"/>
            <w:vAlign w:val="center"/>
          </w:tcPr>
          <w:p w14:paraId="7CAFF0DB" w14:textId="77777777" w:rsidR="00227773" w:rsidRPr="00227773" w:rsidRDefault="00227773" w:rsidP="00227773">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GUS</w:t>
            </w:r>
          </w:p>
        </w:tc>
      </w:tr>
      <w:tr w:rsidR="00227773" w:rsidRPr="00227773" w14:paraId="76B7395B" w14:textId="77777777" w:rsidTr="00227773">
        <w:trPr>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481EF949" w14:textId="77777777" w:rsidR="00227773" w:rsidRPr="00227773" w:rsidRDefault="00227773">
            <w:pPr>
              <w:numPr>
                <w:ilvl w:val="0"/>
                <w:numId w:val="27"/>
              </w:numPr>
              <w:tabs>
                <w:tab w:val="left" w:pos="3119"/>
              </w:tabs>
              <w:autoSpaceDE w:val="0"/>
              <w:autoSpaceDN w:val="0"/>
              <w:adjustRightInd w:val="0"/>
              <w:ind w:left="142" w:firstLine="0"/>
              <w:contextualSpacing/>
              <w:jc w:val="center"/>
              <w:rPr>
                <w:rFonts w:asciiTheme="minorHAnsi" w:eastAsia="Calibri" w:hAnsiTheme="minorHAnsi" w:cstheme="minorHAnsi"/>
                <w:color w:val="auto"/>
                <w:szCs w:val="20"/>
                <w:lang w:eastAsia="pl-PL"/>
              </w:rPr>
            </w:pPr>
          </w:p>
        </w:tc>
        <w:tc>
          <w:tcPr>
            <w:tcW w:w="5372" w:type="dxa"/>
            <w:shd w:val="clear" w:color="auto" w:fill="auto"/>
            <w:vAlign w:val="center"/>
          </w:tcPr>
          <w:p w14:paraId="674E38FD" w14:textId="7F34E61E" w:rsidR="00227773" w:rsidRPr="00227773" w:rsidRDefault="00227773" w:rsidP="00227773">
            <w:pPr>
              <w:tabs>
                <w:tab w:val="left" w:pos="3119"/>
              </w:tabs>
              <w:autoSpaceDE w:val="0"/>
              <w:autoSpaceDN w:val="0"/>
              <w:adjustRightInd w:val="0"/>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Liczba powstałych w analizowanym roku obiektów retencjonujących wodę</w:t>
            </w:r>
          </w:p>
        </w:tc>
        <w:tc>
          <w:tcPr>
            <w:tcW w:w="1106" w:type="dxa"/>
            <w:shd w:val="clear" w:color="auto" w:fill="auto"/>
            <w:vAlign w:val="center"/>
          </w:tcPr>
          <w:p w14:paraId="432B788E" w14:textId="6AE2B492" w:rsidR="00227773" w:rsidRPr="00227773" w:rsidRDefault="00227773" w:rsidP="00227773">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227773">
              <w:rPr>
                <w:rFonts w:eastAsia="Calibri" w:cstheme="minorHAnsi"/>
                <w:color w:val="auto"/>
                <w:szCs w:val="20"/>
              </w:rPr>
              <w:t>szt.</w:t>
            </w:r>
          </w:p>
        </w:tc>
        <w:tc>
          <w:tcPr>
            <w:tcW w:w="1506" w:type="dxa"/>
            <w:shd w:val="clear" w:color="auto" w:fill="auto"/>
            <w:vAlign w:val="center"/>
          </w:tcPr>
          <w:p w14:paraId="3EED2916" w14:textId="28118517" w:rsidR="00227773" w:rsidRPr="00227773" w:rsidRDefault="00227773" w:rsidP="00227773">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227773">
              <w:rPr>
                <w:rFonts w:cstheme="minorHAnsi"/>
                <w:color w:val="auto"/>
                <w:szCs w:val="20"/>
              </w:rPr>
              <w:t>0</w:t>
            </w:r>
          </w:p>
        </w:tc>
        <w:tc>
          <w:tcPr>
            <w:tcW w:w="1241" w:type="dxa"/>
            <w:shd w:val="clear" w:color="auto" w:fill="auto"/>
            <w:vAlign w:val="center"/>
          </w:tcPr>
          <w:p w14:paraId="6CB1B729" w14:textId="47DB5759" w:rsidR="00227773" w:rsidRPr="00227773" w:rsidRDefault="00227773" w:rsidP="00227773">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227773">
              <w:rPr>
                <w:rFonts w:cstheme="minorHAnsi"/>
                <w:color w:val="auto"/>
                <w:szCs w:val="20"/>
              </w:rPr>
              <w:t>2022</w:t>
            </w:r>
          </w:p>
        </w:tc>
        <w:tc>
          <w:tcPr>
            <w:tcW w:w="1272" w:type="dxa"/>
            <w:shd w:val="clear" w:color="auto" w:fill="auto"/>
            <w:vAlign w:val="center"/>
          </w:tcPr>
          <w:p w14:paraId="78CC8A70" w14:textId="6934F35D" w:rsidR="00227773" w:rsidRPr="00227773" w:rsidRDefault="00227773" w:rsidP="00227773">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w:t>
            </w:r>
          </w:p>
        </w:tc>
        <w:tc>
          <w:tcPr>
            <w:tcW w:w="1090" w:type="dxa"/>
            <w:shd w:val="clear" w:color="auto" w:fill="auto"/>
            <w:vAlign w:val="center"/>
          </w:tcPr>
          <w:p w14:paraId="59E7F621" w14:textId="3B12A06C" w:rsidR="00227773" w:rsidRPr="00227773" w:rsidRDefault="00227773" w:rsidP="00227773">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auto"/>
                <w:szCs w:val="20"/>
              </w:rPr>
            </w:pPr>
            <w:r w:rsidRPr="00227773">
              <w:rPr>
                <w:rFonts w:cstheme="minorHAnsi"/>
                <w:bCs/>
                <w:color w:val="auto"/>
                <w:szCs w:val="20"/>
              </w:rPr>
              <w:t>2030</w:t>
            </w:r>
          </w:p>
        </w:tc>
        <w:tc>
          <w:tcPr>
            <w:tcW w:w="2262" w:type="dxa"/>
            <w:shd w:val="clear" w:color="auto" w:fill="auto"/>
            <w:vAlign w:val="center"/>
          </w:tcPr>
          <w:p w14:paraId="32DA2B2D" w14:textId="7E9F6D19" w:rsidR="00227773" w:rsidRPr="00227773" w:rsidRDefault="007050F2" w:rsidP="00227773">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Pr>
                <w:rFonts w:cstheme="minorHAnsi"/>
                <w:bCs/>
                <w:color w:val="auto"/>
                <w:szCs w:val="20"/>
              </w:rPr>
              <w:t>Urząd miejski w Tarnogrodzie</w:t>
            </w:r>
          </w:p>
        </w:tc>
      </w:tr>
      <w:tr w:rsidR="007050F2" w:rsidRPr="00227773" w14:paraId="71F50D83" w14:textId="77777777" w:rsidTr="004B1967">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3ABFAE2E" w14:textId="77777777" w:rsidR="007050F2" w:rsidRPr="00227773" w:rsidRDefault="007050F2">
            <w:pPr>
              <w:numPr>
                <w:ilvl w:val="0"/>
                <w:numId w:val="27"/>
              </w:numPr>
              <w:tabs>
                <w:tab w:val="left" w:pos="3119"/>
              </w:tabs>
              <w:autoSpaceDE w:val="0"/>
              <w:autoSpaceDN w:val="0"/>
              <w:adjustRightInd w:val="0"/>
              <w:ind w:left="142" w:firstLine="0"/>
              <w:contextualSpacing/>
              <w:jc w:val="center"/>
              <w:rPr>
                <w:rFonts w:asciiTheme="minorHAnsi" w:eastAsia="Calibri" w:hAnsiTheme="minorHAnsi" w:cstheme="minorHAnsi"/>
                <w:color w:val="auto"/>
                <w:szCs w:val="20"/>
                <w:lang w:eastAsia="pl-PL"/>
              </w:rPr>
            </w:pPr>
          </w:p>
        </w:tc>
        <w:tc>
          <w:tcPr>
            <w:tcW w:w="5372" w:type="dxa"/>
            <w:shd w:val="clear" w:color="auto" w:fill="auto"/>
            <w:vAlign w:val="center"/>
          </w:tcPr>
          <w:p w14:paraId="6689FCCA" w14:textId="062364DC" w:rsidR="007050F2" w:rsidRPr="00227773" w:rsidRDefault="007050F2" w:rsidP="007050F2">
            <w:pPr>
              <w:tabs>
                <w:tab w:val="left" w:pos="3119"/>
              </w:tabs>
              <w:autoSpaceDE w:val="0"/>
              <w:autoSpaceDN w:val="0"/>
              <w:adjustRightInd w:val="0"/>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Długość wybudowanej, rozbudowanej lub zmodernizowanej sieci kanalizac</w:t>
            </w:r>
            <w:r>
              <w:rPr>
                <w:rFonts w:cstheme="minorHAnsi"/>
                <w:bCs/>
                <w:color w:val="auto"/>
                <w:szCs w:val="20"/>
              </w:rPr>
              <w:t>yjnej</w:t>
            </w:r>
          </w:p>
        </w:tc>
        <w:tc>
          <w:tcPr>
            <w:tcW w:w="1106" w:type="dxa"/>
            <w:shd w:val="clear" w:color="auto" w:fill="auto"/>
            <w:vAlign w:val="center"/>
          </w:tcPr>
          <w:p w14:paraId="63EE9E98" w14:textId="16363343" w:rsidR="007050F2" w:rsidRPr="00227773" w:rsidRDefault="007050F2" w:rsidP="007050F2">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eastAsia="Calibri" w:cstheme="minorHAnsi"/>
                <w:color w:val="auto"/>
                <w:szCs w:val="20"/>
              </w:rPr>
              <w:t>szt.</w:t>
            </w:r>
          </w:p>
        </w:tc>
        <w:tc>
          <w:tcPr>
            <w:tcW w:w="1506" w:type="dxa"/>
            <w:shd w:val="clear" w:color="auto" w:fill="auto"/>
            <w:vAlign w:val="center"/>
          </w:tcPr>
          <w:p w14:paraId="56B3C8AB" w14:textId="75BCB813" w:rsidR="007050F2" w:rsidRPr="00227773" w:rsidRDefault="007050F2" w:rsidP="007050F2">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0</w:t>
            </w:r>
          </w:p>
        </w:tc>
        <w:tc>
          <w:tcPr>
            <w:tcW w:w="1241" w:type="dxa"/>
            <w:shd w:val="clear" w:color="auto" w:fill="auto"/>
            <w:vAlign w:val="center"/>
          </w:tcPr>
          <w:p w14:paraId="34EEA0A9" w14:textId="67DDFEDD" w:rsidR="007050F2" w:rsidRPr="00227773" w:rsidRDefault="007050F2" w:rsidP="007050F2">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2022</w:t>
            </w:r>
          </w:p>
        </w:tc>
        <w:tc>
          <w:tcPr>
            <w:tcW w:w="1272" w:type="dxa"/>
            <w:shd w:val="clear" w:color="auto" w:fill="auto"/>
            <w:vAlign w:val="center"/>
          </w:tcPr>
          <w:p w14:paraId="41963B67" w14:textId="2F69289A" w:rsidR="007050F2" w:rsidRPr="00227773" w:rsidRDefault="007050F2" w:rsidP="007050F2">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w:t>
            </w:r>
          </w:p>
        </w:tc>
        <w:tc>
          <w:tcPr>
            <w:tcW w:w="1090" w:type="dxa"/>
            <w:shd w:val="clear" w:color="auto" w:fill="auto"/>
            <w:vAlign w:val="center"/>
          </w:tcPr>
          <w:p w14:paraId="3B71A740" w14:textId="54A12C25" w:rsidR="007050F2" w:rsidRPr="00227773" w:rsidRDefault="007050F2" w:rsidP="007050F2">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eastAsia="Calibri" w:cstheme="minorHAnsi"/>
                <w:color w:val="auto"/>
                <w:szCs w:val="20"/>
              </w:rPr>
            </w:pPr>
            <w:r w:rsidRPr="00227773">
              <w:rPr>
                <w:rFonts w:eastAsia="Calibri" w:cstheme="minorHAnsi"/>
                <w:color w:val="auto"/>
                <w:szCs w:val="20"/>
              </w:rPr>
              <w:t>2030</w:t>
            </w:r>
          </w:p>
        </w:tc>
        <w:tc>
          <w:tcPr>
            <w:tcW w:w="2262" w:type="dxa"/>
            <w:shd w:val="clear" w:color="auto" w:fill="auto"/>
          </w:tcPr>
          <w:p w14:paraId="122A0B02" w14:textId="47872F97" w:rsidR="007050F2" w:rsidRPr="00227773" w:rsidRDefault="007050F2" w:rsidP="007050F2">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8C57DE">
              <w:rPr>
                <w:rFonts w:cstheme="minorHAnsi"/>
                <w:bCs/>
                <w:color w:val="auto"/>
                <w:szCs w:val="20"/>
              </w:rPr>
              <w:t>Urząd miejski w Tarnogrodzie</w:t>
            </w:r>
          </w:p>
        </w:tc>
      </w:tr>
      <w:tr w:rsidR="007050F2" w:rsidRPr="00227773" w14:paraId="607F68CC" w14:textId="77777777" w:rsidTr="004B1967">
        <w:trPr>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546B3805" w14:textId="77777777" w:rsidR="007050F2" w:rsidRPr="00227773" w:rsidRDefault="007050F2">
            <w:pPr>
              <w:numPr>
                <w:ilvl w:val="0"/>
                <w:numId w:val="27"/>
              </w:numPr>
              <w:tabs>
                <w:tab w:val="left" w:pos="3119"/>
              </w:tabs>
              <w:autoSpaceDE w:val="0"/>
              <w:autoSpaceDN w:val="0"/>
              <w:adjustRightInd w:val="0"/>
              <w:ind w:left="142" w:firstLine="0"/>
              <w:contextualSpacing/>
              <w:jc w:val="center"/>
              <w:rPr>
                <w:rFonts w:asciiTheme="minorHAnsi" w:eastAsia="Calibri" w:hAnsiTheme="minorHAnsi" w:cstheme="minorHAnsi"/>
                <w:color w:val="auto"/>
                <w:szCs w:val="20"/>
                <w:lang w:eastAsia="pl-PL"/>
              </w:rPr>
            </w:pPr>
          </w:p>
        </w:tc>
        <w:tc>
          <w:tcPr>
            <w:tcW w:w="5372" w:type="dxa"/>
            <w:shd w:val="clear" w:color="auto" w:fill="auto"/>
            <w:vAlign w:val="center"/>
          </w:tcPr>
          <w:p w14:paraId="3050E84A" w14:textId="056D50B1" w:rsidR="007050F2" w:rsidRPr="00227773" w:rsidRDefault="007050F2" w:rsidP="007050F2">
            <w:pPr>
              <w:tabs>
                <w:tab w:val="left" w:pos="3119"/>
              </w:tabs>
              <w:autoSpaceDE w:val="0"/>
              <w:autoSpaceDN w:val="0"/>
              <w:adjustRightInd w:val="0"/>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Pr>
                <w:rFonts w:cstheme="minorHAnsi"/>
                <w:bCs/>
                <w:color w:val="auto"/>
                <w:szCs w:val="20"/>
              </w:rPr>
              <w:t>Ilość wymienionych wodomierzy</w:t>
            </w:r>
          </w:p>
        </w:tc>
        <w:tc>
          <w:tcPr>
            <w:tcW w:w="1106" w:type="dxa"/>
            <w:shd w:val="clear" w:color="auto" w:fill="auto"/>
            <w:vAlign w:val="center"/>
          </w:tcPr>
          <w:p w14:paraId="49335F14" w14:textId="38594C4F" w:rsidR="007050F2" w:rsidRPr="00227773" w:rsidRDefault="007050F2" w:rsidP="007050F2">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227773">
              <w:rPr>
                <w:rFonts w:cstheme="minorHAnsi"/>
                <w:color w:val="auto"/>
                <w:szCs w:val="20"/>
              </w:rPr>
              <w:t>szt.</w:t>
            </w:r>
          </w:p>
        </w:tc>
        <w:tc>
          <w:tcPr>
            <w:tcW w:w="1506" w:type="dxa"/>
            <w:shd w:val="clear" w:color="auto" w:fill="auto"/>
            <w:vAlign w:val="center"/>
          </w:tcPr>
          <w:p w14:paraId="2AEC3BDF" w14:textId="54472A6C" w:rsidR="007050F2" w:rsidRPr="00227773" w:rsidRDefault="007050F2" w:rsidP="007050F2">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227773">
              <w:rPr>
                <w:rFonts w:cstheme="minorHAnsi"/>
                <w:color w:val="auto"/>
                <w:szCs w:val="20"/>
              </w:rPr>
              <w:t>0</w:t>
            </w:r>
          </w:p>
        </w:tc>
        <w:tc>
          <w:tcPr>
            <w:tcW w:w="1241" w:type="dxa"/>
            <w:shd w:val="clear" w:color="auto" w:fill="auto"/>
            <w:vAlign w:val="center"/>
          </w:tcPr>
          <w:p w14:paraId="75C20A88" w14:textId="77777777" w:rsidR="007050F2" w:rsidRPr="00227773" w:rsidRDefault="007050F2" w:rsidP="007050F2">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227773">
              <w:rPr>
                <w:rFonts w:cstheme="minorHAnsi"/>
                <w:color w:val="auto"/>
                <w:szCs w:val="20"/>
              </w:rPr>
              <w:t>2022</w:t>
            </w:r>
          </w:p>
        </w:tc>
        <w:tc>
          <w:tcPr>
            <w:tcW w:w="1272" w:type="dxa"/>
            <w:shd w:val="clear" w:color="auto" w:fill="auto"/>
            <w:vAlign w:val="center"/>
          </w:tcPr>
          <w:p w14:paraId="301B07BB" w14:textId="3A547D86" w:rsidR="007050F2" w:rsidRPr="00227773" w:rsidRDefault="007050F2" w:rsidP="007050F2">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w:t>
            </w:r>
          </w:p>
        </w:tc>
        <w:tc>
          <w:tcPr>
            <w:tcW w:w="1090" w:type="dxa"/>
            <w:shd w:val="clear" w:color="auto" w:fill="auto"/>
            <w:vAlign w:val="center"/>
          </w:tcPr>
          <w:p w14:paraId="1804623C" w14:textId="642CE6DE" w:rsidR="007050F2" w:rsidRPr="00227773" w:rsidRDefault="007050F2" w:rsidP="007050F2">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2030</w:t>
            </w:r>
          </w:p>
        </w:tc>
        <w:tc>
          <w:tcPr>
            <w:tcW w:w="2262" w:type="dxa"/>
            <w:shd w:val="clear" w:color="auto" w:fill="auto"/>
          </w:tcPr>
          <w:p w14:paraId="7B394E57" w14:textId="283995CA" w:rsidR="007050F2" w:rsidRPr="00227773" w:rsidRDefault="007050F2" w:rsidP="007050F2">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8C57DE">
              <w:rPr>
                <w:rFonts w:cstheme="minorHAnsi"/>
                <w:bCs/>
                <w:color w:val="auto"/>
                <w:szCs w:val="20"/>
              </w:rPr>
              <w:t>Urząd miejski w Tarnogrodzie</w:t>
            </w:r>
          </w:p>
        </w:tc>
      </w:tr>
      <w:tr w:rsidR="007050F2" w:rsidRPr="00227773" w14:paraId="47081976" w14:textId="77777777" w:rsidTr="004B1967">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620892B1" w14:textId="77777777" w:rsidR="007050F2" w:rsidRPr="00227773" w:rsidRDefault="007050F2">
            <w:pPr>
              <w:numPr>
                <w:ilvl w:val="0"/>
                <w:numId w:val="27"/>
              </w:numPr>
              <w:tabs>
                <w:tab w:val="left" w:pos="3119"/>
              </w:tabs>
              <w:autoSpaceDE w:val="0"/>
              <w:autoSpaceDN w:val="0"/>
              <w:adjustRightInd w:val="0"/>
              <w:ind w:left="142" w:firstLine="0"/>
              <w:contextualSpacing/>
              <w:jc w:val="center"/>
              <w:rPr>
                <w:rFonts w:eastAsia="Calibri" w:cstheme="minorHAnsi"/>
                <w:color w:val="auto"/>
                <w:szCs w:val="20"/>
                <w:lang w:eastAsia="pl-PL"/>
              </w:rPr>
            </w:pPr>
          </w:p>
        </w:tc>
        <w:tc>
          <w:tcPr>
            <w:tcW w:w="5372" w:type="dxa"/>
            <w:shd w:val="clear" w:color="auto" w:fill="auto"/>
            <w:vAlign w:val="center"/>
          </w:tcPr>
          <w:p w14:paraId="7DF07048" w14:textId="23725B8C" w:rsidR="007050F2" w:rsidRDefault="007050F2" w:rsidP="007050F2">
            <w:pPr>
              <w:tabs>
                <w:tab w:val="left" w:pos="3119"/>
              </w:tabs>
              <w:autoSpaceDE w:val="0"/>
              <w:autoSpaceDN w:val="0"/>
              <w:adjustRightInd w:val="0"/>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Pr>
                <w:rFonts w:cstheme="minorHAnsi"/>
                <w:bCs/>
                <w:color w:val="auto"/>
                <w:szCs w:val="20"/>
              </w:rPr>
              <w:t>Długość wybudowanej w danym roku kanalizacji deszczowej</w:t>
            </w:r>
          </w:p>
        </w:tc>
        <w:tc>
          <w:tcPr>
            <w:tcW w:w="1106" w:type="dxa"/>
            <w:shd w:val="clear" w:color="auto" w:fill="auto"/>
            <w:vAlign w:val="center"/>
          </w:tcPr>
          <w:p w14:paraId="0C106E26" w14:textId="0B80E1D4" w:rsidR="007050F2" w:rsidRPr="00227773" w:rsidRDefault="007050F2" w:rsidP="007050F2">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Pr>
                <w:rFonts w:cstheme="minorHAnsi"/>
                <w:color w:val="auto"/>
                <w:szCs w:val="20"/>
              </w:rPr>
              <w:t>szt.</w:t>
            </w:r>
          </w:p>
        </w:tc>
        <w:tc>
          <w:tcPr>
            <w:tcW w:w="1506" w:type="dxa"/>
            <w:shd w:val="clear" w:color="auto" w:fill="auto"/>
            <w:vAlign w:val="center"/>
          </w:tcPr>
          <w:p w14:paraId="6D5E622C" w14:textId="6A643BB5" w:rsidR="007050F2" w:rsidRPr="00227773" w:rsidRDefault="007050F2" w:rsidP="007050F2">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Pr>
                <w:rFonts w:cstheme="minorHAnsi"/>
                <w:color w:val="auto"/>
                <w:szCs w:val="20"/>
              </w:rPr>
              <w:t>0</w:t>
            </w:r>
          </w:p>
        </w:tc>
        <w:tc>
          <w:tcPr>
            <w:tcW w:w="1241" w:type="dxa"/>
            <w:shd w:val="clear" w:color="auto" w:fill="auto"/>
            <w:vAlign w:val="center"/>
          </w:tcPr>
          <w:p w14:paraId="58E91EEE" w14:textId="328F8045" w:rsidR="007050F2" w:rsidRPr="00227773" w:rsidRDefault="007050F2" w:rsidP="007050F2">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Pr>
                <w:rFonts w:cstheme="minorHAnsi"/>
                <w:color w:val="auto"/>
                <w:szCs w:val="20"/>
              </w:rPr>
              <w:t>2022</w:t>
            </w:r>
          </w:p>
        </w:tc>
        <w:tc>
          <w:tcPr>
            <w:tcW w:w="1272" w:type="dxa"/>
            <w:shd w:val="clear" w:color="auto" w:fill="auto"/>
            <w:vAlign w:val="center"/>
          </w:tcPr>
          <w:p w14:paraId="02546E80" w14:textId="7F1C8055" w:rsidR="007050F2" w:rsidRPr="00227773" w:rsidRDefault="007050F2" w:rsidP="007050F2">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7050F2">
              <w:rPr>
                <w:rFonts w:cstheme="minorHAnsi"/>
                <w:bCs/>
                <w:color w:val="auto"/>
                <w:szCs w:val="20"/>
              </w:rPr>
              <w:t>↑</w:t>
            </w:r>
          </w:p>
        </w:tc>
        <w:tc>
          <w:tcPr>
            <w:tcW w:w="1090" w:type="dxa"/>
            <w:shd w:val="clear" w:color="auto" w:fill="auto"/>
            <w:vAlign w:val="center"/>
          </w:tcPr>
          <w:p w14:paraId="7C1FD666" w14:textId="035C0C80" w:rsidR="007050F2" w:rsidRPr="00227773" w:rsidRDefault="007050F2" w:rsidP="007050F2">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Pr>
                <w:rFonts w:cstheme="minorHAnsi"/>
                <w:bCs/>
                <w:color w:val="auto"/>
                <w:szCs w:val="20"/>
              </w:rPr>
              <w:t>2030</w:t>
            </w:r>
          </w:p>
        </w:tc>
        <w:tc>
          <w:tcPr>
            <w:tcW w:w="2262" w:type="dxa"/>
            <w:shd w:val="clear" w:color="auto" w:fill="auto"/>
          </w:tcPr>
          <w:p w14:paraId="6C710635" w14:textId="4434295E" w:rsidR="007050F2" w:rsidRPr="00227773" w:rsidRDefault="007050F2" w:rsidP="007050F2">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8C57DE">
              <w:rPr>
                <w:rFonts w:cstheme="minorHAnsi"/>
                <w:bCs/>
                <w:color w:val="auto"/>
                <w:szCs w:val="20"/>
              </w:rPr>
              <w:t>Urząd miejski w Tarnogrodzie</w:t>
            </w:r>
          </w:p>
        </w:tc>
      </w:tr>
      <w:tr w:rsidR="00227773" w:rsidRPr="00227773" w14:paraId="5B081C26" w14:textId="77777777" w:rsidTr="00227773">
        <w:trPr>
          <w:trHeight w:val="567"/>
        </w:trPr>
        <w:tc>
          <w:tcPr>
            <w:cnfStyle w:val="001000000000" w:firstRow="0" w:lastRow="0" w:firstColumn="1" w:lastColumn="0" w:oddVBand="0" w:evenVBand="0" w:oddHBand="0" w:evenHBand="0" w:firstRowFirstColumn="0" w:firstRowLastColumn="0" w:lastRowFirstColumn="0" w:lastRowLastColumn="0"/>
            <w:tcW w:w="14488" w:type="dxa"/>
            <w:gridSpan w:val="8"/>
            <w:shd w:val="clear" w:color="auto" w:fill="E0F0BD" w:themeFill="text2" w:themeFillTint="33"/>
            <w:vAlign w:val="center"/>
          </w:tcPr>
          <w:p w14:paraId="1324F69A" w14:textId="1ECEE6AA" w:rsidR="00227773" w:rsidRPr="00227773" w:rsidRDefault="00227773" w:rsidP="00227773">
            <w:pPr>
              <w:tabs>
                <w:tab w:val="left" w:pos="3119"/>
              </w:tabs>
              <w:ind w:firstLine="0"/>
              <w:jc w:val="center"/>
              <w:rPr>
                <w:rFonts w:asciiTheme="minorHAnsi" w:hAnsiTheme="minorHAnsi" w:cstheme="minorHAnsi"/>
                <w:color w:val="auto"/>
                <w:szCs w:val="20"/>
              </w:rPr>
            </w:pPr>
            <w:r>
              <w:rPr>
                <w:rFonts w:asciiTheme="minorHAnsi" w:hAnsiTheme="minorHAnsi" w:cstheme="minorHAnsi"/>
                <w:color w:val="auto"/>
                <w:szCs w:val="20"/>
              </w:rPr>
              <w:lastRenderedPageBreak/>
              <w:t>Obszar transport</w:t>
            </w:r>
          </w:p>
        </w:tc>
      </w:tr>
      <w:tr w:rsidR="00A13670" w:rsidRPr="00227773" w14:paraId="79D51BBA" w14:textId="77777777" w:rsidTr="0022777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17DD1C11" w14:textId="77777777" w:rsidR="00A13670" w:rsidRPr="00227773" w:rsidRDefault="00A13670">
            <w:pPr>
              <w:numPr>
                <w:ilvl w:val="0"/>
                <w:numId w:val="27"/>
              </w:numPr>
              <w:tabs>
                <w:tab w:val="left" w:pos="3119"/>
              </w:tabs>
              <w:autoSpaceDE w:val="0"/>
              <w:autoSpaceDN w:val="0"/>
              <w:adjustRightInd w:val="0"/>
              <w:ind w:left="142" w:firstLine="0"/>
              <w:contextualSpacing/>
              <w:jc w:val="center"/>
              <w:rPr>
                <w:rFonts w:eastAsia="Calibri" w:cstheme="minorHAnsi"/>
                <w:color w:val="auto"/>
                <w:szCs w:val="20"/>
                <w:lang w:eastAsia="pl-PL"/>
              </w:rPr>
            </w:pPr>
          </w:p>
        </w:tc>
        <w:tc>
          <w:tcPr>
            <w:tcW w:w="5372" w:type="dxa"/>
            <w:shd w:val="clear" w:color="auto" w:fill="auto"/>
            <w:vAlign w:val="center"/>
          </w:tcPr>
          <w:p w14:paraId="188A8175" w14:textId="7F8F2C00" w:rsidR="00A13670" w:rsidRPr="00227773" w:rsidRDefault="00A13670" w:rsidP="00A13670">
            <w:pPr>
              <w:tabs>
                <w:tab w:val="left" w:pos="3119"/>
              </w:tabs>
              <w:autoSpaceDE w:val="0"/>
              <w:autoSpaceDN w:val="0"/>
              <w:adjustRightInd w:val="0"/>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 xml:space="preserve">Długość ścieżek rowerowych (na terenie </w:t>
            </w:r>
            <w:r w:rsidR="00AC7E2C">
              <w:rPr>
                <w:rFonts w:cstheme="minorHAnsi"/>
                <w:bCs/>
                <w:color w:val="auto"/>
                <w:szCs w:val="20"/>
              </w:rPr>
              <w:t>gminy</w:t>
            </w:r>
            <w:r w:rsidRPr="00227773">
              <w:rPr>
                <w:rFonts w:cstheme="minorHAnsi"/>
                <w:bCs/>
                <w:color w:val="auto"/>
                <w:szCs w:val="20"/>
              </w:rPr>
              <w:t>)</w:t>
            </w:r>
          </w:p>
        </w:tc>
        <w:tc>
          <w:tcPr>
            <w:tcW w:w="1106" w:type="dxa"/>
            <w:shd w:val="clear" w:color="auto" w:fill="auto"/>
            <w:vAlign w:val="center"/>
          </w:tcPr>
          <w:p w14:paraId="149531B5" w14:textId="30660356"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km</w:t>
            </w:r>
          </w:p>
        </w:tc>
        <w:tc>
          <w:tcPr>
            <w:tcW w:w="1506" w:type="dxa"/>
            <w:shd w:val="clear" w:color="auto" w:fill="auto"/>
            <w:vAlign w:val="center"/>
          </w:tcPr>
          <w:p w14:paraId="3AA0BC2E" w14:textId="14CFED31" w:rsidR="00A13670" w:rsidRPr="00227773" w:rsidRDefault="00AC7E2C"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Pr>
                <w:rFonts w:cstheme="minorHAnsi"/>
                <w:color w:val="auto"/>
                <w:szCs w:val="20"/>
              </w:rPr>
              <w:t>8,6</w:t>
            </w:r>
          </w:p>
        </w:tc>
        <w:tc>
          <w:tcPr>
            <w:tcW w:w="1241" w:type="dxa"/>
            <w:shd w:val="clear" w:color="auto" w:fill="auto"/>
            <w:vAlign w:val="center"/>
          </w:tcPr>
          <w:p w14:paraId="435FF8DE" w14:textId="52E3BA02"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2022</w:t>
            </w:r>
          </w:p>
        </w:tc>
        <w:tc>
          <w:tcPr>
            <w:tcW w:w="1272" w:type="dxa"/>
            <w:shd w:val="clear" w:color="auto" w:fill="auto"/>
            <w:vAlign w:val="center"/>
          </w:tcPr>
          <w:p w14:paraId="53DB336A" w14:textId="0563B546"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w:t>
            </w:r>
          </w:p>
        </w:tc>
        <w:tc>
          <w:tcPr>
            <w:tcW w:w="1090" w:type="dxa"/>
            <w:shd w:val="clear" w:color="auto" w:fill="auto"/>
            <w:vAlign w:val="center"/>
          </w:tcPr>
          <w:p w14:paraId="1B505063" w14:textId="5D2DEA09"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2030</w:t>
            </w:r>
          </w:p>
        </w:tc>
        <w:tc>
          <w:tcPr>
            <w:tcW w:w="2262" w:type="dxa"/>
            <w:shd w:val="clear" w:color="auto" w:fill="auto"/>
            <w:vAlign w:val="center"/>
          </w:tcPr>
          <w:p w14:paraId="7328A880" w14:textId="10CD185E" w:rsidR="00A13670" w:rsidRPr="00227773" w:rsidRDefault="00AC7E2C"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Pr>
                <w:rFonts w:cstheme="minorHAnsi"/>
                <w:bCs/>
                <w:color w:val="auto"/>
                <w:szCs w:val="20"/>
              </w:rPr>
              <w:t>GUS</w:t>
            </w:r>
          </w:p>
        </w:tc>
      </w:tr>
      <w:tr w:rsidR="00A13670" w:rsidRPr="00227773" w14:paraId="37009059" w14:textId="77777777" w:rsidTr="00227773">
        <w:trPr>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612CD4DD" w14:textId="77777777" w:rsidR="00A13670" w:rsidRPr="00227773" w:rsidRDefault="00A13670">
            <w:pPr>
              <w:numPr>
                <w:ilvl w:val="0"/>
                <w:numId w:val="27"/>
              </w:numPr>
              <w:tabs>
                <w:tab w:val="left" w:pos="3119"/>
              </w:tabs>
              <w:autoSpaceDE w:val="0"/>
              <w:autoSpaceDN w:val="0"/>
              <w:adjustRightInd w:val="0"/>
              <w:ind w:left="142" w:firstLine="0"/>
              <w:contextualSpacing/>
              <w:jc w:val="center"/>
              <w:rPr>
                <w:rFonts w:asciiTheme="minorHAnsi" w:eastAsia="Calibri" w:hAnsiTheme="minorHAnsi" w:cstheme="minorHAnsi"/>
                <w:color w:val="auto"/>
                <w:szCs w:val="20"/>
                <w:lang w:eastAsia="pl-PL"/>
              </w:rPr>
            </w:pPr>
          </w:p>
        </w:tc>
        <w:tc>
          <w:tcPr>
            <w:tcW w:w="5372" w:type="dxa"/>
            <w:shd w:val="clear" w:color="auto" w:fill="auto"/>
            <w:vAlign w:val="center"/>
          </w:tcPr>
          <w:p w14:paraId="0FEF142E" w14:textId="476D9FAC" w:rsidR="00A13670" w:rsidRPr="00227773" w:rsidRDefault="00A13670" w:rsidP="00A13670">
            <w:pPr>
              <w:tabs>
                <w:tab w:val="left" w:pos="3119"/>
              </w:tabs>
              <w:autoSpaceDE w:val="0"/>
              <w:autoSpaceDN w:val="0"/>
              <w:adjustRightInd w:val="0"/>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Miejska (gminna) komunikacja publiczna</w:t>
            </w:r>
          </w:p>
        </w:tc>
        <w:tc>
          <w:tcPr>
            <w:tcW w:w="1106" w:type="dxa"/>
            <w:shd w:val="clear" w:color="auto" w:fill="auto"/>
            <w:vAlign w:val="center"/>
          </w:tcPr>
          <w:p w14:paraId="2409DDBC" w14:textId="3E9BFB82" w:rsidR="00A13670" w:rsidRPr="00227773" w:rsidRDefault="00A13670"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227773">
              <w:rPr>
                <w:rFonts w:cstheme="minorHAnsi"/>
                <w:color w:val="auto"/>
                <w:szCs w:val="20"/>
              </w:rPr>
              <w:t>szt.</w:t>
            </w:r>
          </w:p>
        </w:tc>
        <w:tc>
          <w:tcPr>
            <w:tcW w:w="1506" w:type="dxa"/>
            <w:shd w:val="clear" w:color="auto" w:fill="auto"/>
            <w:vAlign w:val="center"/>
          </w:tcPr>
          <w:p w14:paraId="61E5DFC8" w14:textId="657D6BF6" w:rsidR="00A13670" w:rsidRPr="00227773" w:rsidRDefault="00E45792"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Pr>
                <w:rFonts w:cstheme="minorHAnsi"/>
                <w:color w:val="auto"/>
                <w:szCs w:val="20"/>
              </w:rPr>
              <w:t>1</w:t>
            </w:r>
          </w:p>
        </w:tc>
        <w:tc>
          <w:tcPr>
            <w:tcW w:w="1241" w:type="dxa"/>
            <w:shd w:val="clear" w:color="auto" w:fill="auto"/>
            <w:vAlign w:val="center"/>
          </w:tcPr>
          <w:p w14:paraId="4BE1B950" w14:textId="77777777" w:rsidR="00A13670" w:rsidRPr="00227773" w:rsidRDefault="00A13670"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227773">
              <w:rPr>
                <w:rFonts w:cstheme="minorHAnsi"/>
                <w:color w:val="auto"/>
                <w:szCs w:val="20"/>
              </w:rPr>
              <w:t>2022</w:t>
            </w:r>
          </w:p>
        </w:tc>
        <w:tc>
          <w:tcPr>
            <w:tcW w:w="1272" w:type="dxa"/>
            <w:shd w:val="clear" w:color="auto" w:fill="auto"/>
            <w:vAlign w:val="center"/>
          </w:tcPr>
          <w:p w14:paraId="2D8F1246" w14:textId="7FA13DA6" w:rsidR="00A13670" w:rsidRPr="00227773" w:rsidRDefault="00A13670"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w:t>
            </w:r>
          </w:p>
        </w:tc>
        <w:tc>
          <w:tcPr>
            <w:tcW w:w="1090" w:type="dxa"/>
            <w:shd w:val="clear" w:color="auto" w:fill="auto"/>
            <w:vAlign w:val="center"/>
          </w:tcPr>
          <w:p w14:paraId="64BCC398" w14:textId="3EB2D76C" w:rsidR="00A13670" w:rsidRPr="00227773" w:rsidRDefault="00A13670"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2030</w:t>
            </w:r>
          </w:p>
        </w:tc>
        <w:tc>
          <w:tcPr>
            <w:tcW w:w="2262" w:type="dxa"/>
            <w:shd w:val="clear" w:color="auto" w:fill="auto"/>
            <w:vAlign w:val="center"/>
          </w:tcPr>
          <w:p w14:paraId="38A898F4" w14:textId="0F32BE45" w:rsidR="00A13670" w:rsidRPr="00227773" w:rsidRDefault="00E45792"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E45792">
              <w:rPr>
                <w:rFonts w:cstheme="minorHAnsi"/>
                <w:bCs/>
                <w:color w:val="auto"/>
                <w:szCs w:val="20"/>
              </w:rPr>
              <w:t>Urząd miejski w Tarnogrodzie</w:t>
            </w:r>
          </w:p>
        </w:tc>
      </w:tr>
      <w:tr w:rsidR="00A13670" w:rsidRPr="00227773" w14:paraId="45493F0E" w14:textId="77777777" w:rsidTr="0022777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2BAE79A7" w14:textId="77777777" w:rsidR="00A13670" w:rsidRPr="00227773" w:rsidRDefault="00A13670">
            <w:pPr>
              <w:numPr>
                <w:ilvl w:val="0"/>
                <w:numId w:val="27"/>
              </w:numPr>
              <w:tabs>
                <w:tab w:val="left" w:pos="3119"/>
              </w:tabs>
              <w:autoSpaceDE w:val="0"/>
              <w:autoSpaceDN w:val="0"/>
              <w:adjustRightInd w:val="0"/>
              <w:ind w:left="142" w:firstLine="0"/>
              <w:contextualSpacing/>
              <w:jc w:val="center"/>
              <w:rPr>
                <w:rFonts w:asciiTheme="minorHAnsi" w:eastAsia="Calibri" w:hAnsiTheme="minorHAnsi" w:cstheme="minorHAnsi"/>
                <w:color w:val="auto"/>
                <w:szCs w:val="20"/>
                <w:lang w:eastAsia="pl-PL"/>
              </w:rPr>
            </w:pPr>
          </w:p>
        </w:tc>
        <w:tc>
          <w:tcPr>
            <w:tcW w:w="5372" w:type="dxa"/>
            <w:shd w:val="clear" w:color="auto" w:fill="auto"/>
            <w:vAlign w:val="center"/>
          </w:tcPr>
          <w:p w14:paraId="5F7DD4E8" w14:textId="313A5AB4" w:rsidR="00A13670" w:rsidRPr="00227773" w:rsidRDefault="00A13670" w:rsidP="00A13670">
            <w:pPr>
              <w:tabs>
                <w:tab w:val="left" w:pos="3119"/>
              </w:tabs>
              <w:autoSpaceDE w:val="0"/>
              <w:autoSpaceDN w:val="0"/>
              <w:adjustRightInd w:val="0"/>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 xml:space="preserve">Liczba stref </w:t>
            </w:r>
            <w:r>
              <w:rPr>
                <w:rFonts w:cstheme="minorHAnsi"/>
                <w:bCs/>
                <w:color w:val="auto"/>
                <w:szCs w:val="20"/>
              </w:rPr>
              <w:t>transportu</w:t>
            </w:r>
            <w:r w:rsidRPr="00227773">
              <w:rPr>
                <w:rFonts w:cstheme="minorHAnsi"/>
                <w:bCs/>
                <w:color w:val="auto"/>
                <w:szCs w:val="20"/>
              </w:rPr>
              <w:t xml:space="preserve"> „uspokojonego”</w:t>
            </w:r>
          </w:p>
        </w:tc>
        <w:tc>
          <w:tcPr>
            <w:tcW w:w="1106" w:type="dxa"/>
            <w:shd w:val="clear" w:color="auto" w:fill="auto"/>
            <w:vAlign w:val="center"/>
          </w:tcPr>
          <w:p w14:paraId="0E23AF66" w14:textId="58197303"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ocena opisowa</w:t>
            </w:r>
          </w:p>
        </w:tc>
        <w:tc>
          <w:tcPr>
            <w:tcW w:w="1506" w:type="dxa"/>
            <w:shd w:val="clear" w:color="auto" w:fill="auto"/>
            <w:vAlign w:val="center"/>
          </w:tcPr>
          <w:p w14:paraId="795DAEEE" w14:textId="0D298D70"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0</w:t>
            </w:r>
          </w:p>
        </w:tc>
        <w:tc>
          <w:tcPr>
            <w:tcW w:w="1241" w:type="dxa"/>
            <w:shd w:val="clear" w:color="auto" w:fill="auto"/>
            <w:vAlign w:val="center"/>
          </w:tcPr>
          <w:p w14:paraId="7A337597" w14:textId="77777777"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2022</w:t>
            </w:r>
          </w:p>
        </w:tc>
        <w:tc>
          <w:tcPr>
            <w:tcW w:w="1272" w:type="dxa"/>
            <w:shd w:val="clear" w:color="auto" w:fill="auto"/>
            <w:vAlign w:val="center"/>
          </w:tcPr>
          <w:p w14:paraId="233310C0" w14:textId="7703BCB9"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w:t>
            </w:r>
          </w:p>
        </w:tc>
        <w:tc>
          <w:tcPr>
            <w:tcW w:w="1090" w:type="dxa"/>
            <w:shd w:val="clear" w:color="auto" w:fill="auto"/>
            <w:vAlign w:val="center"/>
          </w:tcPr>
          <w:p w14:paraId="791668FE" w14:textId="6E968FE7"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2030</w:t>
            </w:r>
          </w:p>
        </w:tc>
        <w:tc>
          <w:tcPr>
            <w:tcW w:w="2262" w:type="dxa"/>
            <w:shd w:val="clear" w:color="auto" w:fill="auto"/>
            <w:vAlign w:val="center"/>
          </w:tcPr>
          <w:p w14:paraId="6BC6D0E8" w14:textId="4B2A12E6" w:rsidR="00A13670" w:rsidRPr="00227773" w:rsidRDefault="00E45792"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E45792">
              <w:rPr>
                <w:rFonts w:cstheme="minorHAnsi"/>
                <w:bCs/>
                <w:color w:val="auto"/>
                <w:szCs w:val="20"/>
              </w:rPr>
              <w:t>Urząd miejski w Tarnogrodzie</w:t>
            </w:r>
          </w:p>
        </w:tc>
      </w:tr>
      <w:tr w:rsidR="00A13670" w:rsidRPr="00227773" w14:paraId="02A47913" w14:textId="77777777" w:rsidTr="00227773">
        <w:trPr>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75547B12" w14:textId="77777777" w:rsidR="00A13670" w:rsidRPr="00227773" w:rsidRDefault="00A13670">
            <w:pPr>
              <w:numPr>
                <w:ilvl w:val="0"/>
                <w:numId w:val="27"/>
              </w:numPr>
              <w:tabs>
                <w:tab w:val="left" w:pos="3119"/>
              </w:tabs>
              <w:autoSpaceDE w:val="0"/>
              <w:autoSpaceDN w:val="0"/>
              <w:adjustRightInd w:val="0"/>
              <w:ind w:left="142" w:firstLine="0"/>
              <w:contextualSpacing/>
              <w:jc w:val="center"/>
              <w:rPr>
                <w:rFonts w:asciiTheme="minorHAnsi" w:eastAsia="Calibri" w:hAnsiTheme="minorHAnsi" w:cstheme="minorHAnsi"/>
                <w:color w:val="auto"/>
                <w:szCs w:val="20"/>
                <w:lang w:eastAsia="pl-PL"/>
              </w:rPr>
            </w:pPr>
          </w:p>
        </w:tc>
        <w:tc>
          <w:tcPr>
            <w:tcW w:w="5372" w:type="dxa"/>
            <w:shd w:val="clear" w:color="auto" w:fill="auto"/>
            <w:vAlign w:val="center"/>
          </w:tcPr>
          <w:p w14:paraId="450260D8" w14:textId="674A3CDC" w:rsidR="00A13670" w:rsidRPr="00227773" w:rsidRDefault="00A13670" w:rsidP="00A13670">
            <w:pPr>
              <w:tabs>
                <w:tab w:val="left" w:pos="3119"/>
              </w:tabs>
              <w:autoSpaceDE w:val="0"/>
              <w:autoSpaceDN w:val="0"/>
              <w:adjustRightInd w:val="0"/>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Pr>
                <w:rFonts w:cstheme="minorHAnsi"/>
                <w:bCs/>
                <w:color w:val="auto"/>
                <w:szCs w:val="20"/>
              </w:rPr>
              <w:t>Liczba zielonych przystanków na terenie miasta</w:t>
            </w:r>
          </w:p>
        </w:tc>
        <w:tc>
          <w:tcPr>
            <w:tcW w:w="1106" w:type="dxa"/>
            <w:shd w:val="clear" w:color="auto" w:fill="auto"/>
            <w:vAlign w:val="center"/>
          </w:tcPr>
          <w:p w14:paraId="6721C608" w14:textId="67217517" w:rsidR="00A13670" w:rsidRPr="00227773" w:rsidRDefault="00E45792"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Pr>
                <w:rFonts w:cstheme="minorHAnsi"/>
                <w:color w:val="auto"/>
                <w:szCs w:val="20"/>
              </w:rPr>
              <w:t>szt.</w:t>
            </w:r>
          </w:p>
        </w:tc>
        <w:tc>
          <w:tcPr>
            <w:tcW w:w="1506" w:type="dxa"/>
            <w:shd w:val="clear" w:color="auto" w:fill="auto"/>
            <w:vAlign w:val="center"/>
          </w:tcPr>
          <w:p w14:paraId="074A0953" w14:textId="781E2FC3" w:rsidR="00A13670" w:rsidRPr="00227773" w:rsidRDefault="00E45792"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Pr>
                <w:rFonts w:cstheme="minorHAnsi"/>
                <w:color w:val="auto"/>
                <w:szCs w:val="20"/>
              </w:rPr>
              <w:t>0</w:t>
            </w:r>
          </w:p>
        </w:tc>
        <w:tc>
          <w:tcPr>
            <w:tcW w:w="1241" w:type="dxa"/>
            <w:shd w:val="clear" w:color="auto" w:fill="auto"/>
            <w:vAlign w:val="center"/>
          </w:tcPr>
          <w:p w14:paraId="49E23BC5" w14:textId="258E8F38" w:rsidR="00A13670" w:rsidRPr="00227773" w:rsidRDefault="00E45792"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Pr>
                <w:rFonts w:cstheme="minorHAnsi"/>
                <w:color w:val="auto"/>
                <w:szCs w:val="20"/>
              </w:rPr>
              <w:t>2022</w:t>
            </w:r>
          </w:p>
        </w:tc>
        <w:tc>
          <w:tcPr>
            <w:tcW w:w="1272" w:type="dxa"/>
            <w:shd w:val="clear" w:color="auto" w:fill="auto"/>
            <w:vAlign w:val="center"/>
          </w:tcPr>
          <w:p w14:paraId="071BC498" w14:textId="1005C9D0" w:rsidR="00A13670" w:rsidRPr="00227773" w:rsidRDefault="00E45792"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E45792">
              <w:rPr>
                <w:rFonts w:cstheme="minorHAnsi"/>
                <w:bCs/>
                <w:color w:val="auto"/>
                <w:szCs w:val="20"/>
              </w:rPr>
              <w:t>↑</w:t>
            </w:r>
          </w:p>
        </w:tc>
        <w:tc>
          <w:tcPr>
            <w:tcW w:w="1090" w:type="dxa"/>
            <w:shd w:val="clear" w:color="auto" w:fill="auto"/>
            <w:vAlign w:val="center"/>
          </w:tcPr>
          <w:p w14:paraId="4F51AE65" w14:textId="02CE0201" w:rsidR="00A13670" w:rsidRPr="00227773" w:rsidRDefault="00E45792"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Pr>
                <w:rFonts w:cstheme="minorHAnsi"/>
                <w:bCs/>
                <w:color w:val="auto"/>
                <w:szCs w:val="20"/>
              </w:rPr>
              <w:t>2030</w:t>
            </w:r>
          </w:p>
        </w:tc>
        <w:tc>
          <w:tcPr>
            <w:tcW w:w="2262" w:type="dxa"/>
            <w:shd w:val="clear" w:color="auto" w:fill="auto"/>
            <w:vAlign w:val="center"/>
          </w:tcPr>
          <w:p w14:paraId="0B9C34DB" w14:textId="54E27C0A" w:rsidR="00A13670" w:rsidRPr="00227773" w:rsidRDefault="00E45792"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E45792">
              <w:rPr>
                <w:rFonts w:cstheme="minorHAnsi"/>
                <w:bCs/>
                <w:color w:val="auto"/>
                <w:szCs w:val="20"/>
              </w:rPr>
              <w:t>Urząd miejski w Tarnogrodzie</w:t>
            </w:r>
          </w:p>
        </w:tc>
      </w:tr>
      <w:tr w:rsidR="00A13670" w:rsidRPr="00227773" w14:paraId="67180D51" w14:textId="77777777" w:rsidTr="0022777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7AC57443" w14:textId="77777777" w:rsidR="00A13670" w:rsidRPr="00227773" w:rsidRDefault="00A13670">
            <w:pPr>
              <w:numPr>
                <w:ilvl w:val="0"/>
                <w:numId w:val="27"/>
              </w:numPr>
              <w:tabs>
                <w:tab w:val="left" w:pos="3119"/>
              </w:tabs>
              <w:autoSpaceDE w:val="0"/>
              <w:autoSpaceDN w:val="0"/>
              <w:adjustRightInd w:val="0"/>
              <w:ind w:left="142" w:firstLine="0"/>
              <w:contextualSpacing/>
              <w:jc w:val="center"/>
              <w:rPr>
                <w:rFonts w:asciiTheme="minorHAnsi" w:eastAsia="Calibri" w:hAnsiTheme="minorHAnsi" w:cstheme="minorHAnsi"/>
                <w:color w:val="auto"/>
                <w:szCs w:val="20"/>
                <w:lang w:eastAsia="pl-PL"/>
              </w:rPr>
            </w:pPr>
          </w:p>
        </w:tc>
        <w:tc>
          <w:tcPr>
            <w:tcW w:w="5372" w:type="dxa"/>
            <w:shd w:val="clear" w:color="auto" w:fill="auto"/>
            <w:vAlign w:val="center"/>
          </w:tcPr>
          <w:p w14:paraId="040A2E8C" w14:textId="4ABCC639" w:rsidR="00A13670" w:rsidRPr="00227773" w:rsidRDefault="00E45792" w:rsidP="00A13670">
            <w:pPr>
              <w:tabs>
                <w:tab w:val="left" w:pos="3119"/>
              </w:tabs>
              <w:autoSpaceDE w:val="0"/>
              <w:autoSpaceDN w:val="0"/>
              <w:adjustRightInd w:val="0"/>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Pr>
                <w:rFonts w:cstheme="minorHAnsi"/>
                <w:bCs/>
                <w:color w:val="auto"/>
                <w:szCs w:val="20"/>
              </w:rPr>
              <w:t>Udział parkingów wykonanych</w:t>
            </w:r>
            <w:r w:rsidR="00A13670" w:rsidRPr="00227773">
              <w:rPr>
                <w:rFonts w:cstheme="minorHAnsi"/>
                <w:bCs/>
                <w:color w:val="auto"/>
                <w:szCs w:val="20"/>
              </w:rPr>
              <w:t xml:space="preserve"> w technologii nieprzepuszczającej wody</w:t>
            </w:r>
          </w:p>
        </w:tc>
        <w:tc>
          <w:tcPr>
            <w:tcW w:w="1106" w:type="dxa"/>
            <w:shd w:val="clear" w:color="auto" w:fill="auto"/>
            <w:vAlign w:val="center"/>
          </w:tcPr>
          <w:p w14:paraId="2C810C3A" w14:textId="71142D78"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w:t>
            </w:r>
          </w:p>
        </w:tc>
        <w:tc>
          <w:tcPr>
            <w:tcW w:w="1506" w:type="dxa"/>
            <w:shd w:val="clear" w:color="auto" w:fill="auto"/>
            <w:vAlign w:val="center"/>
          </w:tcPr>
          <w:p w14:paraId="15A8732C" w14:textId="2E213D45"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0</w:t>
            </w:r>
          </w:p>
        </w:tc>
        <w:tc>
          <w:tcPr>
            <w:tcW w:w="1241" w:type="dxa"/>
            <w:shd w:val="clear" w:color="auto" w:fill="auto"/>
            <w:vAlign w:val="center"/>
          </w:tcPr>
          <w:p w14:paraId="7DBEB8BF" w14:textId="4C385077"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2022</w:t>
            </w:r>
          </w:p>
        </w:tc>
        <w:tc>
          <w:tcPr>
            <w:tcW w:w="1272" w:type="dxa"/>
            <w:shd w:val="clear" w:color="auto" w:fill="auto"/>
            <w:vAlign w:val="center"/>
          </w:tcPr>
          <w:p w14:paraId="18C26981" w14:textId="2773BB40"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w:t>
            </w:r>
          </w:p>
        </w:tc>
        <w:tc>
          <w:tcPr>
            <w:tcW w:w="1090" w:type="dxa"/>
            <w:shd w:val="clear" w:color="auto" w:fill="auto"/>
            <w:vAlign w:val="center"/>
          </w:tcPr>
          <w:p w14:paraId="755645EA" w14:textId="1DE34DCF"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2030</w:t>
            </w:r>
          </w:p>
        </w:tc>
        <w:tc>
          <w:tcPr>
            <w:tcW w:w="2262" w:type="dxa"/>
            <w:shd w:val="clear" w:color="auto" w:fill="auto"/>
            <w:vAlign w:val="center"/>
          </w:tcPr>
          <w:p w14:paraId="09C509DD" w14:textId="0D47F011" w:rsidR="00A13670" w:rsidRPr="00227773" w:rsidRDefault="00E45792"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E45792">
              <w:rPr>
                <w:rFonts w:cstheme="minorHAnsi"/>
                <w:bCs/>
                <w:color w:val="auto"/>
                <w:szCs w:val="20"/>
              </w:rPr>
              <w:t>Urząd miejski w Tarnogrodzie</w:t>
            </w:r>
          </w:p>
        </w:tc>
      </w:tr>
      <w:tr w:rsidR="00A13670" w:rsidRPr="00227773" w14:paraId="146144C2" w14:textId="77777777" w:rsidTr="00227773">
        <w:trPr>
          <w:trHeight w:val="567"/>
        </w:trPr>
        <w:tc>
          <w:tcPr>
            <w:cnfStyle w:val="001000000000" w:firstRow="0" w:lastRow="0" w:firstColumn="1" w:lastColumn="0" w:oddVBand="0" w:evenVBand="0" w:oddHBand="0" w:evenHBand="0" w:firstRowFirstColumn="0" w:firstRowLastColumn="0" w:lastRowFirstColumn="0" w:lastRowLastColumn="0"/>
            <w:tcW w:w="14488" w:type="dxa"/>
            <w:gridSpan w:val="8"/>
            <w:shd w:val="clear" w:color="auto" w:fill="E0F0BD" w:themeFill="text2" w:themeFillTint="33"/>
            <w:vAlign w:val="center"/>
          </w:tcPr>
          <w:p w14:paraId="4C772F4E" w14:textId="320DBA92" w:rsidR="00A13670" w:rsidRPr="00227773" w:rsidRDefault="00A13670" w:rsidP="00A13670">
            <w:pPr>
              <w:tabs>
                <w:tab w:val="left" w:pos="3119"/>
              </w:tabs>
              <w:ind w:firstLine="0"/>
              <w:jc w:val="center"/>
              <w:rPr>
                <w:rFonts w:asciiTheme="minorHAnsi" w:hAnsiTheme="minorHAnsi" w:cstheme="minorHAnsi"/>
                <w:color w:val="auto"/>
                <w:szCs w:val="20"/>
              </w:rPr>
            </w:pPr>
            <w:r>
              <w:rPr>
                <w:rFonts w:asciiTheme="minorHAnsi" w:hAnsiTheme="minorHAnsi" w:cstheme="minorHAnsi"/>
                <w:color w:val="auto"/>
                <w:szCs w:val="20"/>
              </w:rPr>
              <w:t>Obszar powietrze</w:t>
            </w:r>
          </w:p>
        </w:tc>
      </w:tr>
      <w:tr w:rsidR="00A13670" w:rsidRPr="00227773" w14:paraId="7D23F0EA" w14:textId="77777777" w:rsidTr="0022777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72978BDB" w14:textId="77777777" w:rsidR="00A13670" w:rsidRPr="00227773" w:rsidRDefault="00A13670">
            <w:pPr>
              <w:numPr>
                <w:ilvl w:val="0"/>
                <w:numId w:val="27"/>
              </w:numPr>
              <w:tabs>
                <w:tab w:val="left" w:pos="3119"/>
              </w:tabs>
              <w:autoSpaceDE w:val="0"/>
              <w:autoSpaceDN w:val="0"/>
              <w:adjustRightInd w:val="0"/>
              <w:ind w:left="142" w:firstLine="0"/>
              <w:contextualSpacing/>
              <w:jc w:val="center"/>
              <w:rPr>
                <w:rFonts w:asciiTheme="minorHAnsi" w:eastAsia="Calibri" w:hAnsiTheme="minorHAnsi" w:cstheme="minorHAnsi"/>
                <w:color w:val="auto"/>
                <w:szCs w:val="20"/>
                <w:lang w:eastAsia="pl-PL"/>
              </w:rPr>
            </w:pPr>
          </w:p>
        </w:tc>
        <w:tc>
          <w:tcPr>
            <w:tcW w:w="5372" w:type="dxa"/>
            <w:shd w:val="clear" w:color="auto" w:fill="auto"/>
            <w:vAlign w:val="center"/>
          </w:tcPr>
          <w:p w14:paraId="3ADD5867" w14:textId="20BF8570" w:rsidR="00A13670" w:rsidRPr="00227773" w:rsidRDefault="00A13670" w:rsidP="00A13670">
            <w:pPr>
              <w:tabs>
                <w:tab w:val="left" w:pos="3119"/>
              </w:tabs>
              <w:autoSpaceDE w:val="0"/>
              <w:autoSpaceDN w:val="0"/>
              <w:adjustRightInd w:val="0"/>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Liczba wybudowanych w analizowanym roku jednostek wytwarzania energii elektrycznej z OZE</w:t>
            </w:r>
          </w:p>
        </w:tc>
        <w:tc>
          <w:tcPr>
            <w:tcW w:w="1106" w:type="dxa"/>
            <w:shd w:val="clear" w:color="auto" w:fill="auto"/>
            <w:vAlign w:val="center"/>
          </w:tcPr>
          <w:p w14:paraId="2E172C29" w14:textId="4FA4B90D"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szt.</w:t>
            </w:r>
          </w:p>
        </w:tc>
        <w:tc>
          <w:tcPr>
            <w:tcW w:w="1506" w:type="dxa"/>
            <w:shd w:val="clear" w:color="auto" w:fill="auto"/>
            <w:vAlign w:val="center"/>
          </w:tcPr>
          <w:p w14:paraId="58954D65" w14:textId="1474A088" w:rsidR="00A13670" w:rsidRPr="00227773" w:rsidRDefault="00E45792"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Pr>
                <w:rFonts w:cstheme="minorHAnsi"/>
                <w:color w:val="auto"/>
                <w:szCs w:val="20"/>
              </w:rPr>
              <w:t>16</w:t>
            </w:r>
          </w:p>
        </w:tc>
        <w:tc>
          <w:tcPr>
            <w:tcW w:w="1241" w:type="dxa"/>
            <w:shd w:val="clear" w:color="auto" w:fill="auto"/>
            <w:vAlign w:val="center"/>
          </w:tcPr>
          <w:p w14:paraId="56FF85FB" w14:textId="77777777"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2022</w:t>
            </w:r>
          </w:p>
        </w:tc>
        <w:tc>
          <w:tcPr>
            <w:tcW w:w="1272" w:type="dxa"/>
            <w:shd w:val="clear" w:color="auto" w:fill="auto"/>
            <w:vAlign w:val="center"/>
          </w:tcPr>
          <w:p w14:paraId="23C3D2D0" w14:textId="738F25B0"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w:t>
            </w:r>
          </w:p>
        </w:tc>
        <w:tc>
          <w:tcPr>
            <w:tcW w:w="1090" w:type="dxa"/>
            <w:shd w:val="clear" w:color="auto" w:fill="auto"/>
            <w:vAlign w:val="center"/>
          </w:tcPr>
          <w:p w14:paraId="2A7B4D3B" w14:textId="77777777"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2030</w:t>
            </w:r>
          </w:p>
        </w:tc>
        <w:tc>
          <w:tcPr>
            <w:tcW w:w="2262" w:type="dxa"/>
            <w:shd w:val="clear" w:color="auto" w:fill="auto"/>
            <w:vAlign w:val="center"/>
          </w:tcPr>
          <w:p w14:paraId="574E97D7" w14:textId="6AD57D41"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PGE DYSTRYBUCJA S.A.</w:t>
            </w:r>
            <w:r w:rsidR="00E45792">
              <w:rPr>
                <w:rFonts w:cstheme="minorHAnsi"/>
                <w:bCs/>
                <w:color w:val="auto"/>
                <w:szCs w:val="20"/>
              </w:rPr>
              <w:t xml:space="preserve">, </w:t>
            </w:r>
            <w:r w:rsidR="00E45792" w:rsidRPr="00E45792">
              <w:rPr>
                <w:rFonts w:cstheme="minorHAnsi"/>
                <w:bCs/>
                <w:color w:val="auto"/>
                <w:szCs w:val="20"/>
              </w:rPr>
              <w:t>Urząd miejski w Tarnogrodzie</w:t>
            </w:r>
          </w:p>
        </w:tc>
      </w:tr>
      <w:tr w:rsidR="00A13670" w:rsidRPr="00227773" w14:paraId="56E71E25" w14:textId="77777777" w:rsidTr="00227773">
        <w:trPr>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17580B86" w14:textId="77777777" w:rsidR="00A13670" w:rsidRPr="00227773" w:rsidRDefault="00A13670">
            <w:pPr>
              <w:numPr>
                <w:ilvl w:val="0"/>
                <w:numId w:val="27"/>
              </w:numPr>
              <w:tabs>
                <w:tab w:val="left" w:pos="3119"/>
              </w:tabs>
              <w:autoSpaceDE w:val="0"/>
              <w:autoSpaceDN w:val="0"/>
              <w:adjustRightInd w:val="0"/>
              <w:ind w:left="142" w:firstLine="0"/>
              <w:contextualSpacing/>
              <w:jc w:val="center"/>
              <w:rPr>
                <w:rFonts w:asciiTheme="minorHAnsi" w:eastAsia="Calibri" w:hAnsiTheme="minorHAnsi" w:cstheme="minorHAnsi"/>
                <w:color w:val="auto"/>
                <w:szCs w:val="20"/>
                <w:lang w:eastAsia="pl-PL"/>
              </w:rPr>
            </w:pPr>
          </w:p>
        </w:tc>
        <w:tc>
          <w:tcPr>
            <w:tcW w:w="5372" w:type="dxa"/>
            <w:shd w:val="clear" w:color="auto" w:fill="auto"/>
            <w:vAlign w:val="center"/>
          </w:tcPr>
          <w:p w14:paraId="27BEC0DD" w14:textId="57C6232B" w:rsidR="00A13670" w:rsidRPr="00227773" w:rsidRDefault="00A13670" w:rsidP="00A13670">
            <w:pPr>
              <w:tabs>
                <w:tab w:val="left" w:pos="3119"/>
              </w:tabs>
              <w:autoSpaceDE w:val="0"/>
              <w:autoSpaceDN w:val="0"/>
              <w:adjustRightInd w:val="0"/>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Ilość udzielonych dotacji w ramach gminnego programu dotacji na wymianę źródła ciepła na odnawialne źródła energii</w:t>
            </w:r>
          </w:p>
        </w:tc>
        <w:tc>
          <w:tcPr>
            <w:tcW w:w="1106" w:type="dxa"/>
            <w:shd w:val="clear" w:color="auto" w:fill="auto"/>
            <w:vAlign w:val="center"/>
          </w:tcPr>
          <w:p w14:paraId="61CA1778" w14:textId="7D5C06BA" w:rsidR="00A13670" w:rsidRPr="00227773" w:rsidRDefault="00A13670"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227773">
              <w:rPr>
                <w:rFonts w:cstheme="minorHAnsi"/>
                <w:color w:val="auto"/>
                <w:szCs w:val="20"/>
              </w:rPr>
              <w:t>szt.</w:t>
            </w:r>
          </w:p>
        </w:tc>
        <w:tc>
          <w:tcPr>
            <w:tcW w:w="1506" w:type="dxa"/>
            <w:shd w:val="clear" w:color="auto" w:fill="auto"/>
            <w:vAlign w:val="center"/>
          </w:tcPr>
          <w:p w14:paraId="5BF9A611" w14:textId="6496FFCB" w:rsidR="00A13670" w:rsidRPr="00227773" w:rsidRDefault="00E96430"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Pr>
                <w:rFonts w:cstheme="minorHAnsi"/>
                <w:color w:val="auto"/>
                <w:szCs w:val="20"/>
              </w:rPr>
              <w:t>0</w:t>
            </w:r>
          </w:p>
        </w:tc>
        <w:tc>
          <w:tcPr>
            <w:tcW w:w="1241" w:type="dxa"/>
            <w:shd w:val="clear" w:color="auto" w:fill="auto"/>
            <w:vAlign w:val="center"/>
          </w:tcPr>
          <w:p w14:paraId="196C0E5A" w14:textId="77777777" w:rsidR="00A13670" w:rsidRPr="00227773" w:rsidRDefault="00A13670"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227773">
              <w:rPr>
                <w:rFonts w:cstheme="minorHAnsi"/>
                <w:color w:val="auto"/>
                <w:szCs w:val="20"/>
              </w:rPr>
              <w:t>2022</w:t>
            </w:r>
          </w:p>
        </w:tc>
        <w:tc>
          <w:tcPr>
            <w:tcW w:w="1272" w:type="dxa"/>
            <w:shd w:val="clear" w:color="auto" w:fill="auto"/>
            <w:vAlign w:val="center"/>
          </w:tcPr>
          <w:p w14:paraId="616F535B" w14:textId="73573B46" w:rsidR="00A13670" w:rsidRPr="00227773" w:rsidRDefault="00A13670"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w:t>
            </w:r>
          </w:p>
        </w:tc>
        <w:tc>
          <w:tcPr>
            <w:tcW w:w="1090" w:type="dxa"/>
            <w:shd w:val="clear" w:color="auto" w:fill="auto"/>
            <w:vAlign w:val="center"/>
          </w:tcPr>
          <w:p w14:paraId="06DDC0E6" w14:textId="77777777" w:rsidR="00A13670" w:rsidRPr="00227773" w:rsidRDefault="00A13670"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2030</w:t>
            </w:r>
          </w:p>
        </w:tc>
        <w:tc>
          <w:tcPr>
            <w:tcW w:w="2262" w:type="dxa"/>
            <w:shd w:val="clear" w:color="auto" w:fill="auto"/>
            <w:vAlign w:val="center"/>
          </w:tcPr>
          <w:p w14:paraId="043DEE2E" w14:textId="5B2110DF" w:rsidR="00A13670" w:rsidRPr="00227773" w:rsidRDefault="00E45792"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E45792">
              <w:rPr>
                <w:rFonts w:cstheme="minorHAnsi"/>
                <w:bCs/>
                <w:color w:val="auto"/>
                <w:szCs w:val="20"/>
              </w:rPr>
              <w:t>Urząd miejski w Tarnogrodzie</w:t>
            </w:r>
          </w:p>
        </w:tc>
      </w:tr>
      <w:tr w:rsidR="00A13670" w:rsidRPr="00227773" w14:paraId="2F9A504D" w14:textId="77777777" w:rsidTr="0022777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55643589" w14:textId="77777777" w:rsidR="00A13670" w:rsidRPr="00227773" w:rsidRDefault="00A13670">
            <w:pPr>
              <w:numPr>
                <w:ilvl w:val="0"/>
                <w:numId w:val="27"/>
              </w:numPr>
              <w:tabs>
                <w:tab w:val="left" w:pos="3119"/>
              </w:tabs>
              <w:autoSpaceDE w:val="0"/>
              <w:autoSpaceDN w:val="0"/>
              <w:adjustRightInd w:val="0"/>
              <w:ind w:left="142" w:firstLine="0"/>
              <w:contextualSpacing/>
              <w:jc w:val="center"/>
              <w:rPr>
                <w:rFonts w:asciiTheme="minorHAnsi" w:eastAsia="Calibri" w:hAnsiTheme="minorHAnsi" w:cstheme="minorHAnsi"/>
                <w:color w:val="auto"/>
                <w:szCs w:val="20"/>
                <w:lang w:eastAsia="pl-PL"/>
              </w:rPr>
            </w:pPr>
          </w:p>
        </w:tc>
        <w:tc>
          <w:tcPr>
            <w:tcW w:w="5372" w:type="dxa"/>
            <w:shd w:val="clear" w:color="auto" w:fill="auto"/>
            <w:vAlign w:val="center"/>
          </w:tcPr>
          <w:p w14:paraId="0066ADB4" w14:textId="6ADC170D" w:rsidR="00A13670" w:rsidRPr="00227773" w:rsidRDefault="00A13670" w:rsidP="00A13670">
            <w:pPr>
              <w:tabs>
                <w:tab w:val="left" w:pos="3119"/>
              </w:tabs>
              <w:autoSpaceDE w:val="0"/>
              <w:autoSpaceDN w:val="0"/>
              <w:adjustRightInd w:val="0"/>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Liczba budynków</w:t>
            </w:r>
            <w:r w:rsidR="004D6439">
              <w:rPr>
                <w:rFonts w:cstheme="minorHAnsi"/>
                <w:bCs/>
                <w:color w:val="auto"/>
                <w:szCs w:val="20"/>
              </w:rPr>
              <w:t xml:space="preserve"> użyteczności publicznej</w:t>
            </w:r>
            <w:r w:rsidRPr="00227773">
              <w:rPr>
                <w:rFonts w:cstheme="minorHAnsi"/>
                <w:bCs/>
                <w:color w:val="auto"/>
                <w:szCs w:val="20"/>
              </w:rPr>
              <w:t xml:space="preserve"> poddanych termomodernizacji</w:t>
            </w:r>
          </w:p>
        </w:tc>
        <w:tc>
          <w:tcPr>
            <w:tcW w:w="1106" w:type="dxa"/>
            <w:shd w:val="clear" w:color="auto" w:fill="auto"/>
            <w:vAlign w:val="center"/>
          </w:tcPr>
          <w:p w14:paraId="2DD7D583" w14:textId="4E7B1A0F"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szt.</w:t>
            </w:r>
          </w:p>
        </w:tc>
        <w:tc>
          <w:tcPr>
            <w:tcW w:w="1506" w:type="dxa"/>
            <w:shd w:val="clear" w:color="auto" w:fill="auto"/>
            <w:vAlign w:val="center"/>
          </w:tcPr>
          <w:p w14:paraId="7E227933" w14:textId="20F338D4"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0</w:t>
            </w:r>
          </w:p>
        </w:tc>
        <w:tc>
          <w:tcPr>
            <w:tcW w:w="1241" w:type="dxa"/>
            <w:shd w:val="clear" w:color="auto" w:fill="auto"/>
            <w:vAlign w:val="center"/>
          </w:tcPr>
          <w:p w14:paraId="45EAB4F8" w14:textId="722AA336"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2022</w:t>
            </w:r>
          </w:p>
        </w:tc>
        <w:tc>
          <w:tcPr>
            <w:tcW w:w="1272" w:type="dxa"/>
            <w:shd w:val="clear" w:color="auto" w:fill="auto"/>
            <w:vAlign w:val="center"/>
          </w:tcPr>
          <w:p w14:paraId="582D5DF7" w14:textId="68C43DA9"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w:t>
            </w:r>
          </w:p>
        </w:tc>
        <w:tc>
          <w:tcPr>
            <w:tcW w:w="1090" w:type="dxa"/>
            <w:shd w:val="clear" w:color="auto" w:fill="auto"/>
            <w:vAlign w:val="center"/>
          </w:tcPr>
          <w:p w14:paraId="5F7ABEB2" w14:textId="4B7E5D93"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2030</w:t>
            </w:r>
          </w:p>
        </w:tc>
        <w:tc>
          <w:tcPr>
            <w:tcW w:w="2262" w:type="dxa"/>
            <w:shd w:val="clear" w:color="auto" w:fill="auto"/>
            <w:vAlign w:val="center"/>
          </w:tcPr>
          <w:p w14:paraId="02F29712" w14:textId="059FA7B7" w:rsidR="00A13670" w:rsidRPr="00227773" w:rsidRDefault="004D6439"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4D6439">
              <w:rPr>
                <w:rFonts w:cstheme="minorHAnsi"/>
                <w:bCs/>
                <w:color w:val="auto"/>
                <w:szCs w:val="20"/>
              </w:rPr>
              <w:t>Urząd miejski w Tarnogrodzie</w:t>
            </w:r>
          </w:p>
        </w:tc>
      </w:tr>
      <w:tr w:rsidR="00A13670" w:rsidRPr="00227773" w14:paraId="1C351BFF" w14:textId="77777777" w:rsidTr="00227773">
        <w:trPr>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3500C4E8" w14:textId="77777777" w:rsidR="00A13670" w:rsidRPr="00227773" w:rsidRDefault="00A13670">
            <w:pPr>
              <w:numPr>
                <w:ilvl w:val="0"/>
                <w:numId w:val="27"/>
              </w:numPr>
              <w:tabs>
                <w:tab w:val="left" w:pos="3119"/>
              </w:tabs>
              <w:autoSpaceDE w:val="0"/>
              <w:autoSpaceDN w:val="0"/>
              <w:adjustRightInd w:val="0"/>
              <w:ind w:left="142" w:firstLine="0"/>
              <w:contextualSpacing/>
              <w:jc w:val="center"/>
              <w:rPr>
                <w:rFonts w:eastAsia="Calibri" w:cstheme="minorHAnsi"/>
                <w:color w:val="auto"/>
                <w:szCs w:val="20"/>
                <w:lang w:eastAsia="pl-PL"/>
              </w:rPr>
            </w:pPr>
          </w:p>
        </w:tc>
        <w:tc>
          <w:tcPr>
            <w:tcW w:w="5372" w:type="dxa"/>
            <w:shd w:val="clear" w:color="auto" w:fill="auto"/>
            <w:vAlign w:val="center"/>
          </w:tcPr>
          <w:p w14:paraId="798ED258" w14:textId="1656B275" w:rsidR="00A13670" w:rsidRPr="00227773" w:rsidRDefault="00A13670" w:rsidP="00A13670">
            <w:pPr>
              <w:tabs>
                <w:tab w:val="left" w:pos="3119"/>
              </w:tabs>
              <w:autoSpaceDE w:val="0"/>
              <w:autoSpaceDN w:val="0"/>
              <w:adjustRightInd w:val="0"/>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Pr>
                <w:rFonts w:cstheme="minorHAnsi"/>
                <w:bCs/>
                <w:color w:val="auto"/>
                <w:szCs w:val="20"/>
              </w:rPr>
              <w:t>Liczba przeprowadzonych kontroli spalania odpadów w przydomowych kotłach</w:t>
            </w:r>
          </w:p>
        </w:tc>
        <w:tc>
          <w:tcPr>
            <w:tcW w:w="1106" w:type="dxa"/>
            <w:shd w:val="clear" w:color="auto" w:fill="auto"/>
            <w:vAlign w:val="center"/>
          </w:tcPr>
          <w:p w14:paraId="7728608B" w14:textId="7C9D0775" w:rsidR="00A13670" w:rsidRPr="00227773" w:rsidRDefault="004D6439"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Pr>
                <w:rFonts w:cstheme="minorHAnsi"/>
                <w:color w:val="auto"/>
                <w:szCs w:val="20"/>
              </w:rPr>
              <w:t>szt.</w:t>
            </w:r>
          </w:p>
        </w:tc>
        <w:tc>
          <w:tcPr>
            <w:tcW w:w="1506" w:type="dxa"/>
            <w:shd w:val="clear" w:color="auto" w:fill="auto"/>
            <w:vAlign w:val="center"/>
          </w:tcPr>
          <w:p w14:paraId="630CA7F5" w14:textId="2F340027" w:rsidR="00A13670" w:rsidRPr="00227773" w:rsidRDefault="004D6439"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Pr>
                <w:rFonts w:cstheme="minorHAnsi"/>
                <w:color w:val="auto"/>
                <w:szCs w:val="20"/>
              </w:rPr>
              <w:t>0</w:t>
            </w:r>
          </w:p>
        </w:tc>
        <w:tc>
          <w:tcPr>
            <w:tcW w:w="1241" w:type="dxa"/>
            <w:shd w:val="clear" w:color="auto" w:fill="auto"/>
            <w:vAlign w:val="center"/>
          </w:tcPr>
          <w:p w14:paraId="77945EC2" w14:textId="2B89054F" w:rsidR="00A13670" w:rsidRPr="00227773" w:rsidRDefault="004D6439"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Pr>
                <w:rFonts w:cstheme="minorHAnsi"/>
                <w:color w:val="auto"/>
                <w:szCs w:val="20"/>
              </w:rPr>
              <w:t>2022</w:t>
            </w:r>
          </w:p>
        </w:tc>
        <w:tc>
          <w:tcPr>
            <w:tcW w:w="1272" w:type="dxa"/>
            <w:shd w:val="clear" w:color="auto" w:fill="auto"/>
            <w:vAlign w:val="center"/>
          </w:tcPr>
          <w:p w14:paraId="120422E1" w14:textId="14EC87F3" w:rsidR="00A13670" w:rsidRPr="00227773" w:rsidRDefault="004D6439"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4D6439">
              <w:rPr>
                <w:rFonts w:cstheme="minorHAnsi"/>
                <w:bCs/>
                <w:color w:val="auto"/>
                <w:szCs w:val="20"/>
              </w:rPr>
              <w:t>↑</w:t>
            </w:r>
          </w:p>
        </w:tc>
        <w:tc>
          <w:tcPr>
            <w:tcW w:w="1090" w:type="dxa"/>
            <w:shd w:val="clear" w:color="auto" w:fill="auto"/>
            <w:vAlign w:val="center"/>
          </w:tcPr>
          <w:p w14:paraId="43BAC284" w14:textId="24BAB058" w:rsidR="00A13670" w:rsidRPr="00227773" w:rsidRDefault="004D6439"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Pr>
                <w:rFonts w:cstheme="minorHAnsi"/>
                <w:bCs/>
                <w:color w:val="auto"/>
                <w:szCs w:val="20"/>
              </w:rPr>
              <w:t>2030</w:t>
            </w:r>
          </w:p>
        </w:tc>
        <w:tc>
          <w:tcPr>
            <w:tcW w:w="2262" w:type="dxa"/>
            <w:shd w:val="clear" w:color="auto" w:fill="auto"/>
            <w:vAlign w:val="center"/>
          </w:tcPr>
          <w:p w14:paraId="6EC5254E" w14:textId="5247790D" w:rsidR="00A13670" w:rsidRPr="00227773" w:rsidRDefault="004D6439"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4D6439">
              <w:rPr>
                <w:rFonts w:cstheme="minorHAnsi"/>
                <w:bCs/>
                <w:color w:val="auto"/>
                <w:szCs w:val="20"/>
              </w:rPr>
              <w:t>Urząd miejski w Tarnogrodzie</w:t>
            </w:r>
          </w:p>
        </w:tc>
      </w:tr>
      <w:tr w:rsidR="00A13670" w:rsidRPr="00227773" w14:paraId="66B68B8E" w14:textId="77777777" w:rsidTr="0022777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7274DD86" w14:textId="77777777" w:rsidR="00A13670" w:rsidRPr="00227773" w:rsidRDefault="00A13670">
            <w:pPr>
              <w:numPr>
                <w:ilvl w:val="0"/>
                <w:numId w:val="27"/>
              </w:numPr>
              <w:tabs>
                <w:tab w:val="left" w:pos="3119"/>
              </w:tabs>
              <w:autoSpaceDE w:val="0"/>
              <w:autoSpaceDN w:val="0"/>
              <w:adjustRightInd w:val="0"/>
              <w:ind w:left="142" w:firstLine="0"/>
              <w:contextualSpacing/>
              <w:jc w:val="center"/>
              <w:rPr>
                <w:rFonts w:eastAsia="Calibri" w:cstheme="minorHAnsi"/>
                <w:color w:val="auto"/>
                <w:szCs w:val="20"/>
                <w:lang w:eastAsia="pl-PL"/>
              </w:rPr>
            </w:pPr>
          </w:p>
        </w:tc>
        <w:tc>
          <w:tcPr>
            <w:tcW w:w="5372" w:type="dxa"/>
            <w:shd w:val="clear" w:color="auto" w:fill="auto"/>
            <w:vAlign w:val="center"/>
          </w:tcPr>
          <w:p w14:paraId="086359B1" w14:textId="1B7B6533" w:rsidR="00A13670" w:rsidRDefault="00A13670" w:rsidP="00A13670">
            <w:pPr>
              <w:tabs>
                <w:tab w:val="left" w:pos="3119"/>
              </w:tabs>
              <w:autoSpaceDE w:val="0"/>
              <w:autoSpaceDN w:val="0"/>
              <w:adjustRightInd w:val="0"/>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Pr>
                <w:rFonts w:cstheme="minorHAnsi"/>
                <w:bCs/>
                <w:color w:val="auto"/>
                <w:szCs w:val="20"/>
              </w:rPr>
              <w:t>Liczba zmodernizowanych lamp</w:t>
            </w:r>
          </w:p>
        </w:tc>
        <w:tc>
          <w:tcPr>
            <w:tcW w:w="1106" w:type="dxa"/>
            <w:shd w:val="clear" w:color="auto" w:fill="auto"/>
            <w:vAlign w:val="center"/>
          </w:tcPr>
          <w:p w14:paraId="66748017" w14:textId="5CA85E3C" w:rsidR="00A13670" w:rsidRPr="00227773" w:rsidRDefault="004D6439"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Pr>
                <w:rFonts w:cstheme="minorHAnsi"/>
                <w:color w:val="auto"/>
                <w:szCs w:val="20"/>
              </w:rPr>
              <w:t>szt.</w:t>
            </w:r>
          </w:p>
        </w:tc>
        <w:tc>
          <w:tcPr>
            <w:tcW w:w="1506" w:type="dxa"/>
            <w:shd w:val="clear" w:color="auto" w:fill="auto"/>
            <w:vAlign w:val="center"/>
          </w:tcPr>
          <w:p w14:paraId="1E62D351" w14:textId="42340FD8" w:rsidR="00A13670" w:rsidRPr="00227773" w:rsidRDefault="004D6439"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Pr>
                <w:rFonts w:cstheme="minorHAnsi"/>
                <w:color w:val="auto"/>
                <w:szCs w:val="20"/>
              </w:rPr>
              <w:t>0</w:t>
            </w:r>
          </w:p>
        </w:tc>
        <w:tc>
          <w:tcPr>
            <w:tcW w:w="1241" w:type="dxa"/>
            <w:shd w:val="clear" w:color="auto" w:fill="auto"/>
            <w:vAlign w:val="center"/>
          </w:tcPr>
          <w:p w14:paraId="50517F8D" w14:textId="28FB5377" w:rsidR="00A13670" w:rsidRPr="00227773" w:rsidRDefault="004D6439"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Pr>
                <w:rFonts w:cstheme="minorHAnsi"/>
                <w:color w:val="auto"/>
                <w:szCs w:val="20"/>
              </w:rPr>
              <w:t>2022</w:t>
            </w:r>
          </w:p>
        </w:tc>
        <w:tc>
          <w:tcPr>
            <w:tcW w:w="1272" w:type="dxa"/>
            <w:shd w:val="clear" w:color="auto" w:fill="auto"/>
            <w:vAlign w:val="center"/>
          </w:tcPr>
          <w:p w14:paraId="619715BE" w14:textId="036728AE" w:rsidR="00A13670" w:rsidRPr="00227773" w:rsidRDefault="004D6439"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4D6439">
              <w:rPr>
                <w:rFonts w:cstheme="minorHAnsi"/>
                <w:bCs/>
                <w:color w:val="auto"/>
                <w:szCs w:val="20"/>
              </w:rPr>
              <w:t>↑</w:t>
            </w:r>
          </w:p>
        </w:tc>
        <w:tc>
          <w:tcPr>
            <w:tcW w:w="1090" w:type="dxa"/>
            <w:shd w:val="clear" w:color="auto" w:fill="auto"/>
            <w:vAlign w:val="center"/>
          </w:tcPr>
          <w:p w14:paraId="7C2A0BD6" w14:textId="0DC68C6C" w:rsidR="00A13670" w:rsidRPr="00227773" w:rsidRDefault="004D6439"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Pr>
                <w:rFonts w:cstheme="minorHAnsi"/>
                <w:bCs/>
                <w:color w:val="auto"/>
                <w:szCs w:val="20"/>
              </w:rPr>
              <w:t>2030</w:t>
            </w:r>
          </w:p>
        </w:tc>
        <w:tc>
          <w:tcPr>
            <w:tcW w:w="2262" w:type="dxa"/>
            <w:shd w:val="clear" w:color="auto" w:fill="auto"/>
            <w:vAlign w:val="center"/>
          </w:tcPr>
          <w:p w14:paraId="74150D92" w14:textId="2A1ACFD5" w:rsidR="00A13670" w:rsidRPr="00227773" w:rsidRDefault="004D6439"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4D6439">
              <w:rPr>
                <w:rFonts w:cstheme="minorHAnsi"/>
                <w:bCs/>
                <w:color w:val="auto"/>
                <w:szCs w:val="20"/>
              </w:rPr>
              <w:t>Urząd miejski w Tarnogrodzie</w:t>
            </w:r>
          </w:p>
        </w:tc>
      </w:tr>
      <w:tr w:rsidR="00A13670" w:rsidRPr="00227773" w14:paraId="7A1B3CEE" w14:textId="77777777" w:rsidTr="00227773">
        <w:trPr>
          <w:trHeight w:val="567"/>
        </w:trPr>
        <w:tc>
          <w:tcPr>
            <w:cnfStyle w:val="001000000000" w:firstRow="0" w:lastRow="0" w:firstColumn="1" w:lastColumn="0" w:oddVBand="0" w:evenVBand="0" w:oddHBand="0" w:evenHBand="0" w:firstRowFirstColumn="0" w:firstRowLastColumn="0" w:lastRowFirstColumn="0" w:lastRowLastColumn="0"/>
            <w:tcW w:w="14488" w:type="dxa"/>
            <w:gridSpan w:val="8"/>
            <w:shd w:val="clear" w:color="auto" w:fill="E0F0BD" w:themeFill="text2" w:themeFillTint="33"/>
            <w:vAlign w:val="center"/>
          </w:tcPr>
          <w:p w14:paraId="1D390715" w14:textId="7582966A" w:rsidR="00A13670" w:rsidRPr="00227773" w:rsidRDefault="00A13670" w:rsidP="00A13670">
            <w:pPr>
              <w:tabs>
                <w:tab w:val="left" w:pos="3119"/>
              </w:tabs>
              <w:ind w:firstLine="0"/>
              <w:jc w:val="center"/>
              <w:rPr>
                <w:rFonts w:asciiTheme="minorHAnsi" w:hAnsiTheme="minorHAnsi" w:cstheme="minorHAnsi"/>
                <w:color w:val="auto"/>
                <w:szCs w:val="20"/>
              </w:rPr>
            </w:pPr>
            <w:r>
              <w:rPr>
                <w:rFonts w:asciiTheme="minorHAnsi" w:hAnsiTheme="minorHAnsi" w:cstheme="minorHAnsi"/>
                <w:color w:val="auto"/>
                <w:szCs w:val="20"/>
              </w:rPr>
              <w:t>Obszar bezpieczeństwo</w:t>
            </w:r>
          </w:p>
        </w:tc>
      </w:tr>
      <w:tr w:rsidR="00A13670" w:rsidRPr="00227773" w14:paraId="5443D511" w14:textId="77777777" w:rsidTr="0022777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72667AD9" w14:textId="77777777" w:rsidR="00A13670" w:rsidRPr="00227773" w:rsidRDefault="00A13670">
            <w:pPr>
              <w:numPr>
                <w:ilvl w:val="0"/>
                <w:numId w:val="27"/>
              </w:numPr>
              <w:tabs>
                <w:tab w:val="left" w:pos="3119"/>
              </w:tabs>
              <w:autoSpaceDE w:val="0"/>
              <w:autoSpaceDN w:val="0"/>
              <w:adjustRightInd w:val="0"/>
              <w:ind w:left="142" w:firstLine="0"/>
              <w:contextualSpacing/>
              <w:jc w:val="center"/>
              <w:rPr>
                <w:rFonts w:asciiTheme="minorHAnsi" w:eastAsia="Calibri" w:hAnsiTheme="minorHAnsi" w:cstheme="minorHAnsi"/>
                <w:color w:val="auto"/>
                <w:szCs w:val="20"/>
                <w:lang w:eastAsia="pl-PL"/>
              </w:rPr>
            </w:pPr>
          </w:p>
        </w:tc>
        <w:tc>
          <w:tcPr>
            <w:tcW w:w="5372" w:type="dxa"/>
            <w:shd w:val="clear" w:color="auto" w:fill="auto"/>
            <w:vAlign w:val="center"/>
          </w:tcPr>
          <w:p w14:paraId="6083D90E" w14:textId="565D33E8" w:rsidR="00A13670" w:rsidRPr="00227773" w:rsidRDefault="00E3531B" w:rsidP="00A13670">
            <w:pPr>
              <w:tabs>
                <w:tab w:val="left" w:pos="3119"/>
              </w:tabs>
              <w:autoSpaceDE w:val="0"/>
              <w:autoSpaceDN w:val="0"/>
              <w:adjustRightInd w:val="0"/>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Pr>
                <w:rFonts w:cstheme="minorHAnsi"/>
                <w:bCs/>
                <w:color w:val="auto"/>
                <w:szCs w:val="20"/>
              </w:rPr>
              <w:t>Zakupione d</w:t>
            </w:r>
            <w:r w:rsidR="00A13670" w:rsidRPr="00227773">
              <w:rPr>
                <w:rFonts w:cstheme="minorHAnsi"/>
                <w:bCs/>
                <w:color w:val="auto"/>
                <w:szCs w:val="20"/>
              </w:rPr>
              <w:t>oposażenie jednostki Straży Pożarnej</w:t>
            </w:r>
          </w:p>
        </w:tc>
        <w:tc>
          <w:tcPr>
            <w:tcW w:w="1106" w:type="dxa"/>
            <w:shd w:val="clear" w:color="auto" w:fill="auto"/>
            <w:vAlign w:val="center"/>
          </w:tcPr>
          <w:p w14:paraId="0FB50914" w14:textId="4954E1DD"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szt.</w:t>
            </w:r>
          </w:p>
        </w:tc>
        <w:tc>
          <w:tcPr>
            <w:tcW w:w="1506" w:type="dxa"/>
            <w:shd w:val="clear" w:color="auto" w:fill="auto"/>
            <w:vAlign w:val="center"/>
          </w:tcPr>
          <w:p w14:paraId="3D2AE273" w14:textId="2FD168FA"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0</w:t>
            </w:r>
          </w:p>
        </w:tc>
        <w:tc>
          <w:tcPr>
            <w:tcW w:w="1241" w:type="dxa"/>
            <w:shd w:val="clear" w:color="auto" w:fill="auto"/>
            <w:vAlign w:val="center"/>
          </w:tcPr>
          <w:p w14:paraId="3A36EC40" w14:textId="77777777"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2022</w:t>
            </w:r>
          </w:p>
        </w:tc>
        <w:tc>
          <w:tcPr>
            <w:tcW w:w="1272" w:type="dxa"/>
            <w:shd w:val="clear" w:color="auto" w:fill="auto"/>
            <w:vAlign w:val="center"/>
          </w:tcPr>
          <w:p w14:paraId="68123302" w14:textId="21B86F56"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w:t>
            </w:r>
          </w:p>
        </w:tc>
        <w:tc>
          <w:tcPr>
            <w:tcW w:w="1090" w:type="dxa"/>
            <w:shd w:val="clear" w:color="auto" w:fill="auto"/>
            <w:vAlign w:val="center"/>
          </w:tcPr>
          <w:p w14:paraId="1D3BB2D0" w14:textId="77777777"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2030</w:t>
            </w:r>
          </w:p>
        </w:tc>
        <w:tc>
          <w:tcPr>
            <w:tcW w:w="2262" w:type="dxa"/>
            <w:shd w:val="clear" w:color="auto" w:fill="auto"/>
            <w:vAlign w:val="center"/>
          </w:tcPr>
          <w:p w14:paraId="16479C4C" w14:textId="34CD8CDE" w:rsidR="00A13670" w:rsidRPr="00227773" w:rsidRDefault="007050F2"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Pr>
                <w:rFonts w:cstheme="minorHAnsi"/>
                <w:bCs/>
                <w:color w:val="auto"/>
                <w:szCs w:val="20"/>
              </w:rPr>
              <w:t>KSRG OSP Tarnogród</w:t>
            </w:r>
          </w:p>
        </w:tc>
      </w:tr>
      <w:tr w:rsidR="00E3531B" w:rsidRPr="00227773" w14:paraId="3938A499" w14:textId="77777777" w:rsidTr="00227773">
        <w:trPr>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37B6854E" w14:textId="77777777" w:rsidR="00E3531B" w:rsidRPr="00227773" w:rsidRDefault="00E3531B">
            <w:pPr>
              <w:numPr>
                <w:ilvl w:val="0"/>
                <w:numId w:val="27"/>
              </w:numPr>
              <w:tabs>
                <w:tab w:val="left" w:pos="3119"/>
              </w:tabs>
              <w:autoSpaceDE w:val="0"/>
              <w:autoSpaceDN w:val="0"/>
              <w:adjustRightInd w:val="0"/>
              <w:ind w:left="142" w:firstLine="0"/>
              <w:contextualSpacing/>
              <w:jc w:val="center"/>
              <w:rPr>
                <w:rFonts w:eastAsia="Calibri" w:cstheme="minorHAnsi"/>
                <w:color w:val="auto"/>
                <w:szCs w:val="20"/>
                <w:lang w:eastAsia="pl-PL"/>
              </w:rPr>
            </w:pPr>
          </w:p>
        </w:tc>
        <w:tc>
          <w:tcPr>
            <w:tcW w:w="5372" w:type="dxa"/>
            <w:shd w:val="clear" w:color="auto" w:fill="auto"/>
            <w:vAlign w:val="center"/>
          </w:tcPr>
          <w:p w14:paraId="7024C7FE" w14:textId="3363A37C" w:rsidR="00E3531B" w:rsidRDefault="00E3531B" w:rsidP="00A13670">
            <w:pPr>
              <w:tabs>
                <w:tab w:val="left" w:pos="3119"/>
              </w:tabs>
              <w:autoSpaceDE w:val="0"/>
              <w:autoSpaceDN w:val="0"/>
              <w:adjustRightInd w:val="0"/>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Pr>
                <w:rFonts w:cstheme="minorHAnsi"/>
                <w:bCs/>
                <w:color w:val="auto"/>
                <w:szCs w:val="20"/>
              </w:rPr>
              <w:t>Zaktualizowane/opracowane plany kryzysowe</w:t>
            </w:r>
          </w:p>
        </w:tc>
        <w:tc>
          <w:tcPr>
            <w:tcW w:w="1106" w:type="dxa"/>
            <w:shd w:val="clear" w:color="auto" w:fill="auto"/>
            <w:vAlign w:val="center"/>
          </w:tcPr>
          <w:p w14:paraId="4E194020" w14:textId="45187F70" w:rsidR="00E3531B" w:rsidRPr="00227773" w:rsidRDefault="007050F2"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Pr>
                <w:rFonts w:cstheme="minorHAnsi"/>
                <w:color w:val="auto"/>
                <w:szCs w:val="20"/>
              </w:rPr>
              <w:t>szt.</w:t>
            </w:r>
          </w:p>
        </w:tc>
        <w:tc>
          <w:tcPr>
            <w:tcW w:w="1506" w:type="dxa"/>
            <w:shd w:val="clear" w:color="auto" w:fill="auto"/>
            <w:vAlign w:val="center"/>
          </w:tcPr>
          <w:p w14:paraId="39BDF859" w14:textId="2C8C69D1" w:rsidR="00E3531B" w:rsidRPr="00227773" w:rsidRDefault="007050F2"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Pr>
                <w:rFonts w:cstheme="minorHAnsi"/>
                <w:color w:val="auto"/>
                <w:szCs w:val="20"/>
              </w:rPr>
              <w:t>0</w:t>
            </w:r>
          </w:p>
        </w:tc>
        <w:tc>
          <w:tcPr>
            <w:tcW w:w="1241" w:type="dxa"/>
            <w:shd w:val="clear" w:color="auto" w:fill="auto"/>
            <w:vAlign w:val="center"/>
          </w:tcPr>
          <w:p w14:paraId="47ED3750" w14:textId="5382F442" w:rsidR="00E3531B" w:rsidRPr="00227773" w:rsidRDefault="007050F2"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Pr>
                <w:rFonts w:cstheme="minorHAnsi"/>
                <w:color w:val="auto"/>
                <w:szCs w:val="20"/>
              </w:rPr>
              <w:t>2022</w:t>
            </w:r>
          </w:p>
        </w:tc>
        <w:tc>
          <w:tcPr>
            <w:tcW w:w="1272" w:type="dxa"/>
            <w:shd w:val="clear" w:color="auto" w:fill="auto"/>
            <w:vAlign w:val="center"/>
          </w:tcPr>
          <w:p w14:paraId="726FCEC0" w14:textId="1F277874" w:rsidR="00E3531B" w:rsidRPr="00227773" w:rsidRDefault="007050F2"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w:t>
            </w:r>
          </w:p>
        </w:tc>
        <w:tc>
          <w:tcPr>
            <w:tcW w:w="1090" w:type="dxa"/>
            <w:shd w:val="clear" w:color="auto" w:fill="auto"/>
            <w:vAlign w:val="center"/>
          </w:tcPr>
          <w:p w14:paraId="465BA205" w14:textId="186BE1EF" w:rsidR="00E3531B" w:rsidRPr="00227773" w:rsidRDefault="007050F2"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Pr>
                <w:rFonts w:cstheme="minorHAnsi"/>
                <w:bCs/>
                <w:color w:val="auto"/>
                <w:szCs w:val="20"/>
              </w:rPr>
              <w:t>2030</w:t>
            </w:r>
          </w:p>
        </w:tc>
        <w:tc>
          <w:tcPr>
            <w:tcW w:w="2262" w:type="dxa"/>
            <w:shd w:val="clear" w:color="auto" w:fill="auto"/>
            <w:vAlign w:val="center"/>
          </w:tcPr>
          <w:p w14:paraId="446386D6" w14:textId="48FB8123" w:rsidR="00E3531B" w:rsidRPr="00227773" w:rsidRDefault="007050F2"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Pr>
                <w:rFonts w:cstheme="minorHAnsi"/>
                <w:bCs/>
                <w:color w:val="auto"/>
                <w:szCs w:val="20"/>
              </w:rPr>
              <w:t>Urząd Miejski w Tarnogrodzie</w:t>
            </w:r>
          </w:p>
        </w:tc>
      </w:tr>
      <w:tr w:rsidR="00A13670" w:rsidRPr="00227773" w14:paraId="56966BB1" w14:textId="77777777" w:rsidTr="0022777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14488" w:type="dxa"/>
            <w:gridSpan w:val="8"/>
            <w:shd w:val="clear" w:color="auto" w:fill="E0F0BD" w:themeFill="text2" w:themeFillTint="33"/>
            <w:vAlign w:val="center"/>
          </w:tcPr>
          <w:p w14:paraId="781AA54E" w14:textId="44F16DA9" w:rsidR="00A13670" w:rsidRPr="00227773" w:rsidRDefault="00A13670" w:rsidP="00A13670">
            <w:pPr>
              <w:tabs>
                <w:tab w:val="left" w:pos="3119"/>
              </w:tabs>
              <w:ind w:firstLine="0"/>
              <w:jc w:val="center"/>
              <w:rPr>
                <w:rFonts w:asciiTheme="minorHAnsi" w:hAnsiTheme="minorHAnsi" w:cstheme="minorHAnsi"/>
                <w:color w:val="auto"/>
                <w:szCs w:val="20"/>
              </w:rPr>
            </w:pPr>
            <w:r>
              <w:rPr>
                <w:rFonts w:asciiTheme="minorHAnsi" w:hAnsiTheme="minorHAnsi" w:cstheme="minorHAnsi"/>
                <w:color w:val="auto"/>
                <w:szCs w:val="20"/>
              </w:rPr>
              <w:t>Obszar edukacja</w:t>
            </w:r>
          </w:p>
        </w:tc>
      </w:tr>
      <w:tr w:rsidR="00A13670" w:rsidRPr="00227773" w14:paraId="432F53CC" w14:textId="77777777" w:rsidTr="00227773">
        <w:trPr>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63AE5637" w14:textId="77777777" w:rsidR="00A13670" w:rsidRPr="00227773" w:rsidRDefault="00A13670">
            <w:pPr>
              <w:numPr>
                <w:ilvl w:val="0"/>
                <w:numId w:val="27"/>
              </w:numPr>
              <w:tabs>
                <w:tab w:val="left" w:pos="3119"/>
              </w:tabs>
              <w:autoSpaceDE w:val="0"/>
              <w:autoSpaceDN w:val="0"/>
              <w:adjustRightInd w:val="0"/>
              <w:ind w:left="142" w:firstLine="0"/>
              <w:contextualSpacing/>
              <w:jc w:val="center"/>
              <w:rPr>
                <w:rFonts w:asciiTheme="minorHAnsi" w:eastAsia="Calibri" w:hAnsiTheme="minorHAnsi" w:cstheme="minorHAnsi"/>
                <w:color w:val="auto"/>
                <w:szCs w:val="20"/>
                <w:lang w:eastAsia="pl-PL"/>
              </w:rPr>
            </w:pPr>
          </w:p>
        </w:tc>
        <w:tc>
          <w:tcPr>
            <w:tcW w:w="5372" w:type="dxa"/>
            <w:shd w:val="clear" w:color="auto" w:fill="auto"/>
            <w:vAlign w:val="center"/>
          </w:tcPr>
          <w:p w14:paraId="322E71EB" w14:textId="77777777" w:rsidR="00A13670" w:rsidRPr="00227773" w:rsidRDefault="00A13670" w:rsidP="00A13670">
            <w:pPr>
              <w:tabs>
                <w:tab w:val="left" w:pos="3119"/>
              </w:tabs>
              <w:autoSpaceDE w:val="0"/>
              <w:autoSpaceDN w:val="0"/>
              <w:adjustRightInd w:val="0"/>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Ilość akcji informacyjnych na temat zmian klimatu oraz mitygacji i adaptacji do nich</w:t>
            </w:r>
          </w:p>
        </w:tc>
        <w:tc>
          <w:tcPr>
            <w:tcW w:w="1106" w:type="dxa"/>
            <w:shd w:val="clear" w:color="auto" w:fill="auto"/>
            <w:vAlign w:val="center"/>
          </w:tcPr>
          <w:p w14:paraId="2F0A72EC" w14:textId="1B4AAA91" w:rsidR="00A13670" w:rsidRPr="00227773" w:rsidRDefault="00E3531B"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227773">
              <w:rPr>
                <w:rFonts w:cstheme="minorHAnsi"/>
                <w:color w:val="auto"/>
                <w:szCs w:val="20"/>
              </w:rPr>
              <w:t>szt./rok</w:t>
            </w:r>
          </w:p>
        </w:tc>
        <w:tc>
          <w:tcPr>
            <w:tcW w:w="1506" w:type="dxa"/>
            <w:shd w:val="clear" w:color="auto" w:fill="auto"/>
            <w:vAlign w:val="center"/>
          </w:tcPr>
          <w:p w14:paraId="3AD51A77" w14:textId="314494BA" w:rsidR="00A13670" w:rsidRPr="00227773" w:rsidRDefault="00A13670"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227773">
              <w:rPr>
                <w:rFonts w:cstheme="minorHAnsi"/>
                <w:color w:val="auto"/>
                <w:szCs w:val="20"/>
              </w:rPr>
              <w:t>0</w:t>
            </w:r>
          </w:p>
        </w:tc>
        <w:tc>
          <w:tcPr>
            <w:tcW w:w="1241" w:type="dxa"/>
            <w:shd w:val="clear" w:color="auto" w:fill="auto"/>
            <w:vAlign w:val="center"/>
          </w:tcPr>
          <w:p w14:paraId="6D0074BD" w14:textId="77777777" w:rsidR="00A13670" w:rsidRPr="00227773" w:rsidRDefault="00A13670"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auto"/>
                <w:szCs w:val="20"/>
              </w:rPr>
            </w:pPr>
            <w:r w:rsidRPr="00227773">
              <w:rPr>
                <w:rFonts w:cstheme="minorHAnsi"/>
                <w:color w:val="auto"/>
                <w:szCs w:val="20"/>
              </w:rPr>
              <w:t>2022</w:t>
            </w:r>
          </w:p>
        </w:tc>
        <w:tc>
          <w:tcPr>
            <w:tcW w:w="1272" w:type="dxa"/>
            <w:shd w:val="clear" w:color="auto" w:fill="auto"/>
            <w:vAlign w:val="center"/>
          </w:tcPr>
          <w:p w14:paraId="458B5884" w14:textId="78427069" w:rsidR="00A13670" w:rsidRPr="00227773" w:rsidRDefault="00A13670"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w:t>
            </w:r>
          </w:p>
        </w:tc>
        <w:tc>
          <w:tcPr>
            <w:tcW w:w="1090" w:type="dxa"/>
            <w:shd w:val="clear" w:color="auto" w:fill="auto"/>
            <w:vAlign w:val="center"/>
          </w:tcPr>
          <w:p w14:paraId="0DCFA256" w14:textId="77777777" w:rsidR="00A13670" w:rsidRPr="00227773" w:rsidRDefault="00A13670"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227773">
              <w:rPr>
                <w:rFonts w:cstheme="minorHAnsi"/>
                <w:bCs/>
                <w:color w:val="auto"/>
                <w:szCs w:val="20"/>
              </w:rPr>
              <w:t>2030</w:t>
            </w:r>
          </w:p>
        </w:tc>
        <w:tc>
          <w:tcPr>
            <w:tcW w:w="2262" w:type="dxa"/>
            <w:shd w:val="clear" w:color="auto" w:fill="auto"/>
            <w:vAlign w:val="center"/>
          </w:tcPr>
          <w:p w14:paraId="719383AC" w14:textId="77EB87D1" w:rsidR="00A13670" w:rsidRPr="00227773" w:rsidRDefault="004D6439" w:rsidP="00A13670">
            <w:pPr>
              <w:tabs>
                <w:tab w:val="left" w:pos="3119"/>
              </w:tabs>
              <w:spacing w:before="40" w:after="40"/>
              <w:ind w:firstLine="0"/>
              <w:jc w:val="center"/>
              <w:cnfStyle w:val="000000000000" w:firstRow="0" w:lastRow="0" w:firstColumn="0" w:lastColumn="0" w:oddVBand="0" w:evenVBand="0" w:oddHBand="0" w:evenHBand="0" w:firstRowFirstColumn="0" w:firstRowLastColumn="0" w:lastRowFirstColumn="0" w:lastRowLastColumn="0"/>
              <w:rPr>
                <w:rFonts w:cstheme="minorHAnsi"/>
                <w:bCs/>
                <w:color w:val="auto"/>
                <w:szCs w:val="20"/>
              </w:rPr>
            </w:pPr>
            <w:r w:rsidRPr="004D6439">
              <w:rPr>
                <w:rFonts w:cstheme="minorHAnsi"/>
                <w:bCs/>
                <w:color w:val="auto"/>
                <w:szCs w:val="20"/>
              </w:rPr>
              <w:t>Urząd miejski w Tarnogrodzie</w:t>
            </w:r>
          </w:p>
        </w:tc>
      </w:tr>
      <w:tr w:rsidR="00A13670" w:rsidRPr="00227773" w14:paraId="3179EA87" w14:textId="77777777" w:rsidTr="00227773">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639" w:type="dxa"/>
            <w:shd w:val="clear" w:color="auto" w:fill="auto"/>
            <w:vAlign w:val="center"/>
          </w:tcPr>
          <w:p w14:paraId="09AE8BC2" w14:textId="77777777" w:rsidR="00A13670" w:rsidRPr="00227773" w:rsidRDefault="00A13670">
            <w:pPr>
              <w:numPr>
                <w:ilvl w:val="0"/>
                <w:numId w:val="27"/>
              </w:numPr>
              <w:tabs>
                <w:tab w:val="left" w:pos="3119"/>
              </w:tabs>
              <w:autoSpaceDE w:val="0"/>
              <w:autoSpaceDN w:val="0"/>
              <w:adjustRightInd w:val="0"/>
              <w:ind w:left="142" w:firstLine="0"/>
              <w:contextualSpacing/>
              <w:jc w:val="center"/>
              <w:rPr>
                <w:rFonts w:asciiTheme="minorHAnsi" w:eastAsia="Calibri" w:hAnsiTheme="minorHAnsi" w:cstheme="minorHAnsi"/>
                <w:color w:val="auto"/>
                <w:szCs w:val="20"/>
                <w:lang w:eastAsia="pl-PL"/>
              </w:rPr>
            </w:pPr>
          </w:p>
        </w:tc>
        <w:tc>
          <w:tcPr>
            <w:tcW w:w="5372" w:type="dxa"/>
            <w:shd w:val="clear" w:color="auto" w:fill="auto"/>
            <w:vAlign w:val="center"/>
          </w:tcPr>
          <w:p w14:paraId="0834525E" w14:textId="36CFFC24" w:rsidR="00A13670" w:rsidRPr="00227773" w:rsidRDefault="00E3531B" w:rsidP="00A13670">
            <w:pPr>
              <w:tabs>
                <w:tab w:val="left" w:pos="3119"/>
              </w:tabs>
              <w:autoSpaceDE w:val="0"/>
              <w:autoSpaceDN w:val="0"/>
              <w:adjustRightInd w:val="0"/>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Pr>
                <w:rFonts w:cstheme="minorHAnsi"/>
                <w:bCs/>
                <w:color w:val="auto"/>
                <w:szCs w:val="20"/>
              </w:rPr>
              <w:t>Przeprowadzone d</w:t>
            </w:r>
            <w:r w:rsidR="00A13670" w:rsidRPr="00227773">
              <w:rPr>
                <w:rFonts w:cstheme="minorHAnsi"/>
                <w:bCs/>
                <w:color w:val="auto"/>
                <w:szCs w:val="20"/>
              </w:rPr>
              <w:t>ziałania edukacyjne zgodnie z zadaniami niniejszego dokumentu</w:t>
            </w:r>
          </w:p>
        </w:tc>
        <w:tc>
          <w:tcPr>
            <w:tcW w:w="1106" w:type="dxa"/>
            <w:shd w:val="clear" w:color="auto" w:fill="auto"/>
            <w:vAlign w:val="center"/>
          </w:tcPr>
          <w:p w14:paraId="537CA09F" w14:textId="77070E75" w:rsidR="00A13670" w:rsidRPr="00227773" w:rsidRDefault="00E3531B"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szt./rok</w:t>
            </w:r>
          </w:p>
        </w:tc>
        <w:tc>
          <w:tcPr>
            <w:tcW w:w="1506" w:type="dxa"/>
            <w:shd w:val="clear" w:color="auto" w:fill="auto"/>
            <w:vAlign w:val="center"/>
          </w:tcPr>
          <w:p w14:paraId="5A489F29" w14:textId="3EE788EC"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0</w:t>
            </w:r>
          </w:p>
        </w:tc>
        <w:tc>
          <w:tcPr>
            <w:tcW w:w="1241" w:type="dxa"/>
            <w:shd w:val="clear" w:color="auto" w:fill="auto"/>
            <w:vAlign w:val="center"/>
          </w:tcPr>
          <w:p w14:paraId="688948A9" w14:textId="77777777"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auto"/>
                <w:szCs w:val="20"/>
              </w:rPr>
            </w:pPr>
            <w:r w:rsidRPr="00227773">
              <w:rPr>
                <w:rFonts w:cstheme="minorHAnsi"/>
                <w:color w:val="auto"/>
                <w:szCs w:val="20"/>
              </w:rPr>
              <w:t>2022</w:t>
            </w:r>
          </w:p>
        </w:tc>
        <w:tc>
          <w:tcPr>
            <w:tcW w:w="1272" w:type="dxa"/>
            <w:shd w:val="clear" w:color="auto" w:fill="auto"/>
            <w:vAlign w:val="center"/>
          </w:tcPr>
          <w:p w14:paraId="75B55CF3" w14:textId="7168998F"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w:t>
            </w:r>
          </w:p>
        </w:tc>
        <w:tc>
          <w:tcPr>
            <w:tcW w:w="1090" w:type="dxa"/>
            <w:shd w:val="clear" w:color="auto" w:fill="auto"/>
            <w:vAlign w:val="center"/>
          </w:tcPr>
          <w:p w14:paraId="49BBC326" w14:textId="77777777" w:rsidR="00A13670" w:rsidRPr="00227773" w:rsidRDefault="00A13670"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227773">
              <w:rPr>
                <w:rFonts w:cstheme="minorHAnsi"/>
                <w:bCs/>
                <w:color w:val="auto"/>
                <w:szCs w:val="20"/>
              </w:rPr>
              <w:t>2030</w:t>
            </w:r>
          </w:p>
        </w:tc>
        <w:tc>
          <w:tcPr>
            <w:tcW w:w="2262" w:type="dxa"/>
            <w:shd w:val="clear" w:color="auto" w:fill="auto"/>
            <w:vAlign w:val="center"/>
          </w:tcPr>
          <w:p w14:paraId="433A5FCC" w14:textId="7B776A27" w:rsidR="00A13670" w:rsidRPr="00227773" w:rsidRDefault="004D6439" w:rsidP="00A13670">
            <w:pPr>
              <w:tabs>
                <w:tab w:val="left" w:pos="3119"/>
              </w:tabs>
              <w:spacing w:before="40" w:after="40"/>
              <w:ind w:firstLine="0"/>
              <w:jc w:val="center"/>
              <w:cnfStyle w:val="000000100000" w:firstRow="0" w:lastRow="0" w:firstColumn="0" w:lastColumn="0" w:oddVBand="0" w:evenVBand="0" w:oddHBand="1" w:evenHBand="0" w:firstRowFirstColumn="0" w:firstRowLastColumn="0" w:lastRowFirstColumn="0" w:lastRowLastColumn="0"/>
              <w:rPr>
                <w:rFonts w:cstheme="minorHAnsi"/>
                <w:bCs/>
                <w:color w:val="auto"/>
                <w:szCs w:val="20"/>
              </w:rPr>
            </w:pPr>
            <w:r w:rsidRPr="004D6439">
              <w:rPr>
                <w:rFonts w:cstheme="minorHAnsi"/>
                <w:bCs/>
                <w:color w:val="auto"/>
                <w:szCs w:val="20"/>
              </w:rPr>
              <w:t>Urząd miejski w Tarnogrodzie</w:t>
            </w:r>
          </w:p>
        </w:tc>
      </w:tr>
    </w:tbl>
    <w:p w14:paraId="5DBF1221" w14:textId="7EC44FF2" w:rsidR="00051C8D" w:rsidRPr="00655FC7" w:rsidRDefault="00936C7F" w:rsidP="007050EC">
      <w:pPr>
        <w:tabs>
          <w:tab w:val="left" w:pos="3119"/>
        </w:tabs>
        <w:ind w:firstLine="0"/>
        <w:jc w:val="center"/>
        <w:rPr>
          <w:rFonts w:cstheme="minorHAnsi"/>
          <w:color w:val="auto"/>
        </w:rPr>
      </w:pPr>
      <w:r w:rsidRPr="00655FC7">
        <w:rPr>
          <w:rFonts w:cstheme="minorHAnsi"/>
          <w:color w:val="auto"/>
          <w:sz w:val="20"/>
        </w:rPr>
        <w:t>Źródło:</w:t>
      </w:r>
      <w:r w:rsidR="00C3065E" w:rsidRPr="00655FC7">
        <w:rPr>
          <w:rFonts w:cstheme="minorHAnsi"/>
          <w:color w:val="auto"/>
          <w:sz w:val="20"/>
        </w:rPr>
        <w:t xml:space="preserve"> opracowanie własne</w:t>
      </w:r>
      <w:bookmarkStart w:id="294" w:name="_Toc45188241"/>
    </w:p>
    <w:p w14:paraId="1463121E" w14:textId="6D61AB0A" w:rsidR="003D1953" w:rsidRPr="00655FC7" w:rsidRDefault="003D1953" w:rsidP="00071BB6">
      <w:pPr>
        <w:pStyle w:val="Nagwek1"/>
        <w:numPr>
          <w:ilvl w:val="0"/>
          <w:numId w:val="0"/>
        </w:numPr>
        <w:rPr>
          <w:rFonts w:eastAsia="Times New Roman"/>
        </w:rPr>
        <w:sectPr w:rsidR="003D1953" w:rsidRPr="00655FC7" w:rsidSect="006A4AE9">
          <w:headerReference w:type="even" r:id="rId199"/>
          <w:footerReference w:type="even" r:id="rId200"/>
          <w:footerReference w:type="default" r:id="rId201"/>
          <w:pgSz w:w="16838" w:h="11906" w:orient="landscape"/>
          <w:pgMar w:top="1417" w:right="1417" w:bottom="1417" w:left="1417" w:header="709" w:footer="709" w:gutter="0"/>
          <w:cols w:space="708"/>
          <w:docGrid w:linePitch="360"/>
        </w:sectPr>
      </w:pPr>
      <w:bookmarkStart w:id="295" w:name="_Toc110835548"/>
      <w:bookmarkStart w:id="296" w:name="_Toc45188242"/>
      <w:bookmarkStart w:id="297" w:name="_Toc75170272"/>
      <w:bookmarkEnd w:id="294"/>
    </w:p>
    <w:p w14:paraId="07F3775D" w14:textId="14AEDF13" w:rsidR="0053413A" w:rsidRPr="00655FC7" w:rsidRDefault="0053413A" w:rsidP="00A92309"/>
    <w:p w14:paraId="5D93D985" w14:textId="65089CC5" w:rsidR="00D245D7" w:rsidRPr="00655FC7" w:rsidRDefault="00D245D7" w:rsidP="00A92309">
      <w:pPr>
        <w:pStyle w:val="Nagwek1"/>
        <w:rPr>
          <w:rFonts w:eastAsia="Times New Roman"/>
        </w:rPr>
      </w:pPr>
      <w:bookmarkStart w:id="298" w:name="_Toc143596965"/>
      <w:bookmarkStart w:id="299" w:name="_Toc177732095"/>
      <w:r w:rsidRPr="00655FC7">
        <w:rPr>
          <w:rFonts w:eastAsia="Times New Roman"/>
        </w:rPr>
        <w:t xml:space="preserve">Analiza oddziaływania na środowisko realizacji </w:t>
      </w:r>
      <w:bookmarkEnd w:id="295"/>
      <w:r w:rsidR="00F66461" w:rsidRPr="00655FC7">
        <w:rPr>
          <w:rFonts w:eastAsia="Times New Roman"/>
        </w:rPr>
        <w:t>Planu Adaptacji</w:t>
      </w:r>
      <w:r w:rsidRPr="00655FC7">
        <w:rPr>
          <w:rFonts w:eastAsia="Times New Roman"/>
        </w:rPr>
        <w:t xml:space="preserve"> do zmian </w:t>
      </w:r>
      <w:r w:rsidRPr="00655FC7">
        <w:t>klimatu</w:t>
      </w:r>
      <w:bookmarkEnd w:id="298"/>
      <w:bookmarkEnd w:id="299"/>
    </w:p>
    <w:p w14:paraId="0C0C99DD" w14:textId="77777777" w:rsidR="00D245D7" w:rsidRPr="00655FC7" w:rsidRDefault="00D245D7" w:rsidP="00B62479">
      <w:pPr>
        <w:pStyle w:val="Nagwek2"/>
        <w:rPr>
          <w:rFonts w:eastAsia="Times New Roman"/>
        </w:rPr>
      </w:pPr>
      <w:bookmarkStart w:id="300" w:name="_Toc110835549"/>
      <w:bookmarkStart w:id="301" w:name="_Toc143596966"/>
      <w:bookmarkStart w:id="302" w:name="_Toc177732096"/>
      <w:r w:rsidRPr="00655FC7">
        <w:rPr>
          <w:rFonts w:eastAsia="Times New Roman"/>
        </w:rPr>
        <w:t>Potencjalne zmiany istniejącego stanu środowiska w przypadku braku realizacji projektu</w:t>
      </w:r>
      <w:bookmarkEnd w:id="300"/>
      <w:bookmarkEnd w:id="301"/>
      <w:bookmarkEnd w:id="302"/>
    </w:p>
    <w:p w14:paraId="5A775EE4" w14:textId="3155082E" w:rsidR="00D245D7" w:rsidRPr="00655FC7" w:rsidRDefault="00D245D7" w:rsidP="00A92309">
      <w:r w:rsidRPr="00655FC7">
        <w:t xml:space="preserve">Celem projektu </w:t>
      </w:r>
      <w:r w:rsidR="00F66461" w:rsidRPr="00655FC7">
        <w:t>Planu Adaptacji</w:t>
      </w:r>
      <w:r w:rsidRPr="00655FC7">
        <w:t xml:space="preserve"> jest adaptacja </w:t>
      </w:r>
      <w:r w:rsidR="00600BAC" w:rsidRPr="00655FC7">
        <w:t xml:space="preserve">Miasta </w:t>
      </w:r>
      <w:r w:rsidR="004D6439">
        <w:t>Tarnogród</w:t>
      </w:r>
      <w:r w:rsidR="00EB2570" w:rsidRPr="00655FC7">
        <w:t xml:space="preserve"> </w:t>
      </w:r>
      <w:r w:rsidR="00140EF9" w:rsidRPr="00655FC7">
        <w:t>do</w:t>
      </w:r>
      <w:r w:rsidRPr="00655FC7">
        <w:t xml:space="preserve"> zmian klimatu oraz zapewnienie wysokiej jakości życia mieszkańców w zmienia</w:t>
      </w:r>
      <w:r w:rsidR="007C5BB8" w:rsidRPr="00655FC7">
        <w:t>jących się warunkach. Zawarte w </w:t>
      </w:r>
      <w:r w:rsidRPr="00655FC7">
        <w:t xml:space="preserve">dokumencie rozwiązania inwestycyjne, organizacyjne oraz edukacyjne przyczynią się do adaptacji obszaru do zmian klimatu, ich mitygacji oraz właściwego, zgodnego z zasadą zrównoważonego rozwoju gospodarowania zasobami przyrodniczymi. W przypadku braku wdrażania </w:t>
      </w:r>
      <w:r w:rsidR="00F66461" w:rsidRPr="00655FC7">
        <w:t>Planu Adaptacji</w:t>
      </w:r>
      <w:r w:rsidR="008E656C" w:rsidRPr="00655FC7">
        <w:t>,</w:t>
      </w:r>
      <w:r w:rsidRPr="00655FC7">
        <w:t xml:space="preserve"> może nastąpić pogorszenie poziomu życia mieszkańców oraz stanu środowiska na omawianym terenie.</w:t>
      </w:r>
    </w:p>
    <w:p w14:paraId="13AB498F" w14:textId="77777777" w:rsidR="00183D36" w:rsidRDefault="00183D36" w:rsidP="0053413A">
      <w:pPr>
        <w:ind w:firstLine="0"/>
        <w:rPr>
          <w:rFonts w:eastAsia="Calibri" w:cstheme="minorHAnsi"/>
          <w:color w:val="auto"/>
        </w:rPr>
      </w:pPr>
    </w:p>
    <w:p w14:paraId="30804618" w14:textId="03C41020" w:rsidR="00D245D7" w:rsidRPr="00655FC7" w:rsidRDefault="00D245D7" w:rsidP="0053413A">
      <w:pPr>
        <w:ind w:firstLine="0"/>
        <w:rPr>
          <w:rFonts w:eastAsia="Calibri" w:cstheme="minorHAnsi"/>
          <w:color w:val="auto"/>
        </w:rPr>
      </w:pPr>
      <w:r w:rsidRPr="00655FC7">
        <w:rPr>
          <w:rFonts w:eastAsia="Calibri" w:cstheme="minorHAnsi"/>
          <w:color w:val="auto"/>
        </w:rPr>
        <w:t xml:space="preserve">Brak realizacji zapisów projektu </w:t>
      </w:r>
      <w:r w:rsidR="008435D7" w:rsidRPr="00655FC7">
        <w:rPr>
          <w:rFonts w:eastAsia="Calibri" w:cstheme="minorHAnsi"/>
          <w:color w:val="auto"/>
        </w:rPr>
        <w:t xml:space="preserve">Miejskiego </w:t>
      </w:r>
      <w:r w:rsidR="00F66461" w:rsidRPr="00655FC7">
        <w:rPr>
          <w:rFonts w:eastAsia="Calibri" w:cstheme="minorHAnsi"/>
          <w:color w:val="auto"/>
        </w:rPr>
        <w:t>Planu Adaptacji</w:t>
      </w:r>
      <w:r w:rsidRPr="00655FC7">
        <w:rPr>
          <w:rFonts w:eastAsia="Calibri" w:cstheme="minorHAnsi"/>
          <w:color w:val="auto"/>
        </w:rPr>
        <w:t xml:space="preserve"> może doprowadzić m.in. do: </w:t>
      </w:r>
    </w:p>
    <w:p w14:paraId="440DC476" w14:textId="41F8461B" w:rsidR="00D245D7" w:rsidRPr="00655FC7" w:rsidRDefault="00D245D7">
      <w:pPr>
        <w:numPr>
          <w:ilvl w:val="0"/>
          <w:numId w:val="8"/>
        </w:numPr>
        <w:suppressAutoHyphens/>
        <w:ind w:left="714" w:hanging="357"/>
        <w:contextualSpacing/>
        <w:rPr>
          <w:rFonts w:eastAsia="Calibri" w:cstheme="minorHAnsi"/>
          <w:color w:val="auto"/>
          <w:lang w:eastAsia="pl-PL"/>
        </w:rPr>
      </w:pPr>
      <w:r w:rsidRPr="00655FC7">
        <w:rPr>
          <w:rFonts w:eastAsia="Calibri" w:cstheme="minorHAnsi"/>
          <w:color w:val="auto"/>
        </w:rPr>
        <w:t>pogorszenia stanu i jakości powietrza atmosferycznego (związanego z zaniechaniem m.in. działań z zakresu OZE)</w:t>
      </w:r>
      <w:r w:rsidR="008E656C" w:rsidRPr="00655FC7">
        <w:rPr>
          <w:rFonts w:eastAsia="Calibri" w:cstheme="minorHAnsi"/>
          <w:color w:val="auto"/>
        </w:rPr>
        <w:t>,</w:t>
      </w:r>
    </w:p>
    <w:p w14:paraId="5F36B01E" w14:textId="45090BC9" w:rsidR="00D245D7" w:rsidRPr="00655FC7" w:rsidRDefault="00D245D7">
      <w:pPr>
        <w:numPr>
          <w:ilvl w:val="0"/>
          <w:numId w:val="8"/>
        </w:numPr>
        <w:suppressAutoHyphens/>
        <w:rPr>
          <w:rFonts w:eastAsia="Calibri" w:cstheme="minorHAnsi"/>
          <w:color w:val="auto"/>
          <w:lang w:eastAsia="pl-PL"/>
        </w:rPr>
      </w:pPr>
      <w:r w:rsidRPr="00655FC7">
        <w:rPr>
          <w:rFonts w:eastAsia="Calibri" w:cstheme="minorHAnsi"/>
          <w:color w:val="auto"/>
        </w:rPr>
        <w:t>pogorszenia jakości i zasobności wód powierzchniowych i podziemnych</w:t>
      </w:r>
      <w:r w:rsidR="008E656C" w:rsidRPr="00655FC7">
        <w:rPr>
          <w:rFonts w:eastAsia="Calibri" w:cstheme="minorHAnsi"/>
          <w:color w:val="auto"/>
        </w:rPr>
        <w:t>,</w:t>
      </w:r>
    </w:p>
    <w:p w14:paraId="500F5327" w14:textId="71008286" w:rsidR="00D245D7" w:rsidRPr="00655FC7" w:rsidRDefault="00D245D7">
      <w:pPr>
        <w:numPr>
          <w:ilvl w:val="0"/>
          <w:numId w:val="8"/>
        </w:numPr>
        <w:suppressAutoHyphens/>
        <w:ind w:left="714" w:hanging="357"/>
        <w:contextualSpacing/>
        <w:rPr>
          <w:rFonts w:eastAsia="Calibri" w:cstheme="minorHAnsi"/>
          <w:color w:val="auto"/>
          <w:lang w:eastAsia="pl-PL"/>
        </w:rPr>
      </w:pPr>
      <w:r w:rsidRPr="00655FC7">
        <w:rPr>
          <w:rFonts w:eastAsia="Calibri" w:cstheme="minorHAnsi"/>
          <w:color w:val="auto"/>
        </w:rPr>
        <w:t>pogorszenia stanu gospodarki wodno-ściekowej</w:t>
      </w:r>
      <w:r w:rsidR="008E656C" w:rsidRPr="00655FC7">
        <w:rPr>
          <w:rFonts w:eastAsia="Calibri" w:cstheme="minorHAnsi"/>
          <w:color w:val="auto"/>
        </w:rPr>
        <w:t>,</w:t>
      </w:r>
    </w:p>
    <w:p w14:paraId="76F5DA5A" w14:textId="7257F637" w:rsidR="00D245D7" w:rsidRPr="00655FC7" w:rsidRDefault="00D245D7">
      <w:pPr>
        <w:numPr>
          <w:ilvl w:val="0"/>
          <w:numId w:val="8"/>
        </w:numPr>
        <w:suppressAutoHyphens/>
        <w:ind w:left="714" w:hanging="357"/>
        <w:contextualSpacing/>
        <w:rPr>
          <w:rFonts w:eastAsia="Calibri" w:cstheme="minorHAnsi"/>
          <w:color w:val="auto"/>
          <w:lang w:eastAsia="pl-PL"/>
        </w:rPr>
      </w:pPr>
      <w:r w:rsidRPr="00655FC7">
        <w:rPr>
          <w:rFonts w:eastAsia="Calibri" w:cstheme="minorHAnsi"/>
          <w:color w:val="auto"/>
        </w:rPr>
        <w:t>pogorszenia systemu gospodarowania odpadami, w tym ograniczenia powstawaniu odpadów</w:t>
      </w:r>
      <w:r w:rsidR="008E656C" w:rsidRPr="00655FC7">
        <w:rPr>
          <w:rFonts w:eastAsia="Calibri" w:cstheme="minorHAnsi"/>
          <w:color w:val="auto"/>
        </w:rPr>
        <w:t>,</w:t>
      </w:r>
    </w:p>
    <w:p w14:paraId="50C6B112" w14:textId="17D60C98" w:rsidR="00D245D7" w:rsidRPr="00655FC7" w:rsidRDefault="00D245D7">
      <w:pPr>
        <w:numPr>
          <w:ilvl w:val="0"/>
          <w:numId w:val="8"/>
        </w:numPr>
        <w:suppressAutoHyphens/>
        <w:ind w:left="714" w:hanging="357"/>
        <w:contextualSpacing/>
        <w:rPr>
          <w:rFonts w:eastAsia="Calibri" w:cstheme="minorHAnsi"/>
          <w:color w:val="auto"/>
          <w:lang w:eastAsia="pl-PL"/>
        </w:rPr>
      </w:pPr>
      <w:r w:rsidRPr="00655FC7">
        <w:rPr>
          <w:rFonts w:eastAsia="Calibri" w:cstheme="minorHAnsi"/>
          <w:color w:val="auto"/>
        </w:rPr>
        <w:t>pogorszenia stanu zasobów przyrodniczych, różnorodności biologicznej, obszarów cennych przyrodniczo, obszarów ziel</w:t>
      </w:r>
      <w:r w:rsidR="008E656C" w:rsidRPr="00655FC7">
        <w:rPr>
          <w:rFonts w:eastAsia="Calibri" w:cstheme="minorHAnsi"/>
          <w:color w:val="auto"/>
        </w:rPr>
        <w:t>e</w:t>
      </w:r>
      <w:r w:rsidRPr="00655FC7">
        <w:rPr>
          <w:rFonts w:eastAsia="Calibri" w:cstheme="minorHAnsi"/>
          <w:color w:val="auto"/>
        </w:rPr>
        <w:t>ni miejskiej</w:t>
      </w:r>
      <w:r w:rsidR="008E656C" w:rsidRPr="00655FC7">
        <w:rPr>
          <w:rFonts w:eastAsia="Calibri" w:cstheme="minorHAnsi"/>
          <w:color w:val="auto"/>
        </w:rPr>
        <w:t>,</w:t>
      </w:r>
    </w:p>
    <w:p w14:paraId="7183DB79" w14:textId="77777777" w:rsidR="00D245D7" w:rsidRPr="00655FC7" w:rsidRDefault="00D245D7">
      <w:pPr>
        <w:numPr>
          <w:ilvl w:val="0"/>
          <w:numId w:val="8"/>
        </w:numPr>
        <w:suppressAutoHyphens/>
        <w:spacing w:after="120"/>
        <w:ind w:left="714" w:hanging="357"/>
        <w:contextualSpacing/>
        <w:rPr>
          <w:rFonts w:eastAsia="Calibri" w:cstheme="minorHAnsi"/>
          <w:color w:val="auto"/>
          <w:lang w:eastAsia="pl-PL"/>
        </w:rPr>
      </w:pPr>
      <w:r w:rsidRPr="00655FC7">
        <w:rPr>
          <w:rFonts w:eastAsia="Calibri" w:cstheme="minorHAnsi"/>
          <w:color w:val="auto"/>
        </w:rPr>
        <w:t>pogorszenia jakości życia mieszkańców z uwagi na zachodzące zmiany klimatu.</w:t>
      </w:r>
    </w:p>
    <w:p w14:paraId="506723A3" w14:textId="77777777" w:rsidR="00866810" w:rsidRPr="00655FC7" w:rsidRDefault="00866810" w:rsidP="0053413A">
      <w:pPr>
        <w:ind w:firstLine="0"/>
        <w:rPr>
          <w:rFonts w:eastAsia="Calibri" w:cstheme="minorHAnsi"/>
          <w:color w:val="auto"/>
        </w:rPr>
      </w:pPr>
    </w:p>
    <w:p w14:paraId="71E96C1F" w14:textId="517BE8F3" w:rsidR="00D245D7" w:rsidRPr="00655FC7" w:rsidRDefault="00D245D7" w:rsidP="00A92309">
      <w:r w:rsidRPr="00655FC7">
        <w:t xml:space="preserve">Pozytywnym skutkiem środowiskowym, w przypadku zaniechania realizacji założeń projektu </w:t>
      </w:r>
      <w:r w:rsidR="00F66461" w:rsidRPr="00655FC7">
        <w:t>Planu Adaptacji</w:t>
      </w:r>
      <w:r w:rsidRPr="00655FC7">
        <w:t xml:space="preserve">, będzie wyeliminowanie negatywnego, krótkotrwałego wpływu występującego podczas działań typowo inwestycyjnych m.in. budowy, rozbudowy i modernizacji sieci wodociągowej, czy budowy, rozbudowy i przebudowy ciągów komunikacyjnych. </w:t>
      </w:r>
    </w:p>
    <w:p w14:paraId="22E5C7EA" w14:textId="04B0E81B" w:rsidR="00D245D7" w:rsidRPr="00655FC7" w:rsidRDefault="00D245D7" w:rsidP="00A92309">
      <w:r w:rsidRPr="00655FC7">
        <w:t>W przypadku braku realizacji powyższych zamierzeń nie dojdzie do zajęcia nowych powierzchni biologicznie czynnych, wzrostu emisji hałasu oraz gazów i pyłów do powietrza</w:t>
      </w:r>
      <w:r w:rsidR="00183D36">
        <w:t xml:space="preserve"> </w:t>
      </w:r>
      <w:r w:rsidRPr="00655FC7">
        <w:t>w miejscach dotąd nieprzekształconych antropogenicznie. Brak realizacji zamierzeń inwestycyjnych wiąże się z mniejszą ingerencją w komponenty środowiska tj.: wody, gleby, środowisko przyrodnicze oraz krajobraz lokalny.</w:t>
      </w:r>
    </w:p>
    <w:p w14:paraId="64333027" w14:textId="5127F0FF" w:rsidR="00D245D7" w:rsidRPr="00655FC7" w:rsidRDefault="00D245D7" w:rsidP="00A92309">
      <w:r w:rsidRPr="00655FC7">
        <w:t>Zaniechanie założeń projektu Planu wiąże się z mniejszym prawdopodobieństwem zniszczenia siedlisk przyrodniczych oraz naruszenia funkcjonowania korytarzy migracyjnych czy też obszarów chronionych. Realizacja zadań ingerujących w stan środowiska wiąże się</w:t>
      </w:r>
      <w:r w:rsidR="00183D36">
        <w:t xml:space="preserve"> </w:t>
      </w:r>
      <w:r w:rsidRPr="00655FC7">
        <w:t>z niedogodnościami na etapie wdrażania, jednak skutkuje szeregiem korzyści po zakończeniu inwestycji (poprawa stanu powietrza, poprawa efektywności energetycznej, poprawa mobilności, szczelny system wodociągowy).</w:t>
      </w:r>
    </w:p>
    <w:p w14:paraId="1ACB2156" w14:textId="77777777" w:rsidR="00D245D7" w:rsidRPr="00655FC7" w:rsidRDefault="00D245D7" w:rsidP="00B62479">
      <w:pPr>
        <w:pStyle w:val="Nagwek2"/>
        <w:rPr>
          <w:rFonts w:eastAsia="Times New Roman"/>
        </w:rPr>
      </w:pPr>
      <w:bookmarkStart w:id="303" w:name="_Toc110835550"/>
      <w:bookmarkStart w:id="304" w:name="_Toc143596967"/>
      <w:bookmarkStart w:id="305" w:name="_Toc177732097"/>
      <w:r w:rsidRPr="00655FC7">
        <w:rPr>
          <w:rFonts w:eastAsia="Times New Roman"/>
        </w:rPr>
        <w:lastRenderedPageBreak/>
        <w:t>Analiza rozwiązań mających na celu zapobieganie, ograniczanie lub kompensację przyrodniczą negatywnych oddziaływań na środowisko, mogących być rezultatem realizacji projektowanego dokumentu</w:t>
      </w:r>
      <w:bookmarkEnd w:id="303"/>
      <w:bookmarkEnd w:id="304"/>
      <w:bookmarkEnd w:id="305"/>
    </w:p>
    <w:p w14:paraId="7DCA998F" w14:textId="6F8AD5A1" w:rsidR="00D245D7" w:rsidRPr="00655FC7" w:rsidRDefault="00D245D7" w:rsidP="00A92309">
      <w:r w:rsidRPr="00655FC7">
        <w:t>Negatywne oddziaływanie na środowisko inwestycji, szczególnie tych związanych</w:t>
      </w:r>
      <w:r w:rsidR="00183D36">
        <w:t xml:space="preserve"> </w:t>
      </w:r>
      <w:r w:rsidR="00232D3D" w:rsidRPr="00655FC7">
        <w:t xml:space="preserve">z </w:t>
      </w:r>
      <w:r w:rsidRPr="00655FC7">
        <w:t xml:space="preserve">m.in. budową, rozbudową i modernizacją sieci </w:t>
      </w:r>
      <w:r w:rsidR="00183D36">
        <w:t>kanalizacyjnej</w:t>
      </w:r>
      <w:r w:rsidRPr="00655FC7">
        <w:t xml:space="preserve">, rozbudową i przebudową ciągów komunikacyjnych </w:t>
      </w:r>
      <w:r w:rsidR="00D27A5E" w:rsidRPr="00655FC7">
        <w:t xml:space="preserve">(dróg rowerowych, ciągów pieszych) </w:t>
      </w:r>
      <w:r w:rsidRPr="00655FC7">
        <w:t>można ograniczyć do racjonalnego poziomu poprzez dobrze przemyślany wybór lokalizacji, ponieważ skala wywoływanych przez nie przekształceń środowiska zależeć będzie w</w:t>
      </w:r>
      <w:r w:rsidR="00C56DC2" w:rsidRPr="00655FC7">
        <w:t> </w:t>
      </w:r>
      <w:r w:rsidRPr="00655FC7">
        <w:t>znacznym stopniu od lokalnych uwarunkowań.</w:t>
      </w:r>
    </w:p>
    <w:p w14:paraId="6072016D" w14:textId="68EB354D" w:rsidR="00D245D7" w:rsidRPr="00655FC7" w:rsidRDefault="00D245D7" w:rsidP="00A92309">
      <w:r w:rsidRPr="00655FC7">
        <w:t xml:space="preserve">Wykaz inwestycji zamieszczonych w </w:t>
      </w:r>
      <w:r w:rsidR="001979BF" w:rsidRPr="00655FC7">
        <w:t>Planie Adaptacji</w:t>
      </w:r>
      <w:r w:rsidRPr="00655FC7">
        <w:t xml:space="preserve"> powinien być realizowany zgodnie z zaleceniami wynikającymi z wydanych decyzji o środowiskowych uwarunkowaniach. Podczas podejmowania nowych działań inwestycyjnych należy brać pod uwagę lokalizację form ochrony przyrody, zakazy i</w:t>
      </w:r>
      <w:r w:rsidR="00BD5AD7">
        <w:t xml:space="preserve"> </w:t>
      </w:r>
      <w:r w:rsidRPr="00655FC7">
        <w:t>nakazy wynikające z aktów prawa miejscowego, uchwał powołujących dane formy ochrony przyrody lub planów zadań ochronnych i</w:t>
      </w:r>
      <w:r w:rsidR="00BD5AD7">
        <w:t xml:space="preserve"> </w:t>
      </w:r>
      <w:r w:rsidRPr="00655FC7">
        <w:t>planów ochrony ww. obszarów. Każdorazowe podjęcie działań inwestycyjnych, mogących negatywnie oddziaływać na środowisko, wymaga przeprowadzenia postępowania określającego wpływ na środowisko w drodze odrębnej procedury (decyzje o</w:t>
      </w:r>
      <w:r w:rsidR="00C56DC2" w:rsidRPr="00655FC7">
        <w:t> </w:t>
      </w:r>
      <w:r w:rsidRPr="00655FC7">
        <w:t>środowiskowych uwarunkowaniach).</w:t>
      </w:r>
    </w:p>
    <w:p w14:paraId="10ADA3D1" w14:textId="2268BBE4" w:rsidR="00D245D7" w:rsidRPr="00655FC7" w:rsidRDefault="00D245D7" w:rsidP="00A92309">
      <w:r w:rsidRPr="00655FC7">
        <w:t>Do ogólnych działań ograniczających oddziaływanie należą:</w:t>
      </w:r>
    </w:p>
    <w:p w14:paraId="70724E02" w14:textId="4F92EA83" w:rsidR="00D245D7" w:rsidRPr="00655FC7" w:rsidRDefault="00D245D7">
      <w:pPr>
        <w:numPr>
          <w:ilvl w:val="0"/>
          <w:numId w:val="9"/>
        </w:numPr>
        <w:suppressAutoHyphens/>
        <w:ind w:left="709"/>
        <w:contextualSpacing/>
        <w:rPr>
          <w:rFonts w:eastAsia="Calibri" w:cstheme="minorHAnsi"/>
          <w:color w:val="auto"/>
        </w:rPr>
      </w:pPr>
      <w:r w:rsidRPr="00655FC7">
        <w:rPr>
          <w:rFonts w:eastAsia="Calibri" w:cstheme="minorHAnsi"/>
          <w:color w:val="auto"/>
        </w:rPr>
        <w:t>w czasie realizacji inwestycji prawidłowe zabezpieczenie techniczne sprzętu i</w:t>
      </w:r>
      <w:r w:rsidR="00BD5AD7">
        <w:rPr>
          <w:rFonts w:eastAsia="Calibri" w:cstheme="minorHAnsi"/>
          <w:color w:val="auto"/>
        </w:rPr>
        <w:t xml:space="preserve"> </w:t>
      </w:r>
      <w:r w:rsidRPr="00655FC7">
        <w:rPr>
          <w:rFonts w:eastAsia="Calibri" w:cstheme="minorHAnsi"/>
          <w:color w:val="auto"/>
        </w:rPr>
        <w:t>placu budowy, w</w:t>
      </w:r>
      <w:r w:rsidR="00183D36">
        <w:rPr>
          <w:rFonts w:eastAsia="Calibri" w:cstheme="minorHAnsi"/>
          <w:color w:val="auto"/>
        </w:rPr>
        <w:t> </w:t>
      </w:r>
      <w:r w:rsidRPr="00655FC7">
        <w:rPr>
          <w:rFonts w:eastAsia="Calibri" w:cstheme="minorHAnsi"/>
          <w:color w:val="auto"/>
        </w:rPr>
        <w:t>tym zwłaszcza w miejscach styku z ekosystemami szczególnie wrażliwymi na zmiany warunków siedliskowych,</w:t>
      </w:r>
    </w:p>
    <w:p w14:paraId="6C278EB2" w14:textId="77777777" w:rsidR="00D245D7" w:rsidRPr="00655FC7" w:rsidRDefault="00D245D7">
      <w:pPr>
        <w:numPr>
          <w:ilvl w:val="0"/>
          <w:numId w:val="9"/>
        </w:numPr>
        <w:suppressAutoHyphens/>
        <w:ind w:left="709"/>
        <w:contextualSpacing/>
        <w:rPr>
          <w:rFonts w:eastAsia="Calibri" w:cstheme="minorHAnsi"/>
          <w:color w:val="auto"/>
        </w:rPr>
      </w:pPr>
      <w:r w:rsidRPr="00655FC7">
        <w:rPr>
          <w:rFonts w:eastAsia="Calibri" w:cstheme="minorHAnsi"/>
          <w:color w:val="auto"/>
        </w:rPr>
        <w:t>stosowanie odpowiednich technologii, materiałów i rozwiązań konstrukcyjnych,</w:t>
      </w:r>
    </w:p>
    <w:p w14:paraId="449A3920" w14:textId="77777777" w:rsidR="00D245D7" w:rsidRPr="00655FC7" w:rsidRDefault="00D245D7">
      <w:pPr>
        <w:numPr>
          <w:ilvl w:val="0"/>
          <w:numId w:val="9"/>
        </w:numPr>
        <w:suppressAutoHyphens/>
        <w:ind w:left="709"/>
        <w:contextualSpacing/>
        <w:rPr>
          <w:rFonts w:eastAsia="Calibri" w:cstheme="minorHAnsi"/>
          <w:color w:val="auto"/>
        </w:rPr>
      </w:pPr>
      <w:r w:rsidRPr="00655FC7">
        <w:rPr>
          <w:rFonts w:eastAsia="Calibri" w:cstheme="minorHAnsi"/>
          <w:color w:val="auto"/>
        </w:rPr>
        <w:t>maskowanie elementów dysharmonijnych dla krajobrazu,</w:t>
      </w:r>
    </w:p>
    <w:p w14:paraId="6B8E6135" w14:textId="77777777" w:rsidR="00D245D7" w:rsidRPr="00655FC7" w:rsidRDefault="00D245D7">
      <w:pPr>
        <w:numPr>
          <w:ilvl w:val="0"/>
          <w:numId w:val="9"/>
        </w:numPr>
        <w:suppressAutoHyphens/>
        <w:spacing w:after="120"/>
        <w:ind w:left="709"/>
        <w:contextualSpacing/>
        <w:rPr>
          <w:rFonts w:eastAsia="Calibri" w:cstheme="minorHAnsi"/>
          <w:color w:val="auto"/>
        </w:rPr>
      </w:pPr>
      <w:r w:rsidRPr="00655FC7">
        <w:rPr>
          <w:rFonts w:eastAsia="Calibri" w:cstheme="minorHAnsi"/>
          <w:color w:val="auto"/>
        </w:rPr>
        <w:t>odpowiedni wybór lokalizacji inwestycji, uwzględniający zapisy dokumentów lokalnych oraz wyższego szczebla.</w:t>
      </w:r>
    </w:p>
    <w:p w14:paraId="50340D43" w14:textId="13D841CA" w:rsidR="00D245D7" w:rsidRPr="00655FC7" w:rsidRDefault="00D245D7" w:rsidP="0053413A">
      <w:pPr>
        <w:suppressAutoHyphens/>
        <w:ind w:firstLine="0"/>
        <w:jc w:val="left"/>
        <w:rPr>
          <w:rFonts w:eastAsia="Calibri" w:cstheme="minorHAnsi"/>
          <w:color w:val="auto"/>
        </w:rPr>
      </w:pPr>
    </w:p>
    <w:p w14:paraId="77EDA977" w14:textId="4D95AA29" w:rsidR="00D245D7" w:rsidRPr="00655FC7" w:rsidRDefault="00D245D7" w:rsidP="00A92309">
      <w:r w:rsidRPr="00655FC7">
        <w:t>W przypadku gdy całkowite uniknięcie danego oddziaływania jest niemożliwe i istnieje niebezpieczeństwo nieodwracalnego zniszczenia szczególnie cennych elementów przyrody, konieczne jest podjęcie odpowiednio wcześniej działań kompensacyjnych. Należy</w:t>
      </w:r>
      <w:r w:rsidR="00BD5AD7">
        <w:t xml:space="preserve"> </w:t>
      </w:r>
      <w:r w:rsidRPr="00655FC7">
        <w:t>m.in. zapewnić odtworzenie zniszczonych siedlisk w miejscach zastępczych, sztuczne zasilanie osłabionych populacji, tworzenie alternatywnych połączeń przyrodniczych i</w:t>
      </w:r>
      <w:r w:rsidR="00BD5AD7">
        <w:t xml:space="preserve"> </w:t>
      </w:r>
      <w:r w:rsidRPr="00655FC7">
        <w:t>różnorodnych tras migracji zwierząt.</w:t>
      </w:r>
    </w:p>
    <w:p w14:paraId="738B2A2C" w14:textId="02FB5023" w:rsidR="00D245D7" w:rsidRPr="00655FC7" w:rsidRDefault="00D245D7" w:rsidP="00A92309">
      <w:r w:rsidRPr="00655FC7">
        <w:t xml:space="preserve">W wyniku realizacji projektu </w:t>
      </w:r>
      <w:r w:rsidR="00F66461" w:rsidRPr="00655FC7">
        <w:t>Planu Adaptacji</w:t>
      </w:r>
      <w:r w:rsidRPr="00655FC7">
        <w:t xml:space="preserve"> może potencjalnie dojść do oddziaływania na obszary chronione, dlatego ważne jest, aby wszelkie przedsięwzięcia wynikające z</w:t>
      </w:r>
      <w:r w:rsidR="00BD5AD7">
        <w:t xml:space="preserve"> </w:t>
      </w:r>
      <w:r w:rsidR="00F66461" w:rsidRPr="00655FC7">
        <w:t>Planu Adaptacji</w:t>
      </w:r>
      <w:r w:rsidRPr="00655FC7">
        <w:t xml:space="preserve"> były przeprowadzone zgodnie z przepisami dotyczącymi gospodarowania na obszarach objętych prawną formą ochrony przyrody.</w:t>
      </w:r>
    </w:p>
    <w:p w14:paraId="3CDDC236" w14:textId="0837F267" w:rsidR="00D245D7" w:rsidRPr="00655FC7" w:rsidRDefault="00D245D7" w:rsidP="00A92309">
      <w:r w:rsidRPr="00655FC7">
        <w:t>Minimalizacja negatywnego wpływu na środowisko możliwa jest m.in. poprzez prowadzenie świadomej polityki przestrzennej popartej stosownymi zapisami w</w:t>
      </w:r>
      <w:r w:rsidR="00D256E4">
        <w:t xml:space="preserve"> </w:t>
      </w:r>
      <w:r w:rsidRPr="00655FC7">
        <w:t>dokumentach prawa lokalnego oraz zachowanie walorów przyrodniczych w mieście.</w:t>
      </w:r>
    </w:p>
    <w:p w14:paraId="22705E92" w14:textId="061138C8" w:rsidR="00D245D7" w:rsidRPr="00655FC7" w:rsidRDefault="00D245D7" w:rsidP="00A92309">
      <w:r w:rsidRPr="00655FC7">
        <w:t xml:space="preserve">Poniżej przedstawiono propozycje zapobiegania, łagodzenia negatywnego wpływu na środowisko, będącego konsekwencją realizacji działań ujętych w </w:t>
      </w:r>
      <w:r w:rsidR="001979BF" w:rsidRPr="00655FC7">
        <w:t>Planie Adaptacji</w:t>
      </w:r>
      <w:r w:rsidRPr="00655FC7">
        <w:t xml:space="preserve"> na poszczególne komponenty środowiska: </w:t>
      </w:r>
    </w:p>
    <w:p w14:paraId="1700B597" w14:textId="77777777" w:rsidR="00A92309" w:rsidRPr="004B5C8C" w:rsidRDefault="00A92309" w:rsidP="004B5C8C">
      <w:pPr>
        <w:rPr>
          <w:rStyle w:val="Wyrnienieintensywne"/>
          <w:color w:val="auto"/>
        </w:rPr>
      </w:pPr>
    </w:p>
    <w:p w14:paraId="4BE8CF6B" w14:textId="77777777" w:rsidR="00D245D7" w:rsidRPr="00655FC7" w:rsidRDefault="00D245D7" w:rsidP="0053413A">
      <w:pPr>
        <w:ind w:firstLine="0"/>
        <w:rPr>
          <w:rStyle w:val="Wyrnienieintensywne"/>
        </w:rPr>
      </w:pPr>
      <w:r w:rsidRPr="00655FC7">
        <w:rPr>
          <w:rStyle w:val="Wyrnienieintensywne"/>
        </w:rPr>
        <w:lastRenderedPageBreak/>
        <w:t>Ochrona powierzchni ziemi i wód:</w:t>
      </w:r>
    </w:p>
    <w:p w14:paraId="3D6A278B" w14:textId="77777777" w:rsidR="00D245D7" w:rsidRPr="00655FC7" w:rsidRDefault="00D245D7">
      <w:pPr>
        <w:numPr>
          <w:ilvl w:val="0"/>
          <w:numId w:val="10"/>
        </w:numPr>
        <w:suppressAutoHyphens/>
        <w:ind w:left="709"/>
        <w:contextualSpacing/>
        <w:rPr>
          <w:rFonts w:eastAsia="Calibri" w:cstheme="minorHAnsi"/>
          <w:color w:val="auto"/>
        </w:rPr>
      </w:pPr>
      <w:r w:rsidRPr="00655FC7">
        <w:rPr>
          <w:rFonts w:eastAsia="Calibri" w:cstheme="minorHAnsi"/>
          <w:color w:val="auto"/>
        </w:rPr>
        <w:t>Na etapie projektowania należy rozważać koncepcje organizacji placu budowy i jego zaplecza z uwzględnieniem zasady minimalizacji zajęcia terenu i przekształcenia jego powierzchni.</w:t>
      </w:r>
    </w:p>
    <w:p w14:paraId="2C7BDA03" w14:textId="77777777" w:rsidR="00D245D7" w:rsidRPr="00655FC7" w:rsidRDefault="00D245D7">
      <w:pPr>
        <w:numPr>
          <w:ilvl w:val="0"/>
          <w:numId w:val="10"/>
        </w:numPr>
        <w:suppressAutoHyphens/>
        <w:ind w:left="709"/>
        <w:contextualSpacing/>
        <w:rPr>
          <w:rFonts w:eastAsia="Calibri" w:cstheme="minorHAnsi"/>
          <w:color w:val="auto"/>
        </w:rPr>
      </w:pPr>
      <w:r w:rsidRPr="00655FC7">
        <w:rPr>
          <w:rFonts w:eastAsia="Calibri" w:cstheme="minorHAnsi"/>
          <w:color w:val="auto"/>
        </w:rPr>
        <w:t>Po zakończeniu prac budowlanych, w razie konieczności, należy przeprowadzać rekultywację.</w:t>
      </w:r>
    </w:p>
    <w:p w14:paraId="266768C1" w14:textId="77777777" w:rsidR="00D245D7" w:rsidRPr="00655FC7" w:rsidRDefault="00D245D7">
      <w:pPr>
        <w:numPr>
          <w:ilvl w:val="0"/>
          <w:numId w:val="10"/>
        </w:numPr>
        <w:suppressAutoHyphens/>
        <w:ind w:left="709"/>
        <w:contextualSpacing/>
        <w:rPr>
          <w:rFonts w:eastAsia="Calibri" w:cstheme="minorHAnsi"/>
          <w:color w:val="auto"/>
        </w:rPr>
      </w:pPr>
      <w:r w:rsidRPr="00655FC7">
        <w:rPr>
          <w:rFonts w:eastAsia="Calibri" w:cstheme="minorHAnsi"/>
          <w:color w:val="auto"/>
        </w:rPr>
        <w:t>W projekcie i wykonawstwie należy minimalizować zakres robót powodujących zdejmowanie warstw próchniczych gleby, a także zaplanować wykorzystanie nadmiarów ziemi pochodzącej z wykopów.</w:t>
      </w:r>
    </w:p>
    <w:p w14:paraId="682A6869" w14:textId="77777777" w:rsidR="00D245D7" w:rsidRPr="00655FC7" w:rsidRDefault="00D245D7">
      <w:pPr>
        <w:numPr>
          <w:ilvl w:val="0"/>
          <w:numId w:val="10"/>
        </w:numPr>
        <w:suppressAutoHyphens/>
        <w:ind w:left="709"/>
        <w:contextualSpacing/>
        <w:rPr>
          <w:rFonts w:eastAsia="Calibri" w:cstheme="minorHAnsi"/>
          <w:color w:val="auto"/>
        </w:rPr>
      </w:pPr>
      <w:r w:rsidRPr="00655FC7">
        <w:rPr>
          <w:rFonts w:eastAsia="Calibri" w:cstheme="minorHAnsi"/>
          <w:color w:val="auto"/>
        </w:rPr>
        <w:t>W opisach technicznych projektów budowlanych należy zaplanować miejsca przeznaczone do składowania substancji podatnych na migrację wodną.</w:t>
      </w:r>
    </w:p>
    <w:p w14:paraId="3DF47C1B" w14:textId="77777777" w:rsidR="00D245D7" w:rsidRPr="00655FC7" w:rsidRDefault="00D245D7">
      <w:pPr>
        <w:numPr>
          <w:ilvl w:val="0"/>
          <w:numId w:val="10"/>
        </w:numPr>
        <w:suppressAutoHyphens/>
        <w:ind w:left="709"/>
        <w:contextualSpacing/>
        <w:rPr>
          <w:rFonts w:eastAsia="Calibri" w:cstheme="minorHAnsi"/>
          <w:color w:val="auto"/>
        </w:rPr>
      </w:pPr>
      <w:r w:rsidRPr="00655FC7">
        <w:rPr>
          <w:rFonts w:eastAsia="Calibri" w:cstheme="minorHAnsi"/>
          <w:color w:val="auto"/>
        </w:rPr>
        <w:t>Prawidłowe przechowywane substancji ropopochodnych oraz innych materiałów.</w:t>
      </w:r>
    </w:p>
    <w:p w14:paraId="6749EA3A" w14:textId="77777777" w:rsidR="00D245D7" w:rsidRPr="00655FC7" w:rsidRDefault="00D245D7">
      <w:pPr>
        <w:numPr>
          <w:ilvl w:val="0"/>
          <w:numId w:val="10"/>
        </w:numPr>
        <w:suppressAutoHyphens/>
        <w:ind w:left="709"/>
        <w:contextualSpacing/>
        <w:rPr>
          <w:rFonts w:eastAsia="Calibri" w:cstheme="minorHAnsi"/>
          <w:color w:val="auto"/>
        </w:rPr>
      </w:pPr>
      <w:r w:rsidRPr="00655FC7">
        <w:rPr>
          <w:rFonts w:eastAsia="Calibri" w:cstheme="minorHAnsi"/>
          <w:color w:val="auto"/>
        </w:rPr>
        <w:t>Opracowanie procedury na wypadek wystąpienia awarii na placu budowy, by nie doprowadzić do zanieczyszczenia środowiska gruntowo-wodnego.</w:t>
      </w:r>
    </w:p>
    <w:p w14:paraId="19ABABC8" w14:textId="77777777" w:rsidR="00D245D7" w:rsidRPr="00655FC7" w:rsidRDefault="00D245D7">
      <w:pPr>
        <w:numPr>
          <w:ilvl w:val="0"/>
          <w:numId w:val="10"/>
        </w:numPr>
        <w:suppressAutoHyphens/>
        <w:ind w:left="709"/>
        <w:contextualSpacing/>
        <w:rPr>
          <w:rFonts w:eastAsia="Calibri" w:cstheme="minorHAnsi"/>
          <w:color w:val="auto"/>
        </w:rPr>
      </w:pPr>
      <w:r w:rsidRPr="00655FC7">
        <w:rPr>
          <w:rFonts w:eastAsia="Calibri" w:cstheme="minorHAnsi"/>
          <w:color w:val="auto"/>
        </w:rPr>
        <w:t>Właściwe postępowanie z odpadami.</w:t>
      </w:r>
    </w:p>
    <w:p w14:paraId="69E9E308" w14:textId="6E727CBC" w:rsidR="00D245D7" w:rsidRPr="00655FC7" w:rsidRDefault="00D245D7">
      <w:pPr>
        <w:numPr>
          <w:ilvl w:val="0"/>
          <w:numId w:val="10"/>
        </w:numPr>
        <w:suppressAutoHyphens/>
        <w:ind w:left="709"/>
        <w:contextualSpacing/>
        <w:rPr>
          <w:rFonts w:eastAsia="Calibri" w:cstheme="minorHAnsi"/>
          <w:color w:val="auto"/>
        </w:rPr>
      </w:pPr>
      <w:r w:rsidRPr="00655FC7">
        <w:rPr>
          <w:rFonts w:eastAsia="Calibri" w:cstheme="minorHAnsi"/>
          <w:color w:val="auto"/>
        </w:rPr>
        <w:t>Prowadzenie selektywnej zbiórki odpadów nadających się do odzysku lub unieszkodliwiania, a</w:t>
      </w:r>
      <w:r w:rsidR="00D256E4">
        <w:rPr>
          <w:rFonts w:eastAsia="Calibri" w:cstheme="minorHAnsi"/>
          <w:color w:val="auto"/>
        </w:rPr>
        <w:t> </w:t>
      </w:r>
      <w:r w:rsidRPr="00655FC7">
        <w:rPr>
          <w:rFonts w:eastAsia="Calibri" w:cstheme="minorHAnsi"/>
          <w:color w:val="auto"/>
        </w:rPr>
        <w:t>odpady niebezpieczne gromadzić w szczelnych, oznakowanych pojemnikach, w</w:t>
      </w:r>
      <w:r w:rsidR="00C56DC2" w:rsidRPr="00655FC7">
        <w:rPr>
          <w:rFonts w:eastAsia="Calibri" w:cstheme="minorHAnsi"/>
          <w:color w:val="auto"/>
        </w:rPr>
        <w:t> </w:t>
      </w:r>
      <w:r w:rsidRPr="00655FC7">
        <w:rPr>
          <w:rFonts w:eastAsia="Calibri" w:cstheme="minorHAnsi"/>
          <w:color w:val="auto"/>
        </w:rPr>
        <w:t>wydzielonym miejscu.</w:t>
      </w:r>
    </w:p>
    <w:p w14:paraId="4CB79FC5" w14:textId="77777777" w:rsidR="00D245D7" w:rsidRPr="00655FC7" w:rsidRDefault="00D245D7">
      <w:pPr>
        <w:numPr>
          <w:ilvl w:val="0"/>
          <w:numId w:val="10"/>
        </w:numPr>
        <w:suppressAutoHyphens/>
        <w:ind w:left="709"/>
        <w:contextualSpacing/>
        <w:rPr>
          <w:rFonts w:eastAsia="Calibri" w:cstheme="minorHAnsi"/>
          <w:color w:val="auto"/>
        </w:rPr>
      </w:pPr>
      <w:r w:rsidRPr="00655FC7">
        <w:rPr>
          <w:rFonts w:eastAsia="Calibri" w:cstheme="minorHAnsi"/>
          <w:color w:val="auto"/>
        </w:rPr>
        <w:t>Powstające podczas realizacji inwestycji oraz eksploatacji obiektu odpady należy przekazywać tylko wyspecjalizowanym jednostkom posiadającym zezwolenie na odzysk, utylizację, zbieranie i transport tych odpadów.</w:t>
      </w:r>
    </w:p>
    <w:p w14:paraId="3B7917B1" w14:textId="77777777" w:rsidR="00D245D7" w:rsidRPr="00655FC7" w:rsidRDefault="00D245D7">
      <w:pPr>
        <w:numPr>
          <w:ilvl w:val="0"/>
          <w:numId w:val="10"/>
        </w:numPr>
        <w:suppressAutoHyphens/>
        <w:spacing w:after="240"/>
        <w:ind w:left="709"/>
        <w:contextualSpacing/>
        <w:rPr>
          <w:rFonts w:eastAsia="Calibri" w:cstheme="minorHAnsi"/>
          <w:color w:val="auto"/>
        </w:rPr>
      </w:pPr>
      <w:r w:rsidRPr="00655FC7">
        <w:rPr>
          <w:rFonts w:eastAsia="Calibri" w:cstheme="minorHAnsi"/>
          <w:color w:val="auto"/>
        </w:rPr>
        <w:t>Materiał pozostały po robotach ziemnych w miarę możliwości należy wykorzystywać na miejscu.</w:t>
      </w:r>
    </w:p>
    <w:p w14:paraId="2F8EB3F3" w14:textId="77777777" w:rsidR="00D245D7" w:rsidRPr="00655FC7" w:rsidRDefault="00D245D7">
      <w:pPr>
        <w:numPr>
          <w:ilvl w:val="0"/>
          <w:numId w:val="10"/>
        </w:numPr>
        <w:suppressAutoHyphens/>
        <w:spacing w:after="240"/>
        <w:ind w:left="709"/>
        <w:contextualSpacing/>
        <w:rPr>
          <w:rFonts w:eastAsia="Calibri" w:cstheme="minorHAnsi"/>
          <w:color w:val="auto"/>
        </w:rPr>
      </w:pPr>
      <w:r w:rsidRPr="00655FC7">
        <w:rPr>
          <w:rFonts w:eastAsia="Calibri" w:cstheme="minorHAnsi"/>
          <w:color w:val="auto"/>
        </w:rPr>
        <w:t>Ograniczenie uszczelniania zlewni, np. poprzez planowanie rezerw terenu, które ma służyć zapewnieniu możliwości swobodnej infiltracji wód do ziemi.</w:t>
      </w:r>
    </w:p>
    <w:p w14:paraId="109A322B" w14:textId="4AC54E76" w:rsidR="00D245D7" w:rsidRPr="00655FC7" w:rsidRDefault="00D245D7">
      <w:pPr>
        <w:numPr>
          <w:ilvl w:val="0"/>
          <w:numId w:val="10"/>
        </w:numPr>
        <w:suppressAutoHyphens/>
        <w:spacing w:after="240"/>
        <w:ind w:left="709"/>
        <w:contextualSpacing/>
        <w:rPr>
          <w:rFonts w:eastAsia="Calibri" w:cstheme="minorHAnsi"/>
          <w:color w:val="auto"/>
        </w:rPr>
      </w:pPr>
      <w:r w:rsidRPr="00655FC7">
        <w:rPr>
          <w:rFonts w:eastAsia="Calibri" w:cstheme="minorHAnsi"/>
          <w:color w:val="auto"/>
        </w:rPr>
        <w:t>Uregulowanie gospodarki wodami opadowymi - oczyszczenie ich oraz możliwość ich retencjonowania w celu ograniczenia spływu powierzchniowego, należy przy tym brać pod uwagę nie tylko dany obszar, ale i obszar położony niżej w zlewni (jest to szczególnie ważne w</w:t>
      </w:r>
      <w:r w:rsidR="00D256E4">
        <w:rPr>
          <w:rFonts w:eastAsia="Calibri" w:cstheme="minorHAnsi"/>
          <w:color w:val="auto"/>
        </w:rPr>
        <w:t> </w:t>
      </w:r>
      <w:r w:rsidRPr="00655FC7">
        <w:rPr>
          <w:rFonts w:eastAsia="Calibri" w:cstheme="minorHAnsi"/>
          <w:color w:val="auto"/>
        </w:rPr>
        <w:t>miastach).</w:t>
      </w:r>
    </w:p>
    <w:p w14:paraId="06835AA4" w14:textId="77777777" w:rsidR="00D245D7" w:rsidRPr="00655FC7" w:rsidRDefault="00D245D7">
      <w:pPr>
        <w:numPr>
          <w:ilvl w:val="0"/>
          <w:numId w:val="10"/>
        </w:numPr>
        <w:suppressAutoHyphens/>
        <w:spacing w:after="240"/>
        <w:ind w:left="709" w:hanging="357"/>
        <w:rPr>
          <w:rFonts w:eastAsia="Calibri" w:cstheme="minorHAnsi"/>
          <w:color w:val="auto"/>
        </w:rPr>
      </w:pPr>
      <w:r w:rsidRPr="00655FC7">
        <w:rPr>
          <w:rFonts w:eastAsia="Calibri" w:cstheme="minorHAnsi"/>
          <w:color w:val="auto"/>
        </w:rPr>
        <w:t>Prowadzenie robót budowlanych w sposób zapewniający ochronę wód.</w:t>
      </w:r>
    </w:p>
    <w:p w14:paraId="7838EFD6" w14:textId="77777777" w:rsidR="00D245D7" w:rsidRPr="00655FC7" w:rsidRDefault="00D245D7" w:rsidP="0053413A">
      <w:pPr>
        <w:spacing w:before="240"/>
        <w:ind w:firstLine="0"/>
        <w:jc w:val="left"/>
        <w:rPr>
          <w:rStyle w:val="Wyrnienieintensywne"/>
        </w:rPr>
      </w:pPr>
      <w:r w:rsidRPr="00655FC7">
        <w:rPr>
          <w:rStyle w:val="Wyrnienieintensywne"/>
        </w:rPr>
        <w:t>Ochrona powietrza:</w:t>
      </w:r>
    </w:p>
    <w:p w14:paraId="3B55CFAA" w14:textId="0DDD6229" w:rsidR="00D245D7" w:rsidRPr="00655FC7" w:rsidRDefault="00D245D7">
      <w:pPr>
        <w:numPr>
          <w:ilvl w:val="0"/>
          <w:numId w:val="11"/>
        </w:numPr>
        <w:suppressAutoHyphens/>
        <w:ind w:left="709"/>
        <w:contextualSpacing/>
        <w:rPr>
          <w:rFonts w:eastAsia="Calibri" w:cstheme="minorHAnsi"/>
          <w:color w:val="auto"/>
        </w:rPr>
      </w:pPr>
      <w:r w:rsidRPr="00655FC7">
        <w:rPr>
          <w:rFonts w:eastAsia="Calibri" w:cstheme="minorHAnsi"/>
          <w:color w:val="auto"/>
        </w:rPr>
        <w:t>Wykonawcy wybierani do realizacji poszczególnych zadań powinni używać nowoczesnego sprzętu i wykazać się dbałością o prawidłową eksploatację i</w:t>
      </w:r>
      <w:r w:rsidR="00D256E4">
        <w:rPr>
          <w:rFonts w:eastAsia="Calibri" w:cstheme="minorHAnsi"/>
          <w:color w:val="auto"/>
        </w:rPr>
        <w:t xml:space="preserve"> </w:t>
      </w:r>
      <w:r w:rsidRPr="00655FC7">
        <w:rPr>
          <w:rFonts w:eastAsia="Calibri" w:cstheme="minorHAnsi"/>
          <w:color w:val="auto"/>
        </w:rPr>
        <w:t>właściwą konserwację sprzętu i</w:t>
      </w:r>
      <w:r w:rsidR="00C56DC2" w:rsidRPr="00655FC7">
        <w:rPr>
          <w:rFonts w:eastAsia="Calibri" w:cstheme="minorHAnsi"/>
          <w:color w:val="auto"/>
        </w:rPr>
        <w:t> </w:t>
      </w:r>
      <w:r w:rsidRPr="00655FC7">
        <w:rPr>
          <w:rFonts w:eastAsia="Calibri" w:cstheme="minorHAnsi"/>
          <w:color w:val="auto"/>
        </w:rPr>
        <w:t>środków transportu. Takie zapisy mogą znaleźć się na odpowiednich etapach procedur przetargowych.</w:t>
      </w:r>
    </w:p>
    <w:p w14:paraId="660C8E63" w14:textId="77777777" w:rsidR="00D245D7" w:rsidRPr="00655FC7" w:rsidRDefault="00D245D7">
      <w:pPr>
        <w:numPr>
          <w:ilvl w:val="0"/>
          <w:numId w:val="11"/>
        </w:numPr>
        <w:suppressAutoHyphens/>
        <w:ind w:left="709"/>
        <w:contextualSpacing/>
        <w:rPr>
          <w:rFonts w:eastAsia="Calibri" w:cstheme="minorHAnsi"/>
          <w:color w:val="auto"/>
        </w:rPr>
      </w:pPr>
      <w:r w:rsidRPr="00655FC7">
        <w:rPr>
          <w:rFonts w:eastAsia="Calibri" w:cstheme="minorHAnsi"/>
          <w:color w:val="auto"/>
        </w:rPr>
        <w:t>Niedopuszczalne jest palenie na terenie budowy papy, opon, rozpuszczalników, farb oraz innych materiałów.</w:t>
      </w:r>
    </w:p>
    <w:p w14:paraId="0ABF5FCF" w14:textId="77777777" w:rsidR="00D245D7" w:rsidRPr="00655FC7" w:rsidRDefault="00D245D7">
      <w:pPr>
        <w:numPr>
          <w:ilvl w:val="0"/>
          <w:numId w:val="11"/>
        </w:numPr>
        <w:suppressAutoHyphens/>
        <w:ind w:left="709"/>
        <w:contextualSpacing/>
        <w:rPr>
          <w:rFonts w:eastAsia="Calibri" w:cstheme="minorHAnsi"/>
          <w:color w:val="auto"/>
        </w:rPr>
      </w:pPr>
      <w:r w:rsidRPr="00655FC7">
        <w:rPr>
          <w:rFonts w:eastAsia="Calibri" w:cstheme="minorHAnsi"/>
          <w:color w:val="auto"/>
        </w:rPr>
        <w:t>Pogłębiona analiza lokalizacji przedsięwzięcia.</w:t>
      </w:r>
    </w:p>
    <w:p w14:paraId="6ACB34A1" w14:textId="392830EF" w:rsidR="00D245D7" w:rsidRPr="00655FC7" w:rsidRDefault="00D245D7">
      <w:pPr>
        <w:numPr>
          <w:ilvl w:val="0"/>
          <w:numId w:val="11"/>
        </w:numPr>
        <w:suppressAutoHyphens/>
        <w:ind w:left="709"/>
        <w:contextualSpacing/>
        <w:rPr>
          <w:rFonts w:eastAsia="Calibri" w:cstheme="minorHAnsi"/>
          <w:color w:val="auto"/>
        </w:rPr>
      </w:pPr>
      <w:r w:rsidRPr="00655FC7">
        <w:rPr>
          <w:rFonts w:eastAsia="Calibri" w:cstheme="minorHAnsi"/>
          <w:color w:val="auto"/>
        </w:rPr>
        <w:t>Zminimalizowaniu ryzyka awarii poprzez stosowanie sprawdzonych rozwiązań i nowoczesnego sprzętu.</w:t>
      </w:r>
    </w:p>
    <w:p w14:paraId="10AEF9AE" w14:textId="77777777" w:rsidR="00D245D7" w:rsidRPr="00655FC7" w:rsidRDefault="00D245D7">
      <w:pPr>
        <w:numPr>
          <w:ilvl w:val="0"/>
          <w:numId w:val="11"/>
        </w:numPr>
        <w:suppressAutoHyphens/>
        <w:ind w:left="709"/>
        <w:contextualSpacing/>
        <w:rPr>
          <w:rFonts w:eastAsia="Calibri" w:cstheme="minorHAnsi"/>
          <w:color w:val="auto"/>
        </w:rPr>
      </w:pPr>
      <w:r w:rsidRPr="00655FC7">
        <w:rPr>
          <w:rFonts w:eastAsia="Calibri" w:cstheme="minorHAnsi"/>
          <w:color w:val="auto"/>
        </w:rPr>
        <w:t>Prowadzenie prac budowlanych poza okresem lęgowym ptaków, rozrodu płazów.</w:t>
      </w:r>
    </w:p>
    <w:p w14:paraId="23AD3EFC" w14:textId="77777777" w:rsidR="00D245D7" w:rsidRPr="00655FC7" w:rsidRDefault="00D245D7">
      <w:pPr>
        <w:numPr>
          <w:ilvl w:val="0"/>
          <w:numId w:val="11"/>
        </w:numPr>
        <w:suppressAutoHyphens/>
        <w:ind w:left="709"/>
        <w:contextualSpacing/>
        <w:rPr>
          <w:rFonts w:eastAsia="Calibri" w:cstheme="minorHAnsi"/>
          <w:color w:val="auto"/>
        </w:rPr>
      </w:pPr>
      <w:r w:rsidRPr="00655FC7">
        <w:rPr>
          <w:rFonts w:eastAsia="Calibri" w:cstheme="minorHAnsi"/>
          <w:color w:val="auto"/>
        </w:rPr>
        <w:t>Prowadzenie prac budowlanych i rozbiórkowych w porze dziennej.</w:t>
      </w:r>
    </w:p>
    <w:p w14:paraId="48561AEB" w14:textId="77777777" w:rsidR="00D245D7" w:rsidRPr="00655FC7" w:rsidRDefault="00D245D7">
      <w:pPr>
        <w:numPr>
          <w:ilvl w:val="0"/>
          <w:numId w:val="11"/>
        </w:numPr>
        <w:suppressAutoHyphens/>
        <w:ind w:left="709"/>
        <w:contextualSpacing/>
        <w:rPr>
          <w:rFonts w:eastAsia="Calibri" w:cstheme="minorHAnsi"/>
          <w:color w:val="auto"/>
        </w:rPr>
      </w:pPr>
      <w:r w:rsidRPr="00655FC7">
        <w:rPr>
          <w:rFonts w:eastAsia="Calibri" w:cstheme="minorHAnsi"/>
          <w:color w:val="auto"/>
        </w:rPr>
        <w:t>Stosowanie przepisów BHP.</w:t>
      </w:r>
    </w:p>
    <w:p w14:paraId="2A538D41" w14:textId="77777777" w:rsidR="00D245D7" w:rsidRPr="00655FC7" w:rsidRDefault="00D245D7">
      <w:pPr>
        <w:numPr>
          <w:ilvl w:val="0"/>
          <w:numId w:val="11"/>
        </w:numPr>
        <w:suppressAutoHyphens/>
        <w:ind w:left="709"/>
        <w:contextualSpacing/>
        <w:rPr>
          <w:rFonts w:eastAsia="Calibri" w:cstheme="minorHAnsi"/>
          <w:color w:val="auto"/>
        </w:rPr>
      </w:pPr>
      <w:r w:rsidRPr="00655FC7">
        <w:rPr>
          <w:rFonts w:eastAsia="Calibri" w:cstheme="minorHAnsi"/>
          <w:color w:val="auto"/>
        </w:rPr>
        <w:t>Zastosowanie do budowy nowoczesnego sprzętu, który emituje mniejsze ilości spalin.</w:t>
      </w:r>
    </w:p>
    <w:p w14:paraId="625EAEF5" w14:textId="77777777" w:rsidR="00D245D7" w:rsidRPr="00655FC7" w:rsidRDefault="00D245D7">
      <w:pPr>
        <w:numPr>
          <w:ilvl w:val="0"/>
          <w:numId w:val="11"/>
        </w:numPr>
        <w:suppressAutoHyphens/>
        <w:spacing w:after="200"/>
        <w:ind w:left="709"/>
        <w:contextualSpacing/>
        <w:jc w:val="left"/>
        <w:rPr>
          <w:rFonts w:eastAsia="Calibri" w:cstheme="minorHAnsi"/>
          <w:b/>
          <w:color w:val="auto"/>
        </w:rPr>
      </w:pPr>
      <w:r w:rsidRPr="00655FC7">
        <w:rPr>
          <w:rFonts w:eastAsia="Calibri" w:cstheme="minorHAnsi"/>
          <w:color w:val="auto"/>
        </w:rPr>
        <w:t>Na etapie eksploatacji - prowadzenie monitoringu powietrza.</w:t>
      </w:r>
    </w:p>
    <w:p w14:paraId="656ADD9F" w14:textId="77777777" w:rsidR="00D245D7" w:rsidRPr="00655FC7" w:rsidRDefault="00D245D7">
      <w:pPr>
        <w:numPr>
          <w:ilvl w:val="0"/>
          <w:numId w:val="11"/>
        </w:numPr>
        <w:suppressAutoHyphens/>
        <w:spacing w:after="200"/>
        <w:ind w:left="709"/>
        <w:contextualSpacing/>
        <w:jc w:val="left"/>
        <w:rPr>
          <w:rFonts w:eastAsia="Calibri" w:cstheme="minorHAnsi"/>
          <w:bCs/>
          <w:color w:val="auto"/>
        </w:rPr>
      </w:pPr>
      <w:r w:rsidRPr="00655FC7">
        <w:rPr>
          <w:rFonts w:eastAsia="Calibri" w:cstheme="minorHAnsi"/>
          <w:bCs/>
          <w:color w:val="auto"/>
        </w:rPr>
        <w:lastRenderedPageBreak/>
        <w:t>Unikanie emisji głównie substancji pyłowych na etapie budowy, rozbudowy czy modernizacji obiektów.</w:t>
      </w:r>
    </w:p>
    <w:p w14:paraId="4FC4F6D3" w14:textId="77777777" w:rsidR="00D245D7" w:rsidRPr="00655FC7" w:rsidRDefault="00D245D7">
      <w:pPr>
        <w:numPr>
          <w:ilvl w:val="0"/>
          <w:numId w:val="11"/>
        </w:numPr>
        <w:suppressAutoHyphens/>
        <w:spacing w:after="200"/>
        <w:ind w:left="709" w:hanging="357"/>
        <w:jc w:val="left"/>
        <w:rPr>
          <w:rFonts w:eastAsia="Calibri" w:cstheme="minorHAnsi"/>
          <w:bCs/>
          <w:color w:val="auto"/>
        </w:rPr>
      </w:pPr>
      <w:r w:rsidRPr="00655FC7">
        <w:rPr>
          <w:rFonts w:eastAsia="Calibri" w:cstheme="minorHAnsi"/>
          <w:bCs/>
          <w:color w:val="auto"/>
        </w:rPr>
        <w:t>Przestrzeganie zaostrzonych zapisów pozwoleń budowlanych.</w:t>
      </w:r>
    </w:p>
    <w:p w14:paraId="523DE33A" w14:textId="77777777" w:rsidR="00D245D7" w:rsidRPr="00655FC7" w:rsidRDefault="00D245D7" w:rsidP="0053413A">
      <w:pPr>
        <w:ind w:firstLine="0"/>
        <w:rPr>
          <w:rStyle w:val="Wyrnienieintensywne"/>
        </w:rPr>
      </w:pPr>
      <w:r w:rsidRPr="00655FC7">
        <w:rPr>
          <w:rStyle w:val="Wyrnienieintensywne"/>
        </w:rPr>
        <w:t>Różnorodność biologiczna (w tym fauna, flora, obszary chronione):</w:t>
      </w:r>
    </w:p>
    <w:p w14:paraId="2B431B76" w14:textId="77777777" w:rsidR="00D245D7" w:rsidRPr="00655FC7" w:rsidRDefault="00D245D7">
      <w:pPr>
        <w:numPr>
          <w:ilvl w:val="0"/>
          <w:numId w:val="12"/>
        </w:numPr>
        <w:suppressAutoHyphens/>
        <w:ind w:left="709"/>
        <w:contextualSpacing/>
        <w:rPr>
          <w:rFonts w:eastAsia="Calibri" w:cstheme="minorHAnsi"/>
          <w:color w:val="auto"/>
        </w:rPr>
      </w:pPr>
      <w:r w:rsidRPr="00655FC7">
        <w:rPr>
          <w:rFonts w:eastAsia="Calibri" w:cstheme="minorHAnsi"/>
          <w:color w:val="auto"/>
        </w:rPr>
        <w:t>Minimalizacja negatywnych oddziaływań inwestycji infrastrukturalnych wymaga (oczywiście nie jest to konieczne w przypadku każdej inwestycji) wcześniejszych terenowych inwentaryzacji zasobów środowiska przyrodniczego. Inwentaryzacja pozwoli na precyzyjne dostosowanie ogólnych zaleceń do realiów danego zadania inwestycyjnego i uniknięcie spowodowania znaczących szkód w środowisku przyrodniczym i wiążących się z tym komplikacji w trakcie realizacji poszczególnych inwestycji.</w:t>
      </w:r>
    </w:p>
    <w:p w14:paraId="48814D37" w14:textId="77777777" w:rsidR="00D245D7" w:rsidRPr="00655FC7" w:rsidRDefault="00D245D7">
      <w:pPr>
        <w:numPr>
          <w:ilvl w:val="0"/>
          <w:numId w:val="12"/>
        </w:numPr>
        <w:suppressAutoHyphens/>
        <w:ind w:left="709"/>
        <w:contextualSpacing/>
        <w:rPr>
          <w:rFonts w:eastAsia="Calibri" w:cstheme="minorHAnsi"/>
          <w:color w:val="auto"/>
        </w:rPr>
      </w:pPr>
      <w:r w:rsidRPr="00655FC7">
        <w:rPr>
          <w:rFonts w:eastAsia="Calibri" w:cstheme="minorHAnsi"/>
          <w:color w:val="auto"/>
        </w:rPr>
        <w:t>W przypadku prac termomodernizacyjnych budynków czy remontów elewacji bądź pokrycia dachowego budynków należy przeprowadzić inwentaryzację ornitologiczną i chiropterologiczną.</w:t>
      </w:r>
    </w:p>
    <w:p w14:paraId="237C1E89" w14:textId="77777777" w:rsidR="00D245D7" w:rsidRPr="00655FC7" w:rsidRDefault="00D245D7">
      <w:pPr>
        <w:numPr>
          <w:ilvl w:val="0"/>
          <w:numId w:val="12"/>
        </w:numPr>
        <w:suppressAutoHyphens/>
        <w:ind w:left="709"/>
        <w:contextualSpacing/>
        <w:rPr>
          <w:rFonts w:eastAsia="Calibri" w:cstheme="minorHAnsi"/>
          <w:color w:val="auto"/>
        </w:rPr>
      </w:pPr>
      <w:r w:rsidRPr="00655FC7">
        <w:rPr>
          <w:rFonts w:eastAsia="Calibri" w:cstheme="minorHAnsi"/>
          <w:color w:val="auto"/>
        </w:rPr>
        <w:t>Wykorzystanie rozwiązań technologicznych umożliwiających zachowanie istniejących stosunków wodnych.</w:t>
      </w:r>
    </w:p>
    <w:p w14:paraId="6BAC224B" w14:textId="77777777" w:rsidR="00D245D7" w:rsidRPr="00655FC7" w:rsidRDefault="00D245D7">
      <w:pPr>
        <w:numPr>
          <w:ilvl w:val="0"/>
          <w:numId w:val="12"/>
        </w:numPr>
        <w:suppressAutoHyphens/>
        <w:ind w:left="709"/>
        <w:contextualSpacing/>
        <w:rPr>
          <w:rFonts w:eastAsia="Calibri" w:cstheme="minorHAnsi"/>
          <w:color w:val="auto"/>
        </w:rPr>
      </w:pPr>
      <w:r w:rsidRPr="00655FC7">
        <w:rPr>
          <w:rFonts w:eastAsia="Calibri" w:cstheme="minorHAnsi"/>
          <w:color w:val="auto"/>
        </w:rPr>
        <w:t>Ograniczenie na etapie planowania i wykonawstwa wycinki drzew i krzewów oraz naruszania cennych siedlisk.</w:t>
      </w:r>
    </w:p>
    <w:p w14:paraId="45AC7DBF" w14:textId="2BA7B30F" w:rsidR="00D245D7" w:rsidRPr="00655FC7" w:rsidRDefault="00D245D7">
      <w:pPr>
        <w:numPr>
          <w:ilvl w:val="0"/>
          <w:numId w:val="12"/>
        </w:numPr>
        <w:suppressAutoHyphens/>
        <w:ind w:left="709"/>
        <w:contextualSpacing/>
        <w:rPr>
          <w:rFonts w:eastAsia="Calibri" w:cstheme="minorHAnsi"/>
          <w:color w:val="auto"/>
        </w:rPr>
      </w:pPr>
      <w:r w:rsidRPr="00655FC7">
        <w:rPr>
          <w:rFonts w:eastAsia="Calibri" w:cstheme="minorHAnsi"/>
          <w:color w:val="auto"/>
        </w:rPr>
        <w:t>Wycinkę drzew i krzewów należy ograniczyć do niezbędnego minimum wynikającego z</w:t>
      </w:r>
      <w:r w:rsidR="00C56DC2" w:rsidRPr="00655FC7">
        <w:rPr>
          <w:rFonts w:eastAsia="Calibri" w:cstheme="minorHAnsi"/>
          <w:color w:val="auto"/>
        </w:rPr>
        <w:t> </w:t>
      </w:r>
      <w:r w:rsidRPr="00655FC7">
        <w:rPr>
          <w:rFonts w:eastAsia="Calibri" w:cstheme="minorHAnsi"/>
          <w:color w:val="auto"/>
        </w:rPr>
        <w:t>bezpośredniej kolizji z przedmiotowym przedsięwzięciem.</w:t>
      </w:r>
    </w:p>
    <w:p w14:paraId="0560F4D0" w14:textId="77777777" w:rsidR="00D245D7" w:rsidRPr="00655FC7" w:rsidRDefault="00D245D7">
      <w:pPr>
        <w:numPr>
          <w:ilvl w:val="0"/>
          <w:numId w:val="12"/>
        </w:numPr>
        <w:suppressAutoHyphens/>
        <w:ind w:left="709"/>
        <w:contextualSpacing/>
        <w:rPr>
          <w:rFonts w:eastAsia="Calibri" w:cstheme="minorHAnsi"/>
          <w:color w:val="auto"/>
        </w:rPr>
      </w:pPr>
      <w:r w:rsidRPr="00655FC7">
        <w:rPr>
          <w:rFonts w:eastAsia="Calibri" w:cstheme="minorHAnsi"/>
          <w:color w:val="auto"/>
        </w:rPr>
        <w:t>Za wycinkę drzew i krzewów należy dokonać nasadzeń zastępczych. Do nasadzeń należy wykorzystać jedynie rodzime gatunki drzew i krzewów. Oszacowanie ilości drzew i krzewów do wycinki oraz wskazanie lokalizacji nasadzeń zastępczych należy uzgodnić po sporządzeniu operatu dendrologicznego.</w:t>
      </w:r>
    </w:p>
    <w:p w14:paraId="739C7CAB" w14:textId="5B8D076A" w:rsidR="00D245D7" w:rsidRPr="00655FC7" w:rsidRDefault="00D245D7">
      <w:pPr>
        <w:numPr>
          <w:ilvl w:val="0"/>
          <w:numId w:val="12"/>
        </w:numPr>
        <w:suppressAutoHyphens/>
        <w:ind w:left="709"/>
        <w:contextualSpacing/>
        <w:rPr>
          <w:rFonts w:eastAsia="Calibri" w:cstheme="minorHAnsi"/>
          <w:color w:val="auto"/>
        </w:rPr>
      </w:pPr>
      <w:r w:rsidRPr="00655FC7">
        <w:rPr>
          <w:rFonts w:eastAsia="Calibri" w:cstheme="minorHAnsi"/>
          <w:color w:val="auto"/>
        </w:rPr>
        <w:t>Wycinkę drzew i krzewów należy prowadzić poza sezonem wegetacyjnym.</w:t>
      </w:r>
    </w:p>
    <w:p w14:paraId="5567934C" w14:textId="3A163F08" w:rsidR="00D245D7" w:rsidRPr="00655FC7" w:rsidRDefault="00D245D7">
      <w:pPr>
        <w:numPr>
          <w:ilvl w:val="0"/>
          <w:numId w:val="12"/>
        </w:numPr>
        <w:suppressAutoHyphens/>
        <w:ind w:left="709"/>
        <w:contextualSpacing/>
        <w:rPr>
          <w:rFonts w:eastAsia="Calibri" w:cstheme="minorHAnsi"/>
          <w:color w:val="auto"/>
        </w:rPr>
      </w:pPr>
      <w:r w:rsidRPr="00655FC7">
        <w:rPr>
          <w:rFonts w:eastAsia="Calibri" w:cstheme="minorHAnsi"/>
          <w:color w:val="auto"/>
        </w:rPr>
        <w:t>Drzewa i krzewy nieprzeznaczone do wycinki, a które znajdują się w sąsiedztwie prac budowlanych</w:t>
      </w:r>
      <w:r w:rsidR="00F66E2B" w:rsidRPr="00655FC7">
        <w:rPr>
          <w:rFonts w:eastAsia="Calibri" w:cstheme="minorHAnsi"/>
          <w:color w:val="auto"/>
        </w:rPr>
        <w:t>,</w:t>
      </w:r>
      <w:r w:rsidRPr="00655FC7">
        <w:rPr>
          <w:rFonts w:eastAsia="Calibri" w:cstheme="minorHAnsi"/>
          <w:color w:val="auto"/>
        </w:rPr>
        <w:t xml:space="preserve"> należy zabezpieczyć przed uszkodzeniem pni, korzeni i konarów.</w:t>
      </w:r>
    </w:p>
    <w:p w14:paraId="018AA919" w14:textId="0E5FD322" w:rsidR="00D245D7" w:rsidRPr="00655FC7" w:rsidRDefault="00D245D7">
      <w:pPr>
        <w:numPr>
          <w:ilvl w:val="0"/>
          <w:numId w:val="12"/>
        </w:numPr>
        <w:suppressAutoHyphens/>
        <w:ind w:left="709"/>
        <w:contextualSpacing/>
        <w:rPr>
          <w:rFonts w:eastAsia="Calibri" w:cstheme="minorHAnsi"/>
          <w:color w:val="auto"/>
        </w:rPr>
      </w:pPr>
      <w:r w:rsidRPr="00655FC7">
        <w:rPr>
          <w:rFonts w:eastAsia="Calibri" w:cstheme="minorHAnsi"/>
          <w:color w:val="auto"/>
        </w:rPr>
        <w:t>Wykopy wykonywane w strefie korzeniowej drzew będą wykonywane wyłącznie ręcznie.</w:t>
      </w:r>
    </w:p>
    <w:p w14:paraId="3F85D96E" w14:textId="77777777" w:rsidR="00D245D7" w:rsidRPr="00655FC7" w:rsidRDefault="00D245D7">
      <w:pPr>
        <w:numPr>
          <w:ilvl w:val="0"/>
          <w:numId w:val="12"/>
        </w:numPr>
        <w:suppressAutoHyphens/>
        <w:ind w:left="709"/>
        <w:contextualSpacing/>
        <w:rPr>
          <w:rFonts w:eastAsia="Calibri" w:cstheme="minorHAnsi"/>
          <w:color w:val="auto"/>
        </w:rPr>
      </w:pPr>
      <w:r w:rsidRPr="00655FC7">
        <w:rPr>
          <w:rFonts w:eastAsia="Calibri" w:cstheme="minorHAnsi"/>
          <w:color w:val="auto"/>
        </w:rPr>
        <w:t>Roboty ziemne w obrębie korzeni drzew i krzew</w:t>
      </w:r>
      <w:r w:rsidR="007C5BB8" w:rsidRPr="00655FC7">
        <w:rPr>
          <w:rFonts w:eastAsia="Calibri" w:cstheme="minorHAnsi"/>
          <w:color w:val="auto"/>
        </w:rPr>
        <w:t>ów nie powinny być prowadzone w </w:t>
      </w:r>
      <w:r w:rsidRPr="00655FC7">
        <w:rPr>
          <w:rFonts w:eastAsia="Calibri" w:cstheme="minorHAnsi"/>
          <w:color w:val="auto"/>
        </w:rPr>
        <w:t>okresie wegetacji roślin, a szczególnie w okresie letnim. Najkorzystniejszym okresem do wykonania tych robót są miesiące od października do końca marca.</w:t>
      </w:r>
    </w:p>
    <w:p w14:paraId="0CF33764" w14:textId="77777777" w:rsidR="00D245D7" w:rsidRPr="00655FC7" w:rsidRDefault="00D245D7">
      <w:pPr>
        <w:numPr>
          <w:ilvl w:val="0"/>
          <w:numId w:val="12"/>
        </w:numPr>
        <w:suppressAutoHyphens/>
        <w:ind w:left="709"/>
        <w:contextualSpacing/>
        <w:rPr>
          <w:rFonts w:eastAsia="Calibri" w:cstheme="minorHAnsi"/>
          <w:color w:val="auto"/>
        </w:rPr>
      </w:pPr>
      <w:r w:rsidRPr="00655FC7">
        <w:rPr>
          <w:rFonts w:eastAsia="Calibri" w:cstheme="minorHAnsi"/>
          <w:color w:val="auto"/>
        </w:rPr>
        <w:t xml:space="preserve">Wykopy w obrębie drzew nie powinny trwać dłużej niż dwa tygodnie, a przy wietrznej, wilgotnej pogodzie trzy tygodnie. W celu niedopuszczenia do przesuszenia systemu korzeniowego, wykopy przy drzewach i krzewach powinny być zasypywane </w:t>
      </w:r>
      <w:r w:rsidR="007C5BB8" w:rsidRPr="00655FC7">
        <w:rPr>
          <w:rFonts w:eastAsia="Calibri" w:cstheme="minorHAnsi"/>
          <w:color w:val="auto"/>
        </w:rPr>
        <w:t>w</w:t>
      </w:r>
      <w:r w:rsidRPr="00655FC7">
        <w:rPr>
          <w:rFonts w:eastAsia="Calibri" w:cstheme="minorHAnsi"/>
          <w:color w:val="auto"/>
        </w:rPr>
        <w:t xml:space="preserve"> jak najkrótszym czasie. </w:t>
      </w:r>
    </w:p>
    <w:p w14:paraId="69A0C1E1" w14:textId="77777777" w:rsidR="00D245D7" w:rsidRPr="00655FC7" w:rsidRDefault="00D245D7">
      <w:pPr>
        <w:numPr>
          <w:ilvl w:val="0"/>
          <w:numId w:val="12"/>
        </w:numPr>
        <w:suppressAutoHyphens/>
        <w:ind w:left="709"/>
        <w:contextualSpacing/>
        <w:rPr>
          <w:rFonts w:eastAsia="Calibri" w:cstheme="minorHAnsi"/>
          <w:color w:val="auto"/>
        </w:rPr>
      </w:pPr>
      <w:r w:rsidRPr="00655FC7">
        <w:rPr>
          <w:rFonts w:eastAsia="Calibri" w:cstheme="minorHAnsi"/>
          <w:color w:val="auto"/>
        </w:rPr>
        <w:t>Powstałe wykopy w sąsiedztwie drzew i krzewów należy zasypać warstwą kompostu lub ziemi urodzajnej.</w:t>
      </w:r>
    </w:p>
    <w:p w14:paraId="573ACAAD" w14:textId="68FCE998" w:rsidR="00D245D7" w:rsidRPr="00655FC7" w:rsidRDefault="00D245D7">
      <w:pPr>
        <w:numPr>
          <w:ilvl w:val="0"/>
          <w:numId w:val="12"/>
        </w:numPr>
        <w:suppressAutoHyphens/>
        <w:ind w:left="709"/>
        <w:contextualSpacing/>
        <w:rPr>
          <w:rFonts w:eastAsia="Calibri" w:cstheme="minorHAnsi"/>
          <w:color w:val="auto"/>
        </w:rPr>
      </w:pPr>
      <w:r w:rsidRPr="00655FC7">
        <w:rPr>
          <w:rFonts w:eastAsia="Calibri" w:cstheme="minorHAnsi"/>
          <w:color w:val="auto"/>
        </w:rPr>
        <w:t>W przypadku kolizji konarów drzew z prac</w:t>
      </w:r>
      <w:r w:rsidR="00F66E2B" w:rsidRPr="00655FC7">
        <w:rPr>
          <w:rFonts w:eastAsia="Calibri" w:cstheme="minorHAnsi"/>
          <w:color w:val="auto"/>
        </w:rPr>
        <w:t>ą</w:t>
      </w:r>
      <w:r w:rsidRPr="00655FC7">
        <w:rPr>
          <w:rFonts w:eastAsia="Calibri" w:cstheme="minorHAnsi"/>
          <w:color w:val="auto"/>
        </w:rPr>
        <w:t xml:space="preserve"> sprzętu budowlanego</w:t>
      </w:r>
      <w:r w:rsidR="00F66E2B" w:rsidRPr="00655FC7">
        <w:rPr>
          <w:rFonts w:eastAsia="Calibri" w:cstheme="minorHAnsi"/>
          <w:color w:val="auto"/>
        </w:rPr>
        <w:t>,</w:t>
      </w:r>
      <w:r w:rsidRPr="00655FC7">
        <w:rPr>
          <w:rFonts w:eastAsia="Calibri" w:cstheme="minorHAnsi"/>
          <w:color w:val="auto"/>
        </w:rPr>
        <w:t xml:space="preserve"> w wyniku którego może dojść do uszkodzenia mechanicznego, gałęzie zagrożone uszkodzeniem należy podwiązać do gałęzi położonych powyżej. Jeżeli jest to zabieg niewystarczający</w:t>
      </w:r>
      <w:r w:rsidR="00F66E2B" w:rsidRPr="00655FC7">
        <w:rPr>
          <w:rFonts w:eastAsia="Calibri" w:cstheme="minorHAnsi"/>
          <w:color w:val="auto"/>
        </w:rPr>
        <w:t>,</w:t>
      </w:r>
      <w:r w:rsidRPr="00655FC7">
        <w:rPr>
          <w:rFonts w:eastAsia="Calibri" w:cstheme="minorHAnsi"/>
          <w:color w:val="auto"/>
        </w:rPr>
        <w:t xml:space="preserve"> w</w:t>
      </w:r>
      <w:r w:rsidR="00F66E2B" w:rsidRPr="00655FC7">
        <w:rPr>
          <w:rFonts w:eastAsia="Calibri" w:cstheme="minorHAnsi"/>
          <w:color w:val="auto"/>
        </w:rPr>
        <w:t> </w:t>
      </w:r>
      <w:r w:rsidRPr="00655FC7">
        <w:rPr>
          <w:rFonts w:eastAsia="Calibri" w:cstheme="minorHAnsi"/>
          <w:color w:val="auto"/>
        </w:rPr>
        <w:t xml:space="preserve">ostateczności należy usunąć lub skrócić kolidujące gałęzie, </w:t>
      </w:r>
      <w:r w:rsidRPr="00655FC7">
        <w:rPr>
          <w:rFonts w:eastAsia="Calibri" w:cstheme="minorHAnsi"/>
        </w:rPr>
        <w:t>a</w:t>
      </w:r>
      <w:r w:rsidR="005A673A" w:rsidRPr="00655FC7">
        <w:rPr>
          <w:rFonts w:eastAsia="Calibri" w:cstheme="minorHAnsi"/>
        </w:rPr>
        <w:t> </w:t>
      </w:r>
      <w:r w:rsidRPr="00655FC7">
        <w:rPr>
          <w:rFonts w:eastAsia="Calibri" w:cstheme="minorHAnsi"/>
        </w:rPr>
        <w:t>rany</w:t>
      </w:r>
      <w:r w:rsidRPr="00655FC7">
        <w:rPr>
          <w:rFonts w:eastAsia="Calibri" w:cstheme="minorHAnsi"/>
          <w:color w:val="auto"/>
        </w:rPr>
        <w:t xml:space="preserve"> po cieciach należy zabezpieczyć środkiem impregnującym z dodatkiem środka grzybobójczego.</w:t>
      </w:r>
    </w:p>
    <w:p w14:paraId="057E24F2" w14:textId="77777777" w:rsidR="00D245D7" w:rsidRPr="00655FC7" w:rsidRDefault="00D245D7">
      <w:pPr>
        <w:numPr>
          <w:ilvl w:val="0"/>
          <w:numId w:val="12"/>
        </w:numPr>
        <w:suppressAutoHyphens/>
        <w:ind w:left="709"/>
        <w:contextualSpacing/>
        <w:rPr>
          <w:rFonts w:eastAsia="Calibri" w:cstheme="minorHAnsi"/>
          <w:color w:val="auto"/>
        </w:rPr>
      </w:pPr>
      <w:r w:rsidRPr="00655FC7">
        <w:rPr>
          <w:rFonts w:eastAsia="Calibri" w:cstheme="minorHAnsi"/>
          <w:color w:val="auto"/>
        </w:rPr>
        <w:t>W przypadku braku możliwości nienaruszenia siedlisk rzadkich/chronionych gatunków, należy wziąć pod uwagę możliwość przeniesienia populacji.</w:t>
      </w:r>
    </w:p>
    <w:p w14:paraId="535C0013" w14:textId="77777777" w:rsidR="00D245D7" w:rsidRPr="00655FC7" w:rsidRDefault="00D245D7">
      <w:pPr>
        <w:numPr>
          <w:ilvl w:val="0"/>
          <w:numId w:val="12"/>
        </w:numPr>
        <w:suppressAutoHyphens/>
        <w:ind w:left="709"/>
        <w:contextualSpacing/>
        <w:rPr>
          <w:rFonts w:eastAsia="Calibri" w:cstheme="minorHAnsi"/>
          <w:color w:val="auto"/>
        </w:rPr>
      </w:pPr>
      <w:r w:rsidRPr="00655FC7">
        <w:rPr>
          <w:rFonts w:eastAsia="Calibri" w:cstheme="minorHAnsi"/>
          <w:color w:val="auto"/>
        </w:rPr>
        <w:lastRenderedPageBreak/>
        <w:t>Nie należy prowadzić robót budowlanych w okresie lęgowym, jeśli na obszarze inwestycji lub w jej pobliżu gniazdują ptaki.</w:t>
      </w:r>
    </w:p>
    <w:p w14:paraId="0B7BC088" w14:textId="77777777" w:rsidR="00D245D7" w:rsidRPr="00655FC7" w:rsidRDefault="00D245D7">
      <w:pPr>
        <w:numPr>
          <w:ilvl w:val="0"/>
          <w:numId w:val="12"/>
        </w:numPr>
        <w:suppressAutoHyphens/>
        <w:spacing w:after="200"/>
        <w:ind w:left="709"/>
        <w:contextualSpacing/>
        <w:rPr>
          <w:rFonts w:eastAsia="Calibri" w:cstheme="minorHAnsi"/>
          <w:color w:val="auto"/>
        </w:rPr>
      </w:pPr>
      <w:r w:rsidRPr="00655FC7">
        <w:rPr>
          <w:rFonts w:eastAsia="Calibri" w:cstheme="minorHAnsi"/>
          <w:color w:val="auto"/>
        </w:rPr>
        <w:t>W przypadku istotnego zagrożenia hałasem, mogącego płoszyć chronione gatunki zwierząt w okresie rozrodczym (i/lub powodujące ponadnormatywną emisję na terenach mieszkaniowych), należy rozważyć zastosowanie ekranów.</w:t>
      </w:r>
    </w:p>
    <w:p w14:paraId="2595DCE7" w14:textId="77777777" w:rsidR="00D245D7" w:rsidRPr="00655FC7" w:rsidRDefault="00D245D7">
      <w:pPr>
        <w:numPr>
          <w:ilvl w:val="0"/>
          <w:numId w:val="12"/>
        </w:numPr>
        <w:suppressAutoHyphens/>
        <w:spacing w:after="200"/>
        <w:ind w:left="709"/>
        <w:contextualSpacing/>
        <w:rPr>
          <w:rFonts w:eastAsia="Calibri" w:cstheme="minorHAnsi"/>
          <w:color w:val="auto"/>
        </w:rPr>
      </w:pPr>
      <w:r w:rsidRPr="00655FC7">
        <w:rPr>
          <w:rFonts w:eastAsia="Calibri" w:cstheme="minorHAnsi"/>
          <w:color w:val="auto"/>
        </w:rPr>
        <w:t>Stosowanie technologii w jak najmniejszym stopniu wpływającej na środowisko (ograniczającej emisję zanieczyszczeń i hałasu).</w:t>
      </w:r>
    </w:p>
    <w:p w14:paraId="014845F1" w14:textId="55EFF4FA" w:rsidR="00D245D7" w:rsidRPr="00655FC7" w:rsidRDefault="00D245D7">
      <w:pPr>
        <w:numPr>
          <w:ilvl w:val="0"/>
          <w:numId w:val="12"/>
        </w:numPr>
        <w:suppressAutoHyphens/>
        <w:spacing w:after="200"/>
        <w:ind w:left="709" w:hanging="357"/>
        <w:rPr>
          <w:rFonts w:eastAsia="Calibri" w:cstheme="minorHAnsi"/>
          <w:color w:val="auto"/>
        </w:rPr>
      </w:pPr>
      <w:r w:rsidRPr="00655FC7">
        <w:rPr>
          <w:rFonts w:eastAsia="Calibri" w:cstheme="minorHAnsi"/>
          <w:color w:val="auto"/>
        </w:rPr>
        <w:t>Uwzględnianie wariantu lokalizacyjnego w sposób zgodny z dokumentami planistycznymi, przepisami i aktami prawnymi obowiązującymi dla poszczególnych form ochrony przyrody, a</w:t>
      </w:r>
      <w:r w:rsidR="00C56DC2" w:rsidRPr="00655FC7">
        <w:rPr>
          <w:rFonts w:eastAsia="Calibri" w:cstheme="minorHAnsi"/>
          <w:color w:val="auto"/>
        </w:rPr>
        <w:t> </w:t>
      </w:r>
      <w:r w:rsidRPr="00655FC7">
        <w:rPr>
          <w:rFonts w:eastAsia="Calibri" w:cstheme="minorHAnsi"/>
          <w:color w:val="auto"/>
        </w:rPr>
        <w:t>także biorąc pod uwagę potrzeby ochrony siedlisk przyrodniczych, siedlisk zwierząt i roślin oraz korytarze migracyjne i łączność ekosystemów.</w:t>
      </w:r>
    </w:p>
    <w:p w14:paraId="4CAFCE9F" w14:textId="77777777" w:rsidR="00D245D7" w:rsidRPr="00655FC7" w:rsidRDefault="00D245D7" w:rsidP="0053413A">
      <w:pPr>
        <w:ind w:firstLine="0"/>
        <w:rPr>
          <w:rStyle w:val="Wyrnienieintensywne"/>
        </w:rPr>
      </w:pPr>
      <w:r w:rsidRPr="00655FC7">
        <w:rPr>
          <w:rStyle w:val="Wyrnienieintensywne"/>
        </w:rPr>
        <w:t>Ochrona przed hałasem i drganiami:</w:t>
      </w:r>
    </w:p>
    <w:p w14:paraId="0F9679B7" w14:textId="77777777" w:rsidR="00D245D7" w:rsidRPr="00655FC7" w:rsidRDefault="00D245D7">
      <w:pPr>
        <w:numPr>
          <w:ilvl w:val="0"/>
          <w:numId w:val="13"/>
        </w:numPr>
        <w:suppressAutoHyphens/>
        <w:ind w:left="709"/>
        <w:contextualSpacing/>
        <w:rPr>
          <w:rFonts w:eastAsia="Calibri" w:cstheme="minorHAnsi"/>
          <w:color w:val="auto"/>
        </w:rPr>
      </w:pPr>
      <w:r w:rsidRPr="00655FC7">
        <w:rPr>
          <w:rFonts w:eastAsia="Calibri" w:cstheme="minorHAnsi"/>
          <w:color w:val="auto"/>
        </w:rPr>
        <w:t>Ograniczenie prac związanych z wykorzystaniem głośnego sprzętu, do pory dziennej między 7:00 a 20:00.</w:t>
      </w:r>
    </w:p>
    <w:p w14:paraId="1AC81928" w14:textId="499A55E8" w:rsidR="00D245D7" w:rsidRPr="00655FC7" w:rsidRDefault="00D245D7">
      <w:pPr>
        <w:numPr>
          <w:ilvl w:val="0"/>
          <w:numId w:val="13"/>
        </w:numPr>
        <w:suppressAutoHyphens/>
        <w:ind w:left="709"/>
        <w:contextualSpacing/>
        <w:rPr>
          <w:rFonts w:eastAsia="Calibri" w:cstheme="minorHAnsi"/>
          <w:color w:val="auto"/>
        </w:rPr>
      </w:pPr>
      <w:r w:rsidRPr="00655FC7">
        <w:rPr>
          <w:rFonts w:eastAsia="Calibri" w:cstheme="minorHAnsi"/>
          <w:color w:val="auto"/>
        </w:rPr>
        <w:t>W miejscach szczególnie wrażliwych</w:t>
      </w:r>
      <w:r w:rsidR="00F66E2B" w:rsidRPr="00655FC7">
        <w:rPr>
          <w:rFonts w:eastAsia="Calibri" w:cstheme="minorHAnsi"/>
          <w:color w:val="auto"/>
        </w:rPr>
        <w:t>,</w:t>
      </w:r>
      <w:r w:rsidRPr="00655FC7">
        <w:rPr>
          <w:rFonts w:eastAsia="Calibri" w:cstheme="minorHAnsi"/>
          <w:color w:val="auto"/>
        </w:rPr>
        <w:t xml:space="preserve"> obok zabudowy mieszkaniowej należy ograniczyć prędkość pojazdów dowożących materiały budowlane ze względu na drgania przenoszące się na konstrukcje budynków oraz wpływ na klimat akustyczny otoczenia.</w:t>
      </w:r>
    </w:p>
    <w:p w14:paraId="0979C570" w14:textId="77777777" w:rsidR="00D245D7" w:rsidRPr="00655FC7" w:rsidRDefault="00D245D7">
      <w:pPr>
        <w:numPr>
          <w:ilvl w:val="0"/>
          <w:numId w:val="13"/>
        </w:numPr>
        <w:suppressAutoHyphens/>
        <w:ind w:left="709"/>
        <w:contextualSpacing/>
        <w:rPr>
          <w:rFonts w:eastAsia="Calibri" w:cstheme="minorHAnsi"/>
          <w:color w:val="auto"/>
        </w:rPr>
      </w:pPr>
      <w:r w:rsidRPr="00655FC7">
        <w:rPr>
          <w:rFonts w:eastAsia="Calibri" w:cstheme="minorHAnsi"/>
          <w:color w:val="auto"/>
        </w:rPr>
        <w:t>Projektanci powinni zwrócić uwagę na propozycję lokalizacji baz zaplecza technicznego budowy tak, aby planować je możliwe z dala od okien budynków mieszkalnych.</w:t>
      </w:r>
    </w:p>
    <w:p w14:paraId="1F980C1E" w14:textId="40DE73CE" w:rsidR="00D245D7" w:rsidRPr="00655FC7" w:rsidRDefault="00D245D7">
      <w:pPr>
        <w:numPr>
          <w:ilvl w:val="0"/>
          <w:numId w:val="13"/>
        </w:numPr>
        <w:suppressAutoHyphens/>
        <w:ind w:left="709"/>
        <w:contextualSpacing/>
        <w:rPr>
          <w:rFonts w:eastAsia="Calibri" w:cstheme="minorHAnsi"/>
          <w:color w:val="auto"/>
        </w:rPr>
      </w:pPr>
      <w:r w:rsidRPr="00655FC7">
        <w:rPr>
          <w:rFonts w:eastAsia="Calibri" w:cstheme="minorHAnsi"/>
          <w:color w:val="auto"/>
        </w:rPr>
        <w:t>Na terenach zwartej zabudowy mieszkaniowej należy tak planować roboty budowlane w ramach poszczególnych zadań</w:t>
      </w:r>
      <w:r w:rsidR="00F66E2B" w:rsidRPr="00655FC7">
        <w:rPr>
          <w:rFonts w:eastAsia="Calibri" w:cstheme="minorHAnsi"/>
          <w:color w:val="auto"/>
        </w:rPr>
        <w:t>,</w:t>
      </w:r>
      <w:r w:rsidRPr="00655FC7">
        <w:rPr>
          <w:rFonts w:eastAsia="Calibri" w:cstheme="minorHAnsi"/>
          <w:color w:val="auto"/>
        </w:rPr>
        <w:t xml:space="preserve"> by prowadzić prace związane z emisją hałasu w tym samym czasie tylko po jednej stronie budynku, aby w mieszkaniu były pomieszczenia nienarażone na emisję hałasu.</w:t>
      </w:r>
    </w:p>
    <w:p w14:paraId="271597BE" w14:textId="77777777" w:rsidR="00D245D7" w:rsidRPr="00655FC7" w:rsidRDefault="00D245D7">
      <w:pPr>
        <w:numPr>
          <w:ilvl w:val="0"/>
          <w:numId w:val="13"/>
        </w:numPr>
        <w:suppressAutoHyphens/>
        <w:ind w:left="709"/>
        <w:contextualSpacing/>
        <w:rPr>
          <w:rFonts w:eastAsia="Calibri" w:cstheme="minorHAnsi"/>
          <w:color w:val="auto"/>
        </w:rPr>
      </w:pPr>
      <w:r w:rsidRPr="00655FC7">
        <w:rPr>
          <w:rFonts w:eastAsia="Calibri" w:cstheme="minorHAnsi"/>
          <w:color w:val="auto"/>
        </w:rPr>
        <w:t>Organizacja pracy, ograniczająca liczbę osób i czas ekspozycji na hałas.</w:t>
      </w:r>
    </w:p>
    <w:p w14:paraId="026B1A63" w14:textId="77777777" w:rsidR="00D245D7" w:rsidRPr="00655FC7" w:rsidRDefault="00D245D7">
      <w:pPr>
        <w:numPr>
          <w:ilvl w:val="0"/>
          <w:numId w:val="13"/>
        </w:numPr>
        <w:suppressAutoHyphens/>
        <w:ind w:left="709"/>
        <w:contextualSpacing/>
        <w:rPr>
          <w:rFonts w:eastAsia="Calibri" w:cstheme="minorHAnsi"/>
          <w:color w:val="auto"/>
        </w:rPr>
      </w:pPr>
      <w:r w:rsidRPr="00655FC7">
        <w:rPr>
          <w:rFonts w:eastAsia="Calibri" w:cstheme="minorHAnsi"/>
          <w:color w:val="auto"/>
        </w:rPr>
        <w:t>Stosowanie harmonogramów prac, ograniczających narażenie na hałas.</w:t>
      </w:r>
    </w:p>
    <w:p w14:paraId="61DFEA94" w14:textId="77777777" w:rsidR="00D245D7" w:rsidRPr="00655FC7" w:rsidRDefault="00D245D7">
      <w:pPr>
        <w:numPr>
          <w:ilvl w:val="0"/>
          <w:numId w:val="13"/>
        </w:numPr>
        <w:suppressAutoHyphens/>
        <w:ind w:left="709"/>
        <w:contextualSpacing/>
        <w:rPr>
          <w:rFonts w:eastAsia="Calibri" w:cstheme="minorHAnsi"/>
          <w:color w:val="auto"/>
        </w:rPr>
      </w:pPr>
      <w:r w:rsidRPr="00655FC7">
        <w:rPr>
          <w:rFonts w:eastAsia="Calibri" w:cstheme="minorHAnsi"/>
          <w:color w:val="auto"/>
        </w:rPr>
        <w:t>Stosowanie tzw. cichych nawierzchni.</w:t>
      </w:r>
    </w:p>
    <w:p w14:paraId="66372CD2" w14:textId="77777777" w:rsidR="00D245D7" w:rsidRPr="00655FC7" w:rsidRDefault="00D245D7">
      <w:pPr>
        <w:numPr>
          <w:ilvl w:val="0"/>
          <w:numId w:val="13"/>
        </w:numPr>
        <w:suppressAutoHyphens/>
        <w:ind w:left="709"/>
        <w:contextualSpacing/>
        <w:rPr>
          <w:rFonts w:eastAsia="Calibri" w:cstheme="minorHAnsi"/>
          <w:color w:val="auto"/>
        </w:rPr>
      </w:pPr>
      <w:r w:rsidRPr="00655FC7">
        <w:rPr>
          <w:rFonts w:eastAsia="Calibri" w:cstheme="minorHAnsi"/>
          <w:color w:val="auto"/>
        </w:rPr>
        <w:t>Ograniczenie do minimum strefy bezpośredniej ingerencji w środowisko.</w:t>
      </w:r>
    </w:p>
    <w:p w14:paraId="6DBF6B33" w14:textId="0D337B73" w:rsidR="00D245D7" w:rsidRPr="00655FC7" w:rsidRDefault="00D245D7">
      <w:pPr>
        <w:numPr>
          <w:ilvl w:val="0"/>
          <w:numId w:val="13"/>
        </w:numPr>
        <w:suppressAutoHyphens/>
        <w:ind w:left="709"/>
        <w:contextualSpacing/>
        <w:rPr>
          <w:rFonts w:eastAsia="Calibri" w:cstheme="minorHAnsi"/>
          <w:color w:val="auto"/>
        </w:rPr>
      </w:pPr>
      <w:r w:rsidRPr="00655FC7">
        <w:rPr>
          <w:rFonts w:eastAsia="Calibri" w:cstheme="minorHAnsi"/>
          <w:color w:val="auto"/>
        </w:rPr>
        <w:t>Racjonalna gospodarka materiałami i minimalizacja powstawania odpadów.</w:t>
      </w:r>
    </w:p>
    <w:p w14:paraId="6380677B" w14:textId="77777777" w:rsidR="00D245D7" w:rsidRPr="00655FC7" w:rsidRDefault="00D245D7">
      <w:pPr>
        <w:numPr>
          <w:ilvl w:val="0"/>
          <w:numId w:val="13"/>
        </w:numPr>
        <w:suppressAutoHyphens/>
        <w:ind w:left="709"/>
        <w:contextualSpacing/>
        <w:rPr>
          <w:rFonts w:eastAsia="Calibri" w:cstheme="minorHAnsi"/>
          <w:color w:val="auto"/>
        </w:rPr>
      </w:pPr>
      <w:r w:rsidRPr="00655FC7">
        <w:rPr>
          <w:rFonts w:eastAsia="Calibri" w:cstheme="minorHAnsi"/>
          <w:color w:val="auto"/>
        </w:rPr>
        <w:t>Sprawne przeprowadzenie prac.</w:t>
      </w:r>
    </w:p>
    <w:p w14:paraId="500EBF83" w14:textId="77777777" w:rsidR="00D245D7" w:rsidRPr="00655FC7" w:rsidRDefault="00D245D7">
      <w:pPr>
        <w:numPr>
          <w:ilvl w:val="0"/>
          <w:numId w:val="13"/>
        </w:numPr>
        <w:suppressAutoHyphens/>
        <w:ind w:left="709"/>
        <w:contextualSpacing/>
        <w:rPr>
          <w:rFonts w:eastAsia="Calibri" w:cstheme="minorHAnsi"/>
          <w:color w:val="auto"/>
        </w:rPr>
      </w:pPr>
      <w:r w:rsidRPr="00655FC7">
        <w:rPr>
          <w:rFonts w:eastAsia="Calibri" w:cstheme="minorHAnsi"/>
          <w:color w:val="auto"/>
        </w:rPr>
        <w:t xml:space="preserve">Ograniczenie do niezbędnego minimum usuwania drzew i krzewów będących w kolizji z planowaną inwestycją. </w:t>
      </w:r>
    </w:p>
    <w:p w14:paraId="60D5D8A8" w14:textId="77777777" w:rsidR="00D245D7" w:rsidRPr="00655FC7" w:rsidRDefault="00D245D7">
      <w:pPr>
        <w:numPr>
          <w:ilvl w:val="0"/>
          <w:numId w:val="13"/>
        </w:numPr>
        <w:suppressAutoHyphens/>
        <w:spacing w:after="240"/>
        <w:ind w:left="709"/>
        <w:contextualSpacing/>
        <w:rPr>
          <w:rFonts w:eastAsia="Calibri" w:cstheme="minorHAnsi"/>
          <w:color w:val="auto"/>
        </w:rPr>
      </w:pPr>
      <w:r w:rsidRPr="00655FC7">
        <w:rPr>
          <w:rFonts w:eastAsia="Calibri" w:cstheme="minorHAnsi"/>
          <w:color w:val="auto"/>
        </w:rPr>
        <w:t>Dobór gatunków roślin pełniących rolę dźwiękochronną dostosowanych do wymogów siedliska.</w:t>
      </w:r>
    </w:p>
    <w:p w14:paraId="06E59D98" w14:textId="77777777" w:rsidR="00D245D7" w:rsidRPr="00655FC7" w:rsidRDefault="00D245D7">
      <w:pPr>
        <w:numPr>
          <w:ilvl w:val="0"/>
          <w:numId w:val="13"/>
        </w:numPr>
        <w:suppressAutoHyphens/>
        <w:spacing w:after="240"/>
        <w:ind w:left="709"/>
        <w:contextualSpacing/>
        <w:rPr>
          <w:rFonts w:eastAsia="Calibri" w:cstheme="minorHAnsi"/>
          <w:color w:val="auto"/>
        </w:rPr>
      </w:pPr>
      <w:r w:rsidRPr="00655FC7">
        <w:rPr>
          <w:rFonts w:eastAsia="Calibri" w:cstheme="minorHAnsi"/>
          <w:color w:val="auto"/>
        </w:rPr>
        <w:t>Stosowanie barier akustycznych na etapie realizacji konkretnych inwestycji drogowych (szczególnie w miejscach przejścia dróg uciążliwych przez tereny mieszkaniowe i usług chronionych).</w:t>
      </w:r>
    </w:p>
    <w:p w14:paraId="31DB8DA9" w14:textId="77777777" w:rsidR="00D245D7" w:rsidRPr="00655FC7" w:rsidRDefault="00D245D7">
      <w:pPr>
        <w:numPr>
          <w:ilvl w:val="0"/>
          <w:numId w:val="13"/>
        </w:numPr>
        <w:suppressAutoHyphens/>
        <w:spacing w:after="200"/>
        <w:ind w:left="709" w:hanging="357"/>
        <w:jc w:val="left"/>
        <w:rPr>
          <w:rFonts w:eastAsia="Calibri" w:cstheme="minorHAnsi"/>
          <w:color w:val="auto"/>
        </w:rPr>
      </w:pPr>
      <w:r w:rsidRPr="00655FC7">
        <w:rPr>
          <w:rFonts w:eastAsia="Calibri" w:cstheme="minorHAnsi"/>
          <w:color w:val="auto"/>
        </w:rPr>
        <w:t>Zastosowania odpowiednio szerokich pasów zieleni o zróżnicowanej wysokości tak, aby zapewnić maksymalne wartości pochłaniania i odbijania fali akustycznej.</w:t>
      </w:r>
    </w:p>
    <w:p w14:paraId="4ED66423" w14:textId="07999AAF" w:rsidR="00D245D7" w:rsidRPr="00655FC7" w:rsidRDefault="00D245D7" w:rsidP="00B62479">
      <w:pPr>
        <w:pStyle w:val="Nagwek2"/>
        <w:rPr>
          <w:rFonts w:eastAsia="Times New Roman"/>
        </w:rPr>
      </w:pPr>
      <w:bookmarkStart w:id="306" w:name="_Toc110835551"/>
      <w:bookmarkStart w:id="307" w:name="_Toc143596968"/>
      <w:bookmarkStart w:id="308" w:name="_Toc177732098"/>
      <w:r w:rsidRPr="00655FC7">
        <w:rPr>
          <w:rFonts w:eastAsia="Times New Roman"/>
        </w:rPr>
        <w:lastRenderedPageBreak/>
        <w:t>Opis oddziaływania działań przewidzianych</w:t>
      </w:r>
      <w:r w:rsidR="007C5BB8" w:rsidRPr="00655FC7">
        <w:rPr>
          <w:rFonts w:eastAsia="Times New Roman"/>
        </w:rPr>
        <w:t xml:space="preserve"> do realizacji w </w:t>
      </w:r>
      <w:r w:rsidRPr="00655FC7">
        <w:rPr>
          <w:rFonts w:eastAsia="Times New Roman"/>
        </w:rPr>
        <w:t xml:space="preserve">ramach projektu </w:t>
      </w:r>
      <w:bookmarkEnd w:id="306"/>
      <w:r w:rsidR="00F66461" w:rsidRPr="00655FC7">
        <w:rPr>
          <w:rFonts w:eastAsia="Times New Roman"/>
        </w:rPr>
        <w:t>Planu Adaptacji</w:t>
      </w:r>
      <w:bookmarkEnd w:id="307"/>
      <w:bookmarkEnd w:id="308"/>
    </w:p>
    <w:p w14:paraId="11CC6118" w14:textId="246F9FAF" w:rsidR="00D245D7" w:rsidRPr="00655FC7" w:rsidRDefault="00D245D7" w:rsidP="00A92309">
      <w:r w:rsidRPr="00655FC7">
        <w:t>Analizie poddano zadania mogące oddziaływać na środowisko zgodnie z wytycznymi określonymi w</w:t>
      </w:r>
      <w:r w:rsidR="00C56DC2" w:rsidRPr="00655FC7">
        <w:t> </w:t>
      </w:r>
      <w:r w:rsidRPr="00655FC7">
        <w:t>rozporządzeniu Rady Ministrów z dnia 10 września 2019 r. w sprawie przedsięwzięć mogących znacząco oddziaływać na środowisko (Dz. U. z 2019 r. poz. 1839).</w:t>
      </w:r>
    </w:p>
    <w:p w14:paraId="7B0B82BC" w14:textId="2B4D82F7" w:rsidR="00D245D7" w:rsidRPr="003647C5" w:rsidRDefault="00424E95" w:rsidP="003647C5">
      <w:pPr>
        <w:suppressAutoHyphens/>
        <w:spacing w:before="120"/>
        <w:ind w:firstLine="0"/>
        <w:rPr>
          <w:rStyle w:val="Wyrnienieintensywne"/>
        </w:rPr>
      </w:pPr>
      <w:r w:rsidRPr="003647C5">
        <w:rPr>
          <w:rStyle w:val="Wyrnienieintensywne"/>
        </w:rPr>
        <w:t>B</w:t>
      </w:r>
      <w:r w:rsidR="00D245D7" w:rsidRPr="003647C5">
        <w:rPr>
          <w:rStyle w:val="Wyrnienieintensywne"/>
        </w:rPr>
        <w:t xml:space="preserve">udowa zbiorników retencyjnych </w:t>
      </w:r>
    </w:p>
    <w:p w14:paraId="03A35126" w14:textId="503A69ED" w:rsidR="00D245D7" w:rsidRPr="00655FC7" w:rsidRDefault="00424E95" w:rsidP="00A92309">
      <w:pPr>
        <w:rPr>
          <w:rFonts w:eastAsia="Calibri" w:cstheme="minorHAnsi"/>
        </w:rPr>
      </w:pPr>
      <w:r w:rsidRPr="00655FC7">
        <w:rPr>
          <w:rFonts w:eastAsia="Calibri" w:cstheme="minorHAnsi"/>
        </w:rPr>
        <w:t>B</w:t>
      </w:r>
      <w:r w:rsidR="00D245D7" w:rsidRPr="00655FC7">
        <w:rPr>
          <w:rFonts w:eastAsia="Calibri" w:cstheme="minorHAnsi"/>
        </w:rPr>
        <w:t xml:space="preserve">udowa zbiorników retencyjnych pozytywnie wpłynie </w:t>
      </w:r>
      <w:r w:rsidR="00D2747F" w:rsidRPr="00655FC7">
        <w:rPr>
          <w:rFonts w:eastAsia="Calibri" w:cstheme="minorHAnsi"/>
        </w:rPr>
        <w:t xml:space="preserve">na rozwój </w:t>
      </w:r>
      <w:r w:rsidR="00D245D7" w:rsidRPr="00655FC7">
        <w:rPr>
          <w:rFonts w:eastAsia="Calibri" w:cstheme="minorHAnsi"/>
        </w:rPr>
        <w:t xml:space="preserve">zasobów naturalnych. Mając na uwadze charakter zadania oraz </w:t>
      </w:r>
      <w:r w:rsidR="00D245D7" w:rsidRPr="00655FC7">
        <w:t>zastosowanie rozwiązań chroniących środowisko</w:t>
      </w:r>
      <w:r w:rsidR="00186062">
        <w:t>,</w:t>
      </w:r>
      <w:r w:rsidR="00D245D7" w:rsidRPr="00655FC7">
        <w:t xml:space="preserve"> na etapie realizacji przedsięwzięcia nie przewiduje się negatyw</w:t>
      </w:r>
      <w:r w:rsidR="007C5BB8" w:rsidRPr="00655FC7">
        <w:t>nego oddziaływania inwestycji w </w:t>
      </w:r>
      <w:r w:rsidR="00D245D7" w:rsidRPr="00655FC7">
        <w:t>odniesieniu do realizacji celów środowiskowych wyznaczonych dla wód powierzchniowych i podziemnych, w</w:t>
      </w:r>
      <w:r w:rsidR="00D256E4">
        <w:t xml:space="preserve"> </w:t>
      </w:r>
      <w:r w:rsidR="00D245D7" w:rsidRPr="00655FC7">
        <w:t>tym nadmiernej eksploatacji zasobów wodnych. Prace powinny być wykonywane zgodnie ze sztuką budowlaną, przy jak najmniejszym zajęciu terenu – w pasie modernizowanego oraz przebudowywanego wału. Działanie nie będzie powodować zmiany stosunków gruntowo-wodnych, należy uznać, że planowane działania, w trakcie realizacji nie będą wykazywać znaczącego negatywnego oddziaływania na powierzchnię ziemi oraz środowisko gruntowo – wodne. Prace realizacyjne oraz transport niezbędnych do wykonania prac elementów, będą wiązały się z krótkotrwałą emisją spalin, pyłu oraz hałasu, jednakże odbędą się w sposób możliwie najmniej inwazyjny. Ze względu na skalę oraz czasowe oddziaływanie prac nie przewiduje się znaczącego pogorszenia warunków aerosanitarnych w rejonie i otoczeniu przedsięwzięcia. Na etapie realiza</w:t>
      </w:r>
      <w:r w:rsidR="007C5BB8" w:rsidRPr="00655FC7">
        <w:t>cji, obejmującym modernizację i </w:t>
      </w:r>
      <w:r w:rsidR="00D245D7" w:rsidRPr="00655FC7">
        <w:t>przebudowę obwałowania, nastąpi likwidacja roślinno</w:t>
      </w:r>
      <w:r w:rsidR="007C5BB8" w:rsidRPr="00655FC7">
        <w:t>ści i siedlisk w pasie terenu o </w:t>
      </w:r>
      <w:r w:rsidR="00D245D7" w:rsidRPr="00655FC7">
        <w:t xml:space="preserve">szerokości odpowiadającej planowanemu śladowi wałów. Realizacja zadania nie stanowi znaczącego zagrożenia dla roślinności, w tym roślinności chronionej występującej na terenie </w:t>
      </w:r>
      <w:r w:rsidR="00B4515C" w:rsidRPr="00655FC7">
        <w:t>Miasta</w:t>
      </w:r>
      <w:r w:rsidR="006D73FA" w:rsidRPr="00655FC7">
        <w:t xml:space="preserve"> </w:t>
      </w:r>
      <w:r w:rsidR="00186062">
        <w:t>Tarnogród</w:t>
      </w:r>
      <w:r w:rsidR="00D245D7" w:rsidRPr="00655FC7">
        <w:t>. Jeżeli niezbędne jest umacnianie brzegów, należy również dążyć do ograniczenia zniszczeń w siedliskach ptaków gnieżdżących się w</w:t>
      </w:r>
      <w:r w:rsidR="00D256E4">
        <w:t xml:space="preserve"> </w:t>
      </w:r>
      <w:r w:rsidR="00D245D7" w:rsidRPr="00655FC7">
        <w:t>pasie roślinności przybrzeżnej. Podobnie jak w przypadku oddziaływania inwestycji na florę, oddziaływanie przedsięwzięcia będzie miało miejsce jedynie na etapie inwestycyjnym. E</w:t>
      </w:r>
      <w:r w:rsidR="007C5BB8" w:rsidRPr="00655FC7">
        <w:t xml:space="preserve">misja hałasu </w:t>
      </w:r>
      <w:r w:rsidR="00186062">
        <w:t xml:space="preserve">i </w:t>
      </w:r>
      <w:r w:rsidR="007C5BB8" w:rsidRPr="00655FC7">
        <w:t>drgań związana z </w:t>
      </w:r>
      <w:r w:rsidR="00D245D7" w:rsidRPr="00655FC7">
        <w:t>prowadzeniem prac będzie powodować płoszenie zarówno gatunków awifauny, jak również fauny wodnej. Aby zminimalizować wpływ hałasu na faunę w otoczeniu przedsięwzięcia termin realizacji</w:t>
      </w:r>
      <w:r w:rsidR="00D245D7" w:rsidRPr="00655FC7">
        <w:rPr>
          <w:rFonts w:eastAsia="Calibri" w:cstheme="minorHAnsi"/>
        </w:rPr>
        <w:t xml:space="preserve"> prac zostanie zaplanowany etapowo oraz poza okresami lęgowymi ptaków (1 marca - 15 sierpnia, chyba, że potwierdzony będzie brak lęgów) oraz tarła ryb (1 marca- 30 czerwca).</w:t>
      </w:r>
    </w:p>
    <w:p w14:paraId="2B6CD32E" w14:textId="1A2E99BF" w:rsidR="00D245D7" w:rsidRPr="00655FC7" w:rsidRDefault="00D245D7" w:rsidP="00856A8F">
      <w:pPr>
        <w:suppressAutoHyphens/>
        <w:spacing w:before="120"/>
        <w:ind w:firstLine="0"/>
        <w:rPr>
          <w:rStyle w:val="Wyrnienieintensywne"/>
        </w:rPr>
      </w:pPr>
      <w:r w:rsidRPr="00655FC7">
        <w:rPr>
          <w:rStyle w:val="Wyrnienieintensywne"/>
        </w:rPr>
        <w:t xml:space="preserve">Budowa i </w:t>
      </w:r>
      <w:r w:rsidR="00424E95" w:rsidRPr="00655FC7">
        <w:rPr>
          <w:rStyle w:val="Wyrnienieintensywne"/>
        </w:rPr>
        <w:t>modernizacja sieci wodociągowej</w:t>
      </w:r>
      <w:r w:rsidR="00D256E4">
        <w:rPr>
          <w:rStyle w:val="Wyrnienieintensywne"/>
        </w:rPr>
        <w:t xml:space="preserve">, </w:t>
      </w:r>
      <w:r w:rsidR="00424E95" w:rsidRPr="00655FC7">
        <w:rPr>
          <w:rStyle w:val="Wyrnienieintensywne"/>
        </w:rPr>
        <w:t>kanalizacyjnej</w:t>
      </w:r>
      <w:r w:rsidR="00D256E4">
        <w:rPr>
          <w:rStyle w:val="Wyrnienieintensywne"/>
        </w:rPr>
        <w:t xml:space="preserve"> oraz deszczowej</w:t>
      </w:r>
    </w:p>
    <w:p w14:paraId="08EE6448" w14:textId="6D5E1EE4" w:rsidR="00D245D7" w:rsidRPr="00655FC7" w:rsidRDefault="00D245D7" w:rsidP="00A92309">
      <w:r w:rsidRPr="00655FC7">
        <w:t>Na etapie realizacji mogą wystąpić zagrożenia związane z prowadzonymi pracami budowlanymi,</w:t>
      </w:r>
      <w:r w:rsidR="0028741C">
        <w:t> </w:t>
      </w:r>
      <w:r w:rsidRPr="00655FC7">
        <w:t>tj.:</w:t>
      </w:r>
    </w:p>
    <w:p w14:paraId="3C89C618" w14:textId="450ACFA9" w:rsidR="00D245D7" w:rsidRPr="00655FC7" w:rsidRDefault="00D245D7">
      <w:pPr>
        <w:numPr>
          <w:ilvl w:val="0"/>
          <w:numId w:val="14"/>
        </w:numPr>
        <w:suppressAutoHyphens/>
        <w:spacing w:after="120"/>
        <w:ind w:left="714" w:hanging="357"/>
        <w:contextualSpacing/>
        <w:rPr>
          <w:rFonts w:cstheme="minorHAnsi"/>
        </w:rPr>
      </w:pPr>
      <w:r w:rsidRPr="00655FC7">
        <w:rPr>
          <w:rFonts w:cstheme="minorHAnsi"/>
        </w:rPr>
        <w:t>naruszenie wierzchnich warstw gleby w związku z wykopami ziemnymi</w:t>
      </w:r>
      <w:r w:rsidR="00753BAA" w:rsidRPr="00655FC7">
        <w:rPr>
          <w:rFonts w:cstheme="minorHAnsi"/>
        </w:rPr>
        <w:t>,</w:t>
      </w:r>
    </w:p>
    <w:p w14:paraId="0C815971" w14:textId="42C397B9" w:rsidR="00D245D7" w:rsidRPr="00655FC7" w:rsidRDefault="00D245D7">
      <w:pPr>
        <w:numPr>
          <w:ilvl w:val="0"/>
          <w:numId w:val="14"/>
        </w:numPr>
        <w:suppressAutoHyphens/>
        <w:spacing w:before="120" w:after="120"/>
        <w:ind w:left="714" w:hanging="357"/>
        <w:contextualSpacing/>
        <w:rPr>
          <w:rFonts w:cstheme="minorHAnsi"/>
        </w:rPr>
      </w:pPr>
      <w:r w:rsidRPr="00655FC7">
        <w:rPr>
          <w:rFonts w:cstheme="minorHAnsi"/>
        </w:rPr>
        <w:t>emisja niezorganizowana hałasu i pyłów w związku z dojazdem koparki i</w:t>
      </w:r>
      <w:r w:rsidR="0028741C">
        <w:rPr>
          <w:rFonts w:cstheme="minorHAnsi"/>
        </w:rPr>
        <w:t xml:space="preserve"> </w:t>
      </w:r>
      <w:r w:rsidRPr="00655FC7">
        <w:rPr>
          <w:rFonts w:cstheme="minorHAnsi"/>
        </w:rPr>
        <w:t>samochodów dostarczających materiały budowlane</w:t>
      </w:r>
      <w:r w:rsidR="00753BAA" w:rsidRPr="00655FC7">
        <w:rPr>
          <w:rFonts w:cstheme="minorHAnsi"/>
        </w:rPr>
        <w:t>,</w:t>
      </w:r>
    </w:p>
    <w:p w14:paraId="59510BE8" w14:textId="77777777" w:rsidR="00D245D7" w:rsidRPr="00655FC7" w:rsidRDefault="00D245D7">
      <w:pPr>
        <w:numPr>
          <w:ilvl w:val="0"/>
          <w:numId w:val="14"/>
        </w:numPr>
        <w:suppressAutoHyphens/>
        <w:spacing w:before="120" w:after="120"/>
        <w:ind w:left="714" w:hanging="357"/>
        <w:contextualSpacing/>
        <w:rPr>
          <w:rFonts w:cstheme="minorHAnsi"/>
        </w:rPr>
      </w:pPr>
      <w:r w:rsidRPr="00655FC7">
        <w:rPr>
          <w:rFonts w:cstheme="minorHAnsi"/>
        </w:rPr>
        <w:t>skażenie powierzchni ziemi i gleby spowodowane wyciekiem olejów i substancji ropopochodnych.</w:t>
      </w:r>
    </w:p>
    <w:p w14:paraId="1542A48B" w14:textId="2E3B4953" w:rsidR="00D245D7" w:rsidRPr="00655FC7" w:rsidRDefault="00D245D7" w:rsidP="00A92309">
      <w:r w:rsidRPr="00655FC7">
        <w:t>Należy podkreślić, że wszystkie wymienione zagrożenia można w pewnym zakresie zminimalizować, wymaga to jednak przestrzegania ustalonego reżimu czasowego</w:t>
      </w:r>
      <w:r w:rsidR="006D73FA" w:rsidRPr="00655FC7">
        <w:t xml:space="preserve"> </w:t>
      </w:r>
      <w:r w:rsidRPr="00655FC7">
        <w:t>i technicznego prowadzonych prac. Inwestycja po zakończeniu i przywróceniu stanu środowiska do stanu poprzedzającego inwestycję nie powinna spowodować znaczących zagrożeń dla miejscowej przyrody.</w:t>
      </w:r>
    </w:p>
    <w:p w14:paraId="38AF1322" w14:textId="3E2D56FF" w:rsidR="00D245D7" w:rsidRPr="00655FC7" w:rsidRDefault="00D245D7" w:rsidP="00A92309">
      <w:r w:rsidRPr="00655FC7">
        <w:lastRenderedPageBreak/>
        <w:t>Okres budowy będzie w sposób minimalny wpływał na stan wód powierzchniowych</w:t>
      </w:r>
      <w:r w:rsidR="0028741C">
        <w:t xml:space="preserve"> </w:t>
      </w:r>
      <w:r w:rsidRPr="00655FC7">
        <w:t>i podziemnych. Zgodnie z przepisami sanitarnymi plac budowy powinien być wyposażony</w:t>
      </w:r>
      <w:r w:rsidR="0028741C">
        <w:t xml:space="preserve"> </w:t>
      </w:r>
      <w:r w:rsidRPr="00655FC7">
        <w:t xml:space="preserve">w przewoźny pawilon socjalno-biurowy i urządzenia sanitarne bezodpływowe do zaspokojenia podstawowych potrzeb fizjologicznych. Zadanie będzie oddziaływać na warunki aerosanitarne jedynie w okresie budowy. Głównymi źródłami zanieczyszczenia atmosfery będą na tym etapie pojazdy transportujące materiały, praca maszyn i pojazdów pracujących na budowie oraz przemieszczanie mas ziemnych. Na stan zanieczyszczenia powietrza atmosferycznego związanego </w:t>
      </w:r>
      <w:r w:rsidR="0028741C">
        <w:t xml:space="preserve">z </w:t>
      </w:r>
      <w:r w:rsidRPr="00655FC7">
        <w:t>emisją komunikacyjną wpływają następujące czynniki: natężenie i struktura ruchu, rodzaj i ilość emitowanych zanieczyszczeń gazowych, warunki rozprzestrzeniania się zanieczyszczeń w atmosferze. Roboty ziemne wykonywane szczególnie przy dużej turbulencji powietrza spowodują miejscowo (w</w:t>
      </w:r>
      <w:r w:rsidR="00BB0B0D" w:rsidRPr="00655FC7">
        <w:t> </w:t>
      </w:r>
      <w:r w:rsidRPr="00655FC7">
        <w:t>rejonie wykonywanych robót) pogorszenie stanu powietrza atmosferycznego</w:t>
      </w:r>
      <w:r w:rsidR="00D2747F" w:rsidRPr="00655FC7">
        <w:t>,</w:t>
      </w:r>
      <w:r w:rsidRPr="00655FC7">
        <w:t xml:space="preserve"> głównie zanieczyszczeń pyłowych. Pogorszenie to będzie miało charakter przemijalny i nie będzie miało wpływu na ogólny stan areosanitarny na omawianym terenie. Występujące u</w:t>
      </w:r>
      <w:r w:rsidR="007C5BB8" w:rsidRPr="00655FC7">
        <w:t>ciążliwości, związane głownie z </w:t>
      </w:r>
      <w:r w:rsidRPr="00655FC7">
        <w:t xml:space="preserve">pracami ziemnymi, mają charakter </w:t>
      </w:r>
      <w:r w:rsidR="008D5F7B" w:rsidRPr="00655FC7">
        <w:t>lokalny</w:t>
      </w:r>
      <w:r w:rsidR="00D2747F" w:rsidRPr="00655FC7">
        <w:t xml:space="preserve"> </w:t>
      </w:r>
      <w:r w:rsidRPr="00655FC7">
        <w:t>i</w:t>
      </w:r>
      <w:r w:rsidR="00D2747F" w:rsidRPr="00655FC7">
        <w:t> </w:t>
      </w:r>
      <w:r w:rsidRPr="00655FC7">
        <w:t>przemijalny. Wystąpi emisja niezorganizowana hałasu. Zasadniczym źródłem hałasu związanym z tym etapem realizacji sieci będzie praca urządzeń typu koparka, spycharka oraz hałas komunikacyjny związany z</w:t>
      </w:r>
      <w:r w:rsidR="0028741C">
        <w:t> </w:t>
      </w:r>
      <w:r w:rsidRPr="00655FC7">
        <w:t>ruchem samochodów transportowych.</w:t>
      </w:r>
    </w:p>
    <w:p w14:paraId="2F7DC064" w14:textId="528C2911" w:rsidR="00D245D7" w:rsidRPr="00655FC7" w:rsidRDefault="00D245D7" w:rsidP="00A92309">
      <w:r w:rsidRPr="00655FC7">
        <w:t>Funkcjonowanie sieci wodociągowej nie powoduje żadnych negatywnych oddziaływań na wody podziemne i powierzchniowe pod względem ich jakości. W związku z funkcjonowaniem wodociągu nie będą powstawały żadne zanieczyszczenia pyłowo-gazowe. Brak jest źródeł emisji zanieczyszczeń do powietrza. Emisje pyłowo-gazowe mogą wystąpić wyłącznie na etapie realizacji przedsięwzięcia. Jedynymi źródłami hałasu związanymi z planowanym przedsięwzięciem będą sporadyczne awarie lub remonty sieci wodociągowej występujące podczas eksploatacji. Oceniana inwestycja, po zrealizowaniu projektu nie będzie miała wpływu na powierzchnię ziemi i glebę, pod warunkiem zastosowani</w:t>
      </w:r>
      <w:r w:rsidR="00BB0B0D" w:rsidRPr="00655FC7">
        <w:t>a</w:t>
      </w:r>
      <w:r w:rsidRPr="00655FC7">
        <w:t xml:space="preserve"> właściwych rozwiązań projektowych, rzetelnego wykonawstwa oraz prawidłowo prowadzonej eksploatacji.</w:t>
      </w:r>
    </w:p>
    <w:p w14:paraId="11127B17" w14:textId="7ADF7D79" w:rsidR="00D969C0" w:rsidRDefault="00503244" w:rsidP="0053413A">
      <w:pPr>
        <w:rPr>
          <w:rFonts w:cstheme="minorHAnsi"/>
        </w:rPr>
      </w:pPr>
      <w:bookmarkStart w:id="309" w:name="_Toc110835552"/>
      <w:bookmarkStart w:id="310" w:name="_Toc98846762"/>
      <w:r>
        <w:rPr>
          <w:rFonts w:cstheme="minorHAnsi"/>
        </w:rPr>
        <w:t>W przypadku kanalizacji deszczowej zaznaczono, iż woda odprowadzana musi być dobrze oczyszczona. Dzięki temu uniknie się wzmożonej presji na zasoby wodne. Ponadto, realizacja tego zadania jest możliwa tylko w przypadku braku możliwości innych zadań z zakresu retencji.</w:t>
      </w:r>
    </w:p>
    <w:p w14:paraId="509B19BB" w14:textId="77777777" w:rsidR="00503244" w:rsidRPr="00655FC7" w:rsidRDefault="00503244" w:rsidP="0053413A">
      <w:pPr>
        <w:rPr>
          <w:rFonts w:cstheme="minorHAnsi"/>
        </w:rPr>
      </w:pPr>
    </w:p>
    <w:p w14:paraId="064A8949" w14:textId="3D111B64" w:rsidR="00D245D7" w:rsidRPr="00655FC7" w:rsidRDefault="00D245D7" w:rsidP="00B62479">
      <w:pPr>
        <w:pStyle w:val="Nagwek2"/>
        <w:rPr>
          <w:rFonts w:eastAsia="Times New Roman"/>
        </w:rPr>
      </w:pPr>
      <w:bookmarkStart w:id="311" w:name="_Toc143596969"/>
      <w:bookmarkStart w:id="312" w:name="_Toc177732099"/>
      <w:r w:rsidRPr="00655FC7">
        <w:rPr>
          <w:rFonts w:eastAsia="Times New Roman"/>
        </w:rPr>
        <w:t>Propozycja działań alternatywnych</w:t>
      </w:r>
      <w:bookmarkEnd w:id="309"/>
      <w:bookmarkEnd w:id="310"/>
      <w:bookmarkEnd w:id="311"/>
      <w:bookmarkEnd w:id="312"/>
    </w:p>
    <w:p w14:paraId="74815789" w14:textId="70A191C3" w:rsidR="00D245D7" w:rsidRPr="00655FC7" w:rsidRDefault="00D245D7" w:rsidP="00A92309">
      <w:r w:rsidRPr="00655FC7">
        <w:t>Art. 51, ust. 2, pkt. 3b ustawy z dnia 3 października 2008 roku o udostępnianiu informacji</w:t>
      </w:r>
      <w:r w:rsidR="000C4E01">
        <w:t xml:space="preserve"> </w:t>
      </w:r>
      <w:r w:rsidRPr="00655FC7">
        <w:t>o</w:t>
      </w:r>
      <w:r w:rsidR="000C4E01">
        <w:t> </w:t>
      </w:r>
      <w:r w:rsidRPr="00655FC7">
        <w:t>środowisku i jego ochronie, udziale społeczeństwa w ochronie środowiska oraz o ocenach oddziaływania na środowisko (</w:t>
      </w:r>
      <w:r w:rsidR="00D256E4" w:rsidRPr="00D256E4">
        <w:t>Dz.U. z 2024 r., poz. 1112 t.j.</w:t>
      </w:r>
      <w:r w:rsidRPr="00655FC7">
        <w:t>) nakłada obowiązek przedstawienia rozwiązań alternatywnych do rozwiązań zawartych w projektowanym dokumencie.</w:t>
      </w:r>
    </w:p>
    <w:p w14:paraId="21080E72" w14:textId="01C6FD41" w:rsidR="00D245D7" w:rsidRPr="00655FC7" w:rsidRDefault="00D245D7" w:rsidP="00A92309">
      <w:r w:rsidRPr="00655FC7">
        <w:t xml:space="preserve">Dla zadań zawartych w projekcie </w:t>
      </w:r>
      <w:r w:rsidR="00F66461" w:rsidRPr="00655FC7">
        <w:t>Planu Adaptacji</w:t>
      </w:r>
      <w:r w:rsidRPr="00655FC7">
        <w:t xml:space="preserve"> można zaproponować następujące działania alternatywne:</w:t>
      </w:r>
    </w:p>
    <w:p w14:paraId="4D1EDFA3" w14:textId="1FC3B3C9" w:rsidR="00D245D7" w:rsidRPr="00655FC7" w:rsidRDefault="000C4E01">
      <w:pPr>
        <w:numPr>
          <w:ilvl w:val="2"/>
          <w:numId w:val="15"/>
        </w:numPr>
        <w:suppressAutoHyphens/>
        <w:ind w:left="714" w:hanging="357"/>
        <w:contextualSpacing/>
        <w:rPr>
          <w:rFonts w:eastAsia="Calibri" w:cstheme="minorHAnsi"/>
          <w:color w:val="auto"/>
        </w:rPr>
      </w:pPr>
      <w:r w:rsidRPr="00655FC7">
        <w:rPr>
          <w:rFonts w:eastAsia="Calibri" w:cstheme="minorHAnsi"/>
          <w:color w:val="auto"/>
        </w:rPr>
        <w:t>zmiana lokalizacji danego działania.</w:t>
      </w:r>
    </w:p>
    <w:p w14:paraId="34766135" w14:textId="50073F06" w:rsidR="00D245D7" w:rsidRPr="00655FC7" w:rsidRDefault="000C4E01">
      <w:pPr>
        <w:numPr>
          <w:ilvl w:val="2"/>
          <w:numId w:val="15"/>
        </w:numPr>
        <w:suppressAutoHyphens/>
        <w:ind w:left="714" w:hanging="357"/>
        <w:contextualSpacing/>
        <w:rPr>
          <w:rFonts w:eastAsia="Calibri" w:cstheme="minorHAnsi"/>
          <w:color w:val="auto"/>
        </w:rPr>
      </w:pPr>
      <w:r w:rsidRPr="00655FC7">
        <w:rPr>
          <w:rFonts w:eastAsia="Calibri" w:cstheme="minorHAnsi"/>
          <w:color w:val="auto"/>
        </w:rPr>
        <w:t>zmiana technologii realizacji zadania.</w:t>
      </w:r>
    </w:p>
    <w:p w14:paraId="3C7C04CC" w14:textId="280C4C0C" w:rsidR="00D245D7" w:rsidRPr="00655FC7" w:rsidRDefault="000C4E01">
      <w:pPr>
        <w:numPr>
          <w:ilvl w:val="2"/>
          <w:numId w:val="15"/>
        </w:numPr>
        <w:suppressAutoHyphens/>
        <w:ind w:left="714" w:hanging="357"/>
        <w:contextualSpacing/>
        <w:rPr>
          <w:rFonts w:eastAsia="Calibri" w:cstheme="minorHAnsi"/>
          <w:color w:val="auto"/>
        </w:rPr>
      </w:pPr>
      <w:r w:rsidRPr="00655FC7">
        <w:rPr>
          <w:rFonts w:eastAsia="Calibri" w:cstheme="minorHAnsi"/>
          <w:color w:val="auto"/>
        </w:rPr>
        <w:t>wybór alternatywnych materiałów do realizacji zadania.</w:t>
      </w:r>
    </w:p>
    <w:p w14:paraId="7CD0D814" w14:textId="5D96485D" w:rsidR="00D245D7" w:rsidRPr="00655FC7" w:rsidRDefault="000C4E01">
      <w:pPr>
        <w:numPr>
          <w:ilvl w:val="2"/>
          <w:numId w:val="15"/>
        </w:numPr>
        <w:suppressAutoHyphens/>
        <w:ind w:left="714" w:hanging="357"/>
        <w:contextualSpacing/>
        <w:rPr>
          <w:rFonts w:eastAsia="Calibri" w:cstheme="minorHAnsi"/>
          <w:color w:val="auto"/>
        </w:rPr>
      </w:pPr>
      <w:r w:rsidRPr="00655FC7">
        <w:rPr>
          <w:rFonts w:eastAsia="Calibri" w:cstheme="minorHAnsi"/>
          <w:color w:val="auto"/>
        </w:rPr>
        <w:t>rozważenie różnych wariantów organizacyjnych realizacji zadania i dobór odpowiedniego.</w:t>
      </w:r>
    </w:p>
    <w:p w14:paraId="72FE6C87" w14:textId="15D0824C" w:rsidR="00D245D7" w:rsidRPr="00655FC7" w:rsidRDefault="000C4E01">
      <w:pPr>
        <w:numPr>
          <w:ilvl w:val="2"/>
          <w:numId w:val="15"/>
        </w:numPr>
        <w:suppressAutoHyphens/>
        <w:ind w:left="714" w:hanging="357"/>
        <w:rPr>
          <w:rFonts w:eastAsia="Calibri" w:cstheme="minorHAnsi"/>
          <w:color w:val="auto"/>
        </w:rPr>
      </w:pPr>
      <w:r w:rsidRPr="00655FC7">
        <w:rPr>
          <w:rFonts w:eastAsia="Calibri" w:cstheme="minorHAnsi"/>
          <w:color w:val="auto"/>
        </w:rPr>
        <w:t xml:space="preserve">modyfikacja </w:t>
      </w:r>
      <w:r w:rsidR="00D245D7" w:rsidRPr="00655FC7">
        <w:rPr>
          <w:rFonts w:eastAsia="Calibri" w:cstheme="minorHAnsi"/>
          <w:color w:val="auto"/>
        </w:rPr>
        <w:t>zakresu zadania, częściowe lub całkowite odstąpienie od realizacji zadania, jeśli decyzja o środowiskowych uwarunkowaniach dla danego zdania będzie wskazywać na taką potrzebę.</w:t>
      </w:r>
    </w:p>
    <w:p w14:paraId="25965B39" w14:textId="3378C494" w:rsidR="00D245D7" w:rsidRPr="00655FC7" w:rsidRDefault="00D245D7" w:rsidP="00A92309">
      <w:r w:rsidRPr="00655FC7">
        <w:lastRenderedPageBreak/>
        <w:t xml:space="preserve">W przypadku projektu </w:t>
      </w:r>
      <w:r w:rsidR="00F66461" w:rsidRPr="00655FC7">
        <w:t>Planu Adaptacji</w:t>
      </w:r>
      <w:r w:rsidRPr="00655FC7">
        <w:t xml:space="preserve"> nie ma możliwości precyzyjnego określenia działań alternatywnych dla wskazanych działań ze względu na wysoki stopień ogólności dokumentu. </w:t>
      </w:r>
      <w:r w:rsidR="009D21D7" w:rsidRPr="00655FC7">
        <w:t xml:space="preserve">Plan </w:t>
      </w:r>
      <w:r w:rsidRPr="00655FC7">
        <w:t>jest koncepcją rozwoju i przebudowy społecznej, infrastrukturalnej i przestrzennej obszaru miasta, która jako wizja całościowa i spójna pozwoli osiągnąć zamierzone efekty. Dlatego też wprowadzanie na tym etapie rozwiązań alternatywnych zaburzałoby spójność wspomnianej wizji. Należy jednak podkreślić, że istnieją duże możliwości w doborze najlepszych pod względem oddziaływania na środowisko wariantów lokalizacyjnych, technologicznych czy organizacyjnych.</w:t>
      </w:r>
    </w:p>
    <w:p w14:paraId="14366E01" w14:textId="689D313B" w:rsidR="00D245D7" w:rsidRPr="00655FC7" w:rsidRDefault="00D245D7" w:rsidP="00A92309">
      <w:r w:rsidRPr="00655FC7">
        <w:t>Podkreślając charakter dokumentu o wysokim stopniu ogólności oraz brak możliwości precyzyjnego wskazania działań alternatywnych</w:t>
      </w:r>
      <w:r w:rsidR="00D2747F" w:rsidRPr="00655FC7">
        <w:t>,</w:t>
      </w:r>
      <w:r w:rsidRPr="00655FC7">
        <w:t xml:space="preserve"> należy w przypadku wszystkich przedsięwzięć przeanalizować działania alternatywne na etapie wydawania decyzji</w:t>
      </w:r>
      <w:r w:rsidR="00D969C0" w:rsidRPr="00655FC7">
        <w:t xml:space="preserve"> </w:t>
      </w:r>
      <w:r w:rsidRPr="00655FC7">
        <w:t>o środowiskowych uwarunkowaniach zgodnie z</w:t>
      </w:r>
      <w:r w:rsidR="00796398" w:rsidRPr="00655FC7">
        <w:t> </w:t>
      </w:r>
      <w:r w:rsidRPr="00655FC7">
        <w:t>ustawą z dnia 3 października 2008 r.</w:t>
      </w:r>
      <w:r w:rsidR="00D969C0" w:rsidRPr="00655FC7">
        <w:t xml:space="preserve"> </w:t>
      </w:r>
      <w:r w:rsidRPr="00655FC7">
        <w:t>o udostępnianiu informacji o środowisku i jego ochronie, udziale społeczeństwa w ochronie środowiska oraz o ocenach oddziaływania na środowisko.</w:t>
      </w:r>
    </w:p>
    <w:p w14:paraId="0726DD1B" w14:textId="0B6AB807" w:rsidR="003647C5" w:rsidRDefault="00D245D7" w:rsidP="00A92309">
      <w:r w:rsidRPr="00655FC7">
        <w:t>W związku z ciągłym rozwojem gospodarczym regionu oraz wzrostem poziomu konsumpcji</w:t>
      </w:r>
      <w:r w:rsidR="00D2747F" w:rsidRPr="00655FC7">
        <w:t>,</w:t>
      </w:r>
      <w:r w:rsidRPr="00655FC7">
        <w:t xml:space="preserve"> brak realizacji </w:t>
      </w:r>
      <w:r w:rsidR="00F66461" w:rsidRPr="00655FC7">
        <w:t>Planu Adaptacji</w:t>
      </w:r>
      <w:r w:rsidRPr="00655FC7">
        <w:t xml:space="preserve"> prowadzić będzie do pogorszenia jakości życia mieszkańców oraz wszystkich elementów środowiska.</w:t>
      </w:r>
    </w:p>
    <w:p w14:paraId="18229BB1" w14:textId="77777777" w:rsidR="003647C5" w:rsidRDefault="003647C5">
      <w:pPr>
        <w:spacing w:after="200"/>
        <w:ind w:firstLine="0"/>
        <w:jc w:val="left"/>
      </w:pPr>
      <w:r>
        <w:br w:type="page"/>
      </w:r>
    </w:p>
    <w:p w14:paraId="4AD5E97A" w14:textId="77777777" w:rsidR="00D245D7" w:rsidRPr="00655FC7" w:rsidRDefault="00D245D7" w:rsidP="00A92309">
      <w:pPr>
        <w:rPr>
          <w:rFonts w:eastAsia="Calibri"/>
          <w:color w:val="auto"/>
        </w:rPr>
      </w:pPr>
    </w:p>
    <w:p w14:paraId="7647B6D6" w14:textId="11FDC210" w:rsidR="00C3065E" w:rsidRPr="00655FC7" w:rsidRDefault="00C3065E" w:rsidP="00A92309">
      <w:pPr>
        <w:pStyle w:val="Nagwek1"/>
      </w:pPr>
      <w:bookmarkStart w:id="313" w:name="_Toc143596970"/>
      <w:bookmarkStart w:id="314" w:name="_Toc177732100"/>
      <w:r w:rsidRPr="00655FC7">
        <w:t>Podsumowanie</w:t>
      </w:r>
      <w:bookmarkEnd w:id="296"/>
      <w:bookmarkEnd w:id="297"/>
      <w:bookmarkEnd w:id="313"/>
      <w:bookmarkEnd w:id="314"/>
    </w:p>
    <w:p w14:paraId="4776A6CF" w14:textId="082B0AF5" w:rsidR="00441A8B" w:rsidRPr="00441A8B" w:rsidRDefault="00441A8B" w:rsidP="00441A8B">
      <w:pPr>
        <w:rPr>
          <w:lang w:eastAsia="pl-PL"/>
        </w:rPr>
      </w:pPr>
      <w:r w:rsidRPr="00441A8B">
        <w:rPr>
          <w:lang w:eastAsia="pl-PL"/>
        </w:rPr>
        <w:t xml:space="preserve">Plan Adaptacji do zmian klimatu dla Miasta </w:t>
      </w:r>
      <w:r>
        <w:rPr>
          <w:lang w:eastAsia="pl-PL"/>
        </w:rPr>
        <w:t>Tarnogród</w:t>
      </w:r>
      <w:r w:rsidRPr="00441A8B">
        <w:rPr>
          <w:lang w:eastAsia="pl-PL"/>
        </w:rPr>
        <w:t xml:space="preserve"> stanowi kluczowy dokument, mający na celu zapewnienie mieszkańcom wysokiej jakości życia w warunkach zmieniającego się klimatu. Kwestia adaptacji do zmian klimatycznych jest uwzględniona w takich strategicznych dokumentach jak „Krajowa Polityka Miejska 2030” oraz „Polityka Ekologiczna Państwa 2030”. Projekt Miejskiego Planu Adaptacji (MPA) został przygotowany zgodnie z wytycznymi zawartymi w Podręczniku adaptacji dla miast oraz aktualizacją wytycznych z 2023 roku.</w:t>
      </w:r>
    </w:p>
    <w:p w14:paraId="2DEA1F7B" w14:textId="79490D5A" w:rsidR="00441A8B" w:rsidRPr="00441A8B" w:rsidRDefault="00441A8B" w:rsidP="00441A8B">
      <w:pPr>
        <w:rPr>
          <w:lang w:eastAsia="pl-PL"/>
        </w:rPr>
      </w:pPr>
      <w:r w:rsidRPr="00441A8B">
        <w:rPr>
          <w:lang w:eastAsia="pl-PL"/>
        </w:rPr>
        <w:t xml:space="preserve">Prace nad Planem Adaptacji dla Miasta </w:t>
      </w:r>
      <w:r>
        <w:rPr>
          <w:lang w:eastAsia="pl-PL"/>
        </w:rPr>
        <w:t>Tarnogród</w:t>
      </w:r>
      <w:r w:rsidRPr="00441A8B">
        <w:rPr>
          <w:lang w:eastAsia="pl-PL"/>
        </w:rPr>
        <w:t xml:space="preserve"> współfinansowano ze środków programu Fundusze Europejskie dla Lubelskiego 2021-2027, który jest częścią Europejskiego Funduszu Rozwoju Regionalnego, w ramach działania 3.2: Dostosowanie do zmian klimatu oraz zapobieganie powodziom i suszom.</w:t>
      </w:r>
    </w:p>
    <w:p w14:paraId="09C66D2E" w14:textId="2AC74EDF" w:rsidR="00441A8B" w:rsidRPr="00441A8B" w:rsidRDefault="00441A8B" w:rsidP="00441A8B">
      <w:pPr>
        <w:rPr>
          <w:lang w:eastAsia="pl-PL"/>
        </w:rPr>
      </w:pPr>
      <w:r w:rsidRPr="00441A8B">
        <w:rPr>
          <w:lang w:eastAsia="pl-PL"/>
        </w:rPr>
        <w:t>MPA określa nadrzędny cel, jakim jest „</w:t>
      </w:r>
      <w:r>
        <w:rPr>
          <w:lang w:eastAsia="pl-PL"/>
        </w:rPr>
        <w:t>Z</w:t>
      </w:r>
      <w:r w:rsidRPr="00441A8B">
        <w:rPr>
          <w:lang w:eastAsia="pl-PL"/>
        </w:rPr>
        <w:t xml:space="preserve">apewnienie zrównoważonego rozwoju oraz efektywnego funkcjonowania gospodarki i społeczeństwa w warunkach zmian klimatu” oraz </w:t>
      </w:r>
      <w:r>
        <w:rPr>
          <w:lang w:eastAsia="pl-PL"/>
        </w:rPr>
        <w:t>sześć</w:t>
      </w:r>
      <w:r w:rsidRPr="00441A8B">
        <w:rPr>
          <w:lang w:eastAsia="pl-PL"/>
        </w:rPr>
        <w:t xml:space="preserve"> celów podrzędnych wspierających jego realizację. Opracowano sześć grup działań adaptacyjnych, w ramach których wyznaczono konkretne zadania.</w:t>
      </w:r>
    </w:p>
    <w:p w14:paraId="1C5739BB" w14:textId="30581C9C" w:rsidR="00441A8B" w:rsidRPr="00441A8B" w:rsidRDefault="00441A8B" w:rsidP="00441A8B">
      <w:pPr>
        <w:rPr>
          <w:lang w:eastAsia="pl-PL"/>
        </w:rPr>
      </w:pPr>
      <w:r w:rsidRPr="00441A8B">
        <w:rPr>
          <w:lang w:eastAsia="pl-PL"/>
        </w:rPr>
        <w:t xml:space="preserve">Realizacja tych zadań przyczyni się do osiągnięcia głównego celu planu i stanowi odpowiedź władz lokalnych oraz mieszkańców na zagrożenia wynikające ze zmian klimatycznych. Cele i zadania koncentrują się na obszarach uznanych za wrażliwe, takich jak </w:t>
      </w:r>
      <w:r>
        <w:rPr>
          <w:lang w:eastAsia="pl-PL"/>
        </w:rPr>
        <w:t>rozwój zieleni miejskiej, wspieranie retencji w obszarze miejskim, rozwój transportu ekologicznego oraz poprawa jakości powietrza</w:t>
      </w:r>
      <w:r w:rsidRPr="00441A8B">
        <w:rPr>
          <w:lang w:eastAsia="pl-PL"/>
        </w:rPr>
        <w:t>.</w:t>
      </w:r>
    </w:p>
    <w:p w14:paraId="594E815D" w14:textId="77777777" w:rsidR="00441A8B" w:rsidRPr="00441A8B" w:rsidRDefault="00441A8B" w:rsidP="00441A8B">
      <w:pPr>
        <w:rPr>
          <w:lang w:eastAsia="pl-PL"/>
        </w:rPr>
      </w:pPr>
      <w:r w:rsidRPr="00441A8B">
        <w:rPr>
          <w:lang w:eastAsia="pl-PL"/>
        </w:rPr>
        <w:t>Wdrożenie tych działań będzie kluczowym krokiem w procesie adaptacji miasta do zmian klimatu, co w dłuższej perspektywie przyczyni się do poprawy jakości życia mieszkańców, stanu środowiska oraz zrównoważonego rozwoju gminy.</w:t>
      </w:r>
    </w:p>
    <w:p w14:paraId="4CFC9EDE" w14:textId="77777777" w:rsidR="00974267" w:rsidRDefault="00974267">
      <w:pPr>
        <w:spacing w:after="200"/>
        <w:ind w:firstLine="0"/>
        <w:jc w:val="left"/>
      </w:pPr>
      <w:r>
        <w:br w:type="page"/>
      </w:r>
    </w:p>
    <w:p w14:paraId="6C612FB4" w14:textId="77777777" w:rsidR="00C3065E" w:rsidRPr="00974267" w:rsidRDefault="00C3065E" w:rsidP="00974267">
      <w:pPr>
        <w:tabs>
          <w:tab w:val="left" w:pos="3119"/>
        </w:tabs>
        <w:rPr>
          <w:rFonts w:cstheme="minorHAnsi"/>
          <w:color w:val="auto"/>
        </w:rPr>
      </w:pPr>
    </w:p>
    <w:p w14:paraId="672FEB12" w14:textId="5BC20A51" w:rsidR="00C3065E" w:rsidRPr="00655FC7" w:rsidRDefault="00C3065E" w:rsidP="00B71232">
      <w:pPr>
        <w:pStyle w:val="Nagwek1"/>
      </w:pPr>
      <w:bookmarkStart w:id="315" w:name="_Toc75170273"/>
      <w:bookmarkStart w:id="316" w:name="_Toc143596971"/>
      <w:bookmarkStart w:id="317" w:name="_Toc177732101"/>
      <w:r w:rsidRPr="00655FC7">
        <w:t>Spis tabel</w:t>
      </w:r>
      <w:bookmarkEnd w:id="266"/>
      <w:bookmarkEnd w:id="315"/>
      <w:bookmarkEnd w:id="316"/>
      <w:bookmarkEnd w:id="317"/>
    </w:p>
    <w:p w14:paraId="43B2D9FE" w14:textId="39EE2C3C" w:rsidR="000B19E9" w:rsidRPr="000B19E9" w:rsidRDefault="00C3065E"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r w:rsidRPr="000B19E9">
        <w:rPr>
          <w:rFonts w:eastAsia="Calibri" w:cstheme="minorHAnsi"/>
          <w:i/>
          <w:color w:val="auto"/>
          <w:sz w:val="20"/>
          <w:szCs w:val="20"/>
        </w:rPr>
        <w:fldChar w:fldCharType="begin"/>
      </w:r>
      <w:r w:rsidRPr="000B19E9">
        <w:rPr>
          <w:rFonts w:eastAsia="Calibri" w:cstheme="minorHAnsi"/>
          <w:i/>
          <w:color w:val="auto"/>
          <w:sz w:val="20"/>
          <w:szCs w:val="20"/>
        </w:rPr>
        <w:instrText xml:space="preserve"> TOC \h \z \c "Tabela" </w:instrText>
      </w:r>
      <w:r w:rsidRPr="000B19E9">
        <w:rPr>
          <w:rFonts w:eastAsia="Calibri" w:cstheme="minorHAnsi"/>
          <w:i/>
          <w:color w:val="auto"/>
          <w:sz w:val="20"/>
          <w:szCs w:val="20"/>
        </w:rPr>
        <w:fldChar w:fldCharType="separate"/>
      </w:r>
      <w:hyperlink w:anchor="_Toc178846307" w:history="1">
        <w:r w:rsidR="000B19E9" w:rsidRPr="000B19E9">
          <w:rPr>
            <w:rStyle w:val="Hipercze"/>
            <w:noProof/>
          </w:rPr>
          <w:t>Tabela 1. Słownik skrótów.</w:t>
        </w:r>
        <w:r w:rsidR="000B19E9" w:rsidRPr="000B19E9">
          <w:rPr>
            <w:noProof/>
            <w:webHidden/>
          </w:rPr>
          <w:tab/>
        </w:r>
        <w:r w:rsidR="000B19E9" w:rsidRPr="000B19E9">
          <w:rPr>
            <w:noProof/>
            <w:webHidden/>
          </w:rPr>
          <w:fldChar w:fldCharType="begin"/>
        </w:r>
        <w:r w:rsidR="000B19E9" w:rsidRPr="000B19E9">
          <w:rPr>
            <w:noProof/>
            <w:webHidden/>
          </w:rPr>
          <w:instrText xml:space="preserve"> PAGEREF _Toc178846307 \h </w:instrText>
        </w:r>
        <w:r w:rsidR="000B19E9" w:rsidRPr="000B19E9">
          <w:rPr>
            <w:noProof/>
            <w:webHidden/>
          </w:rPr>
        </w:r>
        <w:r w:rsidR="000B19E9" w:rsidRPr="000B19E9">
          <w:rPr>
            <w:noProof/>
            <w:webHidden/>
          </w:rPr>
          <w:fldChar w:fldCharType="separate"/>
        </w:r>
        <w:r w:rsidR="00A654D8">
          <w:rPr>
            <w:noProof/>
            <w:webHidden/>
          </w:rPr>
          <w:t>5</w:t>
        </w:r>
        <w:r w:rsidR="000B19E9" w:rsidRPr="000B19E9">
          <w:rPr>
            <w:noProof/>
            <w:webHidden/>
          </w:rPr>
          <w:fldChar w:fldCharType="end"/>
        </w:r>
      </w:hyperlink>
    </w:p>
    <w:p w14:paraId="3F61CCAD" w14:textId="575DFBAB"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08" w:history="1">
        <w:r w:rsidRPr="000B19E9">
          <w:rPr>
            <w:rStyle w:val="Hipercze"/>
            <w:noProof/>
          </w:rPr>
          <w:t>Tabela 2. Oddziaływanie zmian klimatu na jakość wody słodkiej.</w:t>
        </w:r>
        <w:r w:rsidRPr="000B19E9">
          <w:rPr>
            <w:noProof/>
            <w:webHidden/>
          </w:rPr>
          <w:tab/>
        </w:r>
        <w:r w:rsidRPr="000B19E9">
          <w:rPr>
            <w:noProof/>
            <w:webHidden/>
          </w:rPr>
          <w:fldChar w:fldCharType="begin"/>
        </w:r>
        <w:r w:rsidRPr="000B19E9">
          <w:rPr>
            <w:noProof/>
            <w:webHidden/>
          </w:rPr>
          <w:instrText xml:space="preserve"> PAGEREF _Toc178846308 \h </w:instrText>
        </w:r>
        <w:r w:rsidRPr="000B19E9">
          <w:rPr>
            <w:noProof/>
            <w:webHidden/>
          </w:rPr>
        </w:r>
        <w:r w:rsidRPr="000B19E9">
          <w:rPr>
            <w:noProof/>
            <w:webHidden/>
          </w:rPr>
          <w:fldChar w:fldCharType="separate"/>
        </w:r>
        <w:r w:rsidR="00A654D8">
          <w:rPr>
            <w:noProof/>
            <w:webHidden/>
          </w:rPr>
          <w:t>20</w:t>
        </w:r>
        <w:r w:rsidRPr="000B19E9">
          <w:rPr>
            <w:noProof/>
            <w:webHidden/>
          </w:rPr>
          <w:fldChar w:fldCharType="end"/>
        </w:r>
      </w:hyperlink>
    </w:p>
    <w:p w14:paraId="25F5D5CD" w14:textId="711D8143"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09" w:history="1">
        <w:r w:rsidRPr="000B19E9">
          <w:rPr>
            <w:rStyle w:val="Hipercze"/>
            <w:noProof/>
          </w:rPr>
          <w:t>Tabela 3. Dane demograficzne miasta.</w:t>
        </w:r>
        <w:r w:rsidRPr="000B19E9">
          <w:rPr>
            <w:noProof/>
            <w:webHidden/>
          </w:rPr>
          <w:tab/>
        </w:r>
        <w:r w:rsidRPr="000B19E9">
          <w:rPr>
            <w:noProof/>
            <w:webHidden/>
          </w:rPr>
          <w:fldChar w:fldCharType="begin"/>
        </w:r>
        <w:r w:rsidRPr="000B19E9">
          <w:rPr>
            <w:noProof/>
            <w:webHidden/>
          </w:rPr>
          <w:instrText xml:space="preserve"> PAGEREF _Toc178846309 \h </w:instrText>
        </w:r>
        <w:r w:rsidRPr="000B19E9">
          <w:rPr>
            <w:noProof/>
            <w:webHidden/>
          </w:rPr>
        </w:r>
        <w:r w:rsidRPr="000B19E9">
          <w:rPr>
            <w:noProof/>
            <w:webHidden/>
          </w:rPr>
          <w:fldChar w:fldCharType="separate"/>
        </w:r>
        <w:r w:rsidR="00A654D8">
          <w:rPr>
            <w:noProof/>
            <w:webHidden/>
          </w:rPr>
          <w:t>27</w:t>
        </w:r>
        <w:r w:rsidRPr="000B19E9">
          <w:rPr>
            <w:noProof/>
            <w:webHidden/>
          </w:rPr>
          <w:fldChar w:fldCharType="end"/>
        </w:r>
      </w:hyperlink>
    </w:p>
    <w:p w14:paraId="6317E1DA" w14:textId="366085DD"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10" w:history="1">
        <w:r w:rsidRPr="000B19E9">
          <w:rPr>
            <w:rStyle w:val="Hipercze"/>
            <w:noProof/>
          </w:rPr>
          <w:t>Tabela 4. Liczba ludności miasta w latach 2013-2022.</w:t>
        </w:r>
        <w:r w:rsidRPr="000B19E9">
          <w:rPr>
            <w:noProof/>
            <w:webHidden/>
          </w:rPr>
          <w:tab/>
        </w:r>
        <w:r w:rsidRPr="000B19E9">
          <w:rPr>
            <w:noProof/>
            <w:webHidden/>
          </w:rPr>
          <w:fldChar w:fldCharType="begin"/>
        </w:r>
        <w:r w:rsidRPr="000B19E9">
          <w:rPr>
            <w:noProof/>
            <w:webHidden/>
          </w:rPr>
          <w:instrText xml:space="preserve"> PAGEREF _Toc178846310 \h </w:instrText>
        </w:r>
        <w:r w:rsidRPr="000B19E9">
          <w:rPr>
            <w:noProof/>
            <w:webHidden/>
          </w:rPr>
        </w:r>
        <w:r w:rsidRPr="000B19E9">
          <w:rPr>
            <w:noProof/>
            <w:webHidden/>
          </w:rPr>
          <w:fldChar w:fldCharType="separate"/>
        </w:r>
        <w:r w:rsidR="00A654D8">
          <w:rPr>
            <w:noProof/>
            <w:webHidden/>
          </w:rPr>
          <w:t>27</w:t>
        </w:r>
        <w:r w:rsidRPr="000B19E9">
          <w:rPr>
            <w:noProof/>
            <w:webHidden/>
          </w:rPr>
          <w:fldChar w:fldCharType="end"/>
        </w:r>
      </w:hyperlink>
    </w:p>
    <w:p w14:paraId="264053DF" w14:textId="7AED550C"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11" w:history="1">
        <w:r w:rsidRPr="000B19E9">
          <w:rPr>
            <w:rStyle w:val="Hipercze"/>
            <w:noProof/>
          </w:rPr>
          <w:t>Tabela 5. Podmioty gospodarcze wg klas wielkości w latach 2013-2022.</w:t>
        </w:r>
        <w:r w:rsidRPr="000B19E9">
          <w:rPr>
            <w:noProof/>
            <w:webHidden/>
          </w:rPr>
          <w:tab/>
        </w:r>
        <w:r w:rsidRPr="000B19E9">
          <w:rPr>
            <w:noProof/>
            <w:webHidden/>
          </w:rPr>
          <w:fldChar w:fldCharType="begin"/>
        </w:r>
        <w:r w:rsidRPr="000B19E9">
          <w:rPr>
            <w:noProof/>
            <w:webHidden/>
          </w:rPr>
          <w:instrText xml:space="preserve"> PAGEREF _Toc178846311 \h </w:instrText>
        </w:r>
        <w:r w:rsidRPr="000B19E9">
          <w:rPr>
            <w:noProof/>
            <w:webHidden/>
          </w:rPr>
        </w:r>
        <w:r w:rsidRPr="000B19E9">
          <w:rPr>
            <w:noProof/>
            <w:webHidden/>
          </w:rPr>
          <w:fldChar w:fldCharType="separate"/>
        </w:r>
        <w:r w:rsidR="00A654D8">
          <w:rPr>
            <w:noProof/>
            <w:webHidden/>
          </w:rPr>
          <w:t>31</w:t>
        </w:r>
        <w:r w:rsidRPr="000B19E9">
          <w:rPr>
            <w:noProof/>
            <w:webHidden/>
          </w:rPr>
          <w:fldChar w:fldCharType="end"/>
        </w:r>
      </w:hyperlink>
    </w:p>
    <w:p w14:paraId="0CDE462A" w14:textId="46623BD3"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12" w:history="1">
        <w:r w:rsidRPr="000B19E9">
          <w:rPr>
            <w:rStyle w:val="Hipercze"/>
            <w:noProof/>
          </w:rPr>
          <w:t>Tabela 6. Liczba pacjentów (peseli) z gmin z poszczególnymi rozpoznaniami ICD-10, którym udzielono świadczeń w trybie ambulatoryjnym</w:t>
        </w:r>
        <w:r w:rsidRPr="000B19E9">
          <w:rPr>
            <w:noProof/>
            <w:webHidden/>
          </w:rPr>
          <w:tab/>
        </w:r>
        <w:r w:rsidRPr="000B19E9">
          <w:rPr>
            <w:noProof/>
            <w:webHidden/>
          </w:rPr>
          <w:fldChar w:fldCharType="begin"/>
        </w:r>
        <w:r w:rsidRPr="000B19E9">
          <w:rPr>
            <w:noProof/>
            <w:webHidden/>
          </w:rPr>
          <w:instrText xml:space="preserve"> PAGEREF _Toc178846312 \h </w:instrText>
        </w:r>
        <w:r w:rsidRPr="000B19E9">
          <w:rPr>
            <w:noProof/>
            <w:webHidden/>
          </w:rPr>
        </w:r>
        <w:r w:rsidRPr="000B19E9">
          <w:rPr>
            <w:noProof/>
            <w:webHidden/>
          </w:rPr>
          <w:fldChar w:fldCharType="separate"/>
        </w:r>
        <w:r w:rsidR="00A654D8">
          <w:rPr>
            <w:noProof/>
            <w:webHidden/>
          </w:rPr>
          <w:t>37</w:t>
        </w:r>
        <w:r w:rsidRPr="000B19E9">
          <w:rPr>
            <w:noProof/>
            <w:webHidden/>
          </w:rPr>
          <w:fldChar w:fldCharType="end"/>
        </w:r>
      </w:hyperlink>
    </w:p>
    <w:p w14:paraId="46367CEB" w14:textId="61762211"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13" w:history="1">
        <w:r w:rsidRPr="000B19E9">
          <w:rPr>
            <w:rStyle w:val="Hipercze"/>
            <w:noProof/>
          </w:rPr>
          <w:t>Tabela 7. Interwencje związane ze zjawiskami spowodowanymi zmianami klimatu (silne burze, wiatry, deszcze ulewne, podtopienia itd.) na terenie Miasta Tarnogród.</w:t>
        </w:r>
        <w:r w:rsidRPr="000B19E9">
          <w:rPr>
            <w:noProof/>
            <w:webHidden/>
          </w:rPr>
          <w:tab/>
        </w:r>
        <w:r w:rsidRPr="000B19E9">
          <w:rPr>
            <w:noProof/>
            <w:webHidden/>
          </w:rPr>
          <w:fldChar w:fldCharType="begin"/>
        </w:r>
        <w:r w:rsidRPr="000B19E9">
          <w:rPr>
            <w:noProof/>
            <w:webHidden/>
          </w:rPr>
          <w:instrText xml:space="preserve"> PAGEREF _Toc178846313 \h </w:instrText>
        </w:r>
        <w:r w:rsidRPr="000B19E9">
          <w:rPr>
            <w:noProof/>
            <w:webHidden/>
          </w:rPr>
        </w:r>
        <w:r w:rsidRPr="000B19E9">
          <w:rPr>
            <w:noProof/>
            <w:webHidden/>
          </w:rPr>
          <w:fldChar w:fldCharType="separate"/>
        </w:r>
        <w:r w:rsidR="00A654D8">
          <w:rPr>
            <w:noProof/>
            <w:webHidden/>
          </w:rPr>
          <w:t>38</w:t>
        </w:r>
        <w:r w:rsidRPr="000B19E9">
          <w:rPr>
            <w:noProof/>
            <w:webHidden/>
          </w:rPr>
          <w:fldChar w:fldCharType="end"/>
        </w:r>
      </w:hyperlink>
    </w:p>
    <w:p w14:paraId="33631E09" w14:textId="539E6B62"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14" w:history="1">
        <w:r w:rsidRPr="000B19E9">
          <w:rPr>
            <w:rStyle w:val="Hipercze"/>
            <w:noProof/>
          </w:rPr>
          <w:t>Tabela 8.Charakterystyka sieci wodociągowej (stan na 31.12.2022 r.)</w:t>
        </w:r>
        <w:r w:rsidRPr="000B19E9">
          <w:rPr>
            <w:noProof/>
            <w:webHidden/>
          </w:rPr>
          <w:tab/>
        </w:r>
        <w:r w:rsidRPr="000B19E9">
          <w:rPr>
            <w:noProof/>
            <w:webHidden/>
          </w:rPr>
          <w:fldChar w:fldCharType="begin"/>
        </w:r>
        <w:r w:rsidRPr="000B19E9">
          <w:rPr>
            <w:noProof/>
            <w:webHidden/>
          </w:rPr>
          <w:instrText xml:space="preserve"> PAGEREF _Toc178846314 \h </w:instrText>
        </w:r>
        <w:r w:rsidRPr="000B19E9">
          <w:rPr>
            <w:noProof/>
            <w:webHidden/>
          </w:rPr>
        </w:r>
        <w:r w:rsidRPr="000B19E9">
          <w:rPr>
            <w:noProof/>
            <w:webHidden/>
          </w:rPr>
          <w:fldChar w:fldCharType="separate"/>
        </w:r>
        <w:r w:rsidR="00A654D8">
          <w:rPr>
            <w:noProof/>
            <w:webHidden/>
          </w:rPr>
          <w:t>39</w:t>
        </w:r>
        <w:r w:rsidRPr="000B19E9">
          <w:rPr>
            <w:noProof/>
            <w:webHidden/>
          </w:rPr>
          <w:fldChar w:fldCharType="end"/>
        </w:r>
      </w:hyperlink>
    </w:p>
    <w:p w14:paraId="7C8410DD" w14:textId="7D007B45"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15" w:history="1">
        <w:r w:rsidRPr="000B19E9">
          <w:rPr>
            <w:rStyle w:val="Hipercze"/>
            <w:noProof/>
          </w:rPr>
          <w:t>Tabela 9.Charakterystyka sieci kanalizacyjnej (stan na 31.12.2022 r.).</w:t>
        </w:r>
        <w:r w:rsidRPr="000B19E9">
          <w:rPr>
            <w:noProof/>
            <w:webHidden/>
          </w:rPr>
          <w:tab/>
        </w:r>
        <w:r w:rsidRPr="000B19E9">
          <w:rPr>
            <w:noProof/>
            <w:webHidden/>
          </w:rPr>
          <w:fldChar w:fldCharType="begin"/>
        </w:r>
        <w:r w:rsidRPr="000B19E9">
          <w:rPr>
            <w:noProof/>
            <w:webHidden/>
          </w:rPr>
          <w:instrText xml:space="preserve"> PAGEREF _Toc178846315 \h </w:instrText>
        </w:r>
        <w:r w:rsidRPr="000B19E9">
          <w:rPr>
            <w:noProof/>
            <w:webHidden/>
          </w:rPr>
        </w:r>
        <w:r w:rsidRPr="000B19E9">
          <w:rPr>
            <w:noProof/>
            <w:webHidden/>
          </w:rPr>
          <w:fldChar w:fldCharType="separate"/>
        </w:r>
        <w:r w:rsidR="00A654D8">
          <w:rPr>
            <w:noProof/>
            <w:webHidden/>
          </w:rPr>
          <w:t>41</w:t>
        </w:r>
        <w:r w:rsidRPr="000B19E9">
          <w:rPr>
            <w:noProof/>
            <w:webHidden/>
          </w:rPr>
          <w:fldChar w:fldCharType="end"/>
        </w:r>
      </w:hyperlink>
    </w:p>
    <w:p w14:paraId="7187E711" w14:textId="2DA2E2B6"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16" w:history="1">
        <w:r w:rsidRPr="000B19E9">
          <w:rPr>
            <w:rStyle w:val="Hipercze"/>
            <w:noProof/>
          </w:rPr>
          <w:t>Tabela 10.Charakterystyka sieci gazowej (stan na 31.12.2022 r.).</w:t>
        </w:r>
        <w:r w:rsidRPr="000B19E9">
          <w:rPr>
            <w:noProof/>
            <w:webHidden/>
          </w:rPr>
          <w:tab/>
        </w:r>
        <w:r w:rsidRPr="000B19E9">
          <w:rPr>
            <w:noProof/>
            <w:webHidden/>
          </w:rPr>
          <w:fldChar w:fldCharType="begin"/>
        </w:r>
        <w:r w:rsidRPr="000B19E9">
          <w:rPr>
            <w:noProof/>
            <w:webHidden/>
          </w:rPr>
          <w:instrText xml:space="preserve"> PAGEREF _Toc178846316 \h </w:instrText>
        </w:r>
        <w:r w:rsidRPr="000B19E9">
          <w:rPr>
            <w:noProof/>
            <w:webHidden/>
          </w:rPr>
        </w:r>
        <w:r w:rsidRPr="000B19E9">
          <w:rPr>
            <w:noProof/>
            <w:webHidden/>
          </w:rPr>
          <w:fldChar w:fldCharType="separate"/>
        </w:r>
        <w:r w:rsidR="00A654D8">
          <w:rPr>
            <w:noProof/>
            <w:webHidden/>
          </w:rPr>
          <w:t>42</w:t>
        </w:r>
        <w:r w:rsidRPr="000B19E9">
          <w:rPr>
            <w:noProof/>
            <w:webHidden/>
          </w:rPr>
          <w:fldChar w:fldCharType="end"/>
        </w:r>
      </w:hyperlink>
    </w:p>
    <w:p w14:paraId="05B86FE4" w14:textId="2169DA30"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17" w:history="1">
        <w:r w:rsidRPr="000B19E9">
          <w:rPr>
            <w:rStyle w:val="Hipercze"/>
            <w:noProof/>
          </w:rPr>
          <w:t>Tabela 11. Obiekty na terenie miasta wymagające inwestycji z zakresu efektywności energetycznej.</w:t>
        </w:r>
        <w:r w:rsidRPr="000B19E9">
          <w:rPr>
            <w:noProof/>
            <w:webHidden/>
          </w:rPr>
          <w:tab/>
        </w:r>
        <w:r w:rsidRPr="000B19E9">
          <w:rPr>
            <w:noProof/>
            <w:webHidden/>
          </w:rPr>
          <w:fldChar w:fldCharType="begin"/>
        </w:r>
        <w:r w:rsidRPr="000B19E9">
          <w:rPr>
            <w:noProof/>
            <w:webHidden/>
          </w:rPr>
          <w:instrText xml:space="preserve"> PAGEREF _Toc178846317 \h </w:instrText>
        </w:r>
        <w:r w:rsidRPr="000B19E9">
          <w:rPr>
            <w:noProof/>
            <w:webHidden/>
          </w:rPr>
        </w:r>
        <w:r w:rsidRPr="000B19E9">
          <w:rPr>
            <w:noProof/>
            <w:webHidden/>
          </w:rPr>
          <w:fldChar w:fldCharType="separate"/>
        </w:r>
        <w:r w:rsidR="00A654D8">
          <w:rPr>
            <w:noProof/>
            <w:webHidden/>
          </w:rPr>
          <w:t>46</w:t>
        </w:r>
        <w:r w:rsidRPr="000B19E9">
          <w:rPr>
            <w:noProof/>
            <w:webHidden/>
          </w:rPr>
          <w:fldChar w:fldCharType="end"/>
        </w:r>
      </w:hyperlink>
    </w:p>
    <w:p w14:paraId="0FA922EC" w14:textId="6DD13ADC"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18" w:history="1">
        <w:r w:rsidRPr="000B19E9">
          <w:rPr>
            <w:rStyle w:val="Hipercze"/>
            <w:noProof/>
          </w:rPr>
          <w:t>Tabela 12.Energia elektryczna w gospodarstwach domowych (stan na 31.12.2022 r.).</w:t>
        </w:r>
        <w:r w:rsidRPr="000B19E9">
          <w:rPr>
            <w:noProof/>
            <w:webHidden/>
          </w:rPr>
          <w:tab/>
        </w:r>
        <w:r w:rsidRPr="000B19E9">
          <w:rPr>
            <w:noProof/>
            <w:webHidden/>
          </w:rPr>
          <w:fldChar w:fldCharType="begin"/>
        </w:r>
        <w:r w:rsidRPr="000B19E9">
          <w:rPr>
            <w:noProof/>
            <w:webHidden/>
          </w:rPr>
          <w:instrText xml:space="preserve"> PAGEREF _Toc178846318 \h </w:instrText>
        </w:r>
        <w:r w:rsidRPr="000B19E9">
          <w:rPr>
            <w:noProof/>
            <w:webHidden/>
          </w:rPr>
        </w:r>
        <w:r w:rsidRPr="000B19E9">
          <w:rPr>
            <w:noProof/>
            <w:webHidden/>
          </w:rPr>
          <w:fldChar w:fldCharType="separate"/>
        </w:r>
        <w:r w:rsidR="00A654D8">
          <w:rPr>
            <w:noProof/>
            <w:webHidden/>
          </w:rPr>
          <w:t>47</w:t>
        </w:r>
        <w:r w:rsidRPr="000B19E9">
          <w:rPr>
            <w:noProof/>
            <w:webHidden/>
          </w:rPr>
          <w:fldChar w:fldCharType="end"/>
        </w:r>
      </w:hyperlink>
    </w:p>
    <w:p w14:paraId="66AD67D6" w14:textId="3FD3773E"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19" w:history="1">
        <w:r w:rsidRPr="000B19E9">
          <w:rPr>
            <w:rStyle w:val="Hipercze"/>
            <w:noProof/>
          </w:rPr>
          <w:t>Tabela 13. Ilość instalacji OZE na terenie miasta.</w:t>
        </w:r>
        <w:r w:rsidRPr="000B19E9">
          <w:rPr>
            <w:noProof/>
            <w:webHidden/>
          </w:rPr>
          <w:tab/>
        </w:r>
        <w:r w:rsidRPr="000B19E9">
          <w:rPr>
            <w:noProof/>
            <w:webHidden/>
          </w:rPr>
          <w:fldChar w:fldCharType="begin"/>
        </w:r>
        <w:r w:rsidRPr="000B19E9">
          <w:rPr>
            <w:noProof/>
            <w:webHidden/>
          </w:rPr>
          <w:instrText xml:space="preserve"> PAGEREF _Toc178846319 \h </w:instrText>
        </w:r>
        <w:r w:rsidRPr="000B19E9">
          <w:rPr>
            <w:noProof/>
            <w:webHidden/>
          </w:rPr>
        </w:r>
        <w:r w:rsidRPr="000B19E9">
          <w:rPr>
            <w:noProof/>
            <w:webHidden/>
          </w:rPr>
          <w:fldChar w:fldCharType="separate"/>
        </w:r>
        <w:r w:rsidR="00A654D8">
          <w:rPr>
            <w:noProof/>
            <w:webHidden/>
          </w:rPr>
          <w:t>48</w:t>
        </w:r>
        <w:r w:rsidRPr="000B19E9">
          <w:rPr>
            <w:noProof/>
            <w:webHidden/>
          </w:rPr>
          <w:fldChar w:fldCharType="end"/>
        </w:r>
      </w:hyperlink>
    </w:p>
    <w:p w14:paraId="25756E1C" w14:textId="3DF18085"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20" w:history="1">
        <w:r w:rsidRPr="000B19E9">
          <w:rPr>
            <w:rStyle w:val="Hipercze"/>
            <w:noProof/>
          </w:rPr>
          <w:t>Tabela 14. Parkingi na omawianym terenie.</w:t>
        </w:r>
        <w:r w:rsidRPr="000B19E9">
          <w:rPr>
            <w:noProof/>
            <w:webHidden/>
          </w:rPr>
          <w:tab/>
        </w:r>
        <w:r w:rsidRPr="000B19E9">
          <w:rPr>
            <w:noProof/>
            <w:webHidden/>
          </w:rPr>
          <w:fldChar w:fldCharType="begin"/>
        </w:r>
        <w:r w:rsidRPr="000B19E9">
          <w:rPr>
            <w:noProof/>
            <w:webHidden/>
          </w:rPr>
          <w:instrText xml:space="preserve"> PAGEREF _Toc178846320 \h </w:instrText>
        </w:r>
        <w:r w:rsidRPr="000B19E9">
          <w:rPr>
            <w:noProof/>
            <w:webHidden/>
          </w:rPr>
        </w:r>
        <w:r w:rsidRPr="000B19E9">
          <w:rPr>
            <w:noProof/>
            <w:webHidden/>
          </w:rPr>
          <w:fldChar w:fldCharType="separate"/>
        </w:r>
        <w:r w:rsidR="00A654D8">
          <w:rPr>
            <w:noProof/>
            <w:webHidden/>
          </w:rPr>
          <w:t>51</w:t>
        </w:r>
        <w:r w:rsidRPr="000B19E9">
          <w:rPr>
            <w:noProof/>
            <w:webHidden/>
          </w:rPr>
          <w:fldChar w:fldCharType="end"/>
        </w:r>
      </w:hyperlink>
    </w:p>
    <w:p w14:paraId="250DFB32" w14:textId="4380C46B"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21" w:history="1">
        <w:r w:rsidRPr="000B19E9">
          <w:rPr>
            <w:rStyle w:val="Hipercze"/>
            <w:noProof/>
          </w:rPr>
          <w:t>Tabela 15.</w:t>
        </w:r>
        <w:r w:rsidRPr="000B19E9">
          <w:rPr>
            <w:rStyle w:val="Hipercze"/>
            <w:rFonts w:eastAsia="Calibri"/>
            <w:noProof/>
          </w:rPr>
          <w:t xml:space="preserve"> Powierzchni lasów na terenie miasta</w:t>
        </w:r>
        <w:r w:rsidRPr="000B19E9">
          <w:rPr>
            <w:noProof/>
            <w:webHidden/>
          </w:rPr>
          <w:tab/>
        </w:r>
        <w:r w:rsidRPr="000B19E9">
          <w:rPr>
            <w:noProof/>
            <w:webHidden/>
          </w:rPr>
          <w:fldChar w:fldCharType="begin"/>
        </w:r>
        <w:r w:rsidRPr="000B19E9">
          <w:rPr>
            <w:noProof/>
            <w:webHidden/>
          </w:rPr>
          <w:instrText xml:space="preserve"> PAGEREF _Toc178846321 \h </w:instrText>
        </w:r>
        <w:r w:rsidRPr="000B19E9">
          <w:rPr>
            <w:noProof/>
            <w:webHidden/>
          </w:rPr>
        </w:r>
        <w:r w:rsidRPr="000B19E9">
          <w:rPr>
            <w:noProof/>
            <w:webHidden/>
          </w:rPr>
          <w:fldChar w:fldCharType="separate"/>
        </w:r>
        <w:r w:rsidR="00A654D8">
          <w:rPr>
            <w:noProof/>
            <w:webHidden/>
          </w:rPr>
          <w:t>52</w:t>
        </w:r>
        <w:r w:rsidRPr="000B19E9">
          <w:rPr>
            <w:noProof/>
            <w:webHidden/>
          </w:rPr>
          <w:fldChar w:fldCharType="end"/>
        </w:r>
      </w:hyperlink>
    </w:p>
    <w:p w14:paraId="246A6A88" w14:textId="0870B347"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22" w:history="1">
        <w:r w:rsidRPr="000B19E9">
          <w:rPr>
            <w:rStyle w:val="Hipercze"/>
            <w:noProof/>
          </w:rPr>
          <w:t>Tabela 16.</w:t>
        </w:r>
        <w:r w:rsidRPr="000B19E9">
          <w:rPr>
            <w:rStyle w:val="Hipercze"/>
            <w:rFonts w:eastAsia="Calibri"/>
            <w:noProof/>
          </w:rPr>
          <w:t xml:space="preserve"> Dane powierzchni i udziałów procentowych powierzchni zielonych.</w:t>
        </w:r>
        <w:r w:rsidRPr="000B19E9">
          <w:rPr>
            <w:noProof/>
            <w:webHidden/>
          </w:rPr>
          <w:tab/>
        </w:r>
        <w:r w:rsidRPr="000B19E9">
          <w:rPr>
            <w:noProof/>
            <w:webHidden/>
          </w:rPr>
          <w:fldChar w:fldCharType="begin"/>
        </w:r>
        <w:r w:rsidRPr="000B19E9">
          <w:rPr>
            <w:noProof/>
            <w:webHidden/>
          </w:rPr>
          <w:instrText xml:space="preserve"> PAGEREF _Toc178846322 \h </w:instrText>
        </w:r>
        <w:r w:rsidRPr="000B19E9">
          <w:rPr>
            <w:noProof/>
            <w:webHidden/>
          </w:rPr>
        </w:r>
        <w:r w:rsidRPr="000B19E9">
          <w:rPr>
            <w:noProof/>
            <w:webHidden/>
          </w:rPr>
          <w:fldChar w:fldCharType="separate"/>
        </w:r>
        <w:r w:rsidR="00A654D8">
          <w:rPr>
            <w:noProof/>
            <w:webHidden/>
          </w:rPr>
          <w:t>53</w:t>
        </w:r>
        <w:r w:rsidRPr="000B19E9">
          <w:rPr>
            <w:noProof/>
            <w:webHidden/>
          </w:rPr>
          <w:fldChar w:fldCharType="end"/>
        </w:r>
      </w:hyperlink>
    </w:p>
    <w:p w14:paraId="2185B42E" w14:textId="4DE26EEC"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23" w:history="1">
        <w:r w:rsidRPr="000B19E9">
          <w:rPr>
            <w:rStyle w:val="Hipercze"/>
            <w:noProof/>
          </w:rPr>
          <w:t>Tabela 17.</w:t>
        </w:r>
        <w:r w:rsidRPr="000B19E9">
          <w:rPr>
            <w:rStyle w:val="Hipercze"/>
            <w:rFonts w:eastAsia="Calibri"/>
            <w:noProof/>
          </w:rPr>
          <w:t xml:space="preserve"> Tereny zielone na omawianym obszarze.</w:t>
        </w:r>
        <w:r w:rsidRPr="000B19E9">
          <w:rPr>
            <w:noProof/>
            <w:webHidden/>
          </w:rPr>
          <w:tab/>
        </w:r>
        <w:r w:rsidRPr="000B19E9">
          <w:rPr>
            <w:noProof/>
            <w:webHidden/>
          </w:rPr>
          <w:fldChar w:fldCharType="begin"/>
        </w:r>
        <w:r w:rsidRPr="000B19E9">
          <w:rPr>
            <w:noProof/>
            <w:webHidden/>
          </w:rPr>
          <w:instrText xml:space="preserve"> PAGEREF _Toc178846323 \h </w:instrText>
        </w:r>
        <w:r w:rsidRPr="000B19E9">
          <w:rPr>
            <w:noProof/>
            <w:webHidden/>
          </w:rPr>
        </w:r>
        <w:r w:rsidRPr="000B19E9">
          <w:rPr>
            <w:noProof/>
            <w:webHidden/>
          </w:rPr>
          <w:fldChar w:fldCharType="separate"/>
        </w:r>
        <w:r w:rsidR="00A654D8">
          <w:rPr>
            <w:noProof/>
            <w:webHidden/>
          </w:rPr>
          <w:t>53</w:t>
        </w:r>
        <w:r w:rsidRPr="000B19E9">
          <w:rPr>
            <w:noProof/>
            <w:webHidden/>
          </w:rPr>
          <w:fldChar w:fldCharType="end"/>
        </w:r>
      </w:hyperlink>
    </w:p>
    <w:p w14:paraId="215E1B36" w14:textId="0B0B0CD5"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24" w:history="1">
        <w:r w:rsidRPr="000B19E9">
          <w:rPr>
            <w:rStyle w:val="Hipercze"/>
            <w:noProof/>
          </w:rPr>
          <w:t>Tabela 18.</w:t>
        </w:r>
        <w:r w:rsidRPr="000B19E9">
          <w:rPr>
            <w:rStyle w:val="Hipercze"/>
            <w:rFonts w:eastAsia="Calibri"/>
            <w:noProof/>
          </w:rPr>
          <w:t xml:space="preserve"> Obszary w przestrzeni miejskiej i gminnej, które mogą zostać przeznaczone na tereny zieleni.</w:t>
        </w:r>
        <w:r w:rsidRPr="000B19E9">
          <w:rPr>
            <w:noProof/>
            <w:webHidden/>
          </w:rPr>
          <w:tab/>
        </w:r>
        <w:r w:rsidRPr="000B19E9">
          <w:rPr>
            <w:noProof/>
            <w:webHidden/>
          </w:rPr>
          <w:fldChar w:fldCharType="begin"/>
        </w:r>
        <w:r w:rsidRPr="000B19E9">
          <w:rPr>
            <w:noProof/>
            <w:webHidden/>
          </w:rPr>
          <w:instrText xml:space="preserve"> PAGEREF _Toc178846324 \h </w:instrText>
        </w:r>
        <w:r w:rsidRPr="000B19E9">
          <w:rPr>
            <w:noProof/>
            <w:webHidden/>
          </w:rPr>
        </w:r>
        <w:r w:rsidRPr="000B19E9">
          <w:rPr>
            <w:noProof/>
            <w:webHidden/>
          </w:rPr>
          <w:fldChar w:fldCharType="separate"/>
        </w:r>
        <w:r w:rsidR="00A654D8">
          <w:rPr>
            <w:noProof/>
            <w:webHidden/>
          </w:rPr>
          <w:t>53</w:t>
        </w:r>
        <w:r w:rsidRPr="000B19E9">
          <w:rPr>
            <w:noProof/>
            <w:webHidden/>
          </w:rPr>
          <w:fldChar w:fldCharType="end"/>
        </w:r>
      </w:hyperlink>
    </w:p>
    <w:p w14:paraId="32469992" w14:textId="61AA48DC"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25" w:history="1">
        <w:r w:rsidRPr="000B19E9">
          <w:rPr>
            <w:rStyle w:val="Hipercze"/>
            <w:rFonts w:cstheme="minorHAnsi"/>
            <w:noProof/>
            <w:lang w:eastAsia="pl-PL"/>
          </w:rPr>
          <w:t>Tabela 19. Kierunki wykorzystania gruntów rolnych na terenie Miasta.</w:t>
        </w:r>
        <w:r w:rsidRPr="000B19E9">
          <w:rPr>
            <w:noProof/>
            <w:webHidden/>
          </w:rPr>
          <w:tab/>
        </w:r>
        <w:r w:rsidRPr="000B19E9">
          <w:rPr>
            <w:noProof/>
            <w:webHidden/>
          </w:rPr>
          <w:fldChar w:fldCharType="begin"/>
        </w:r>
        <w:r w:rsidRPr="000B19E9">
          <w:rPr>
            <w:noProof/>
            <w:webHidden/>
          </w:rPr>
          <w:instrText xml:space="preserve"> PAGEREF _Toc178846325 \h </w:instrText>
        </w:r>
        <w:r w:rsidRPr="000B19E9">
          <w:rPr>
            <w:noProof/>
            <w:webHidden/>
          </w:rPr>
        </w:r>
        <w:r w:rsidRPr="000B19E9">
          <w:rPr>
            <w:noProof/>
            <w:webHidden/>
          </w:rPr>
          <w:fldChar w:fldCharType="separate"/>
        </w:r>
        <w:r w:rsidR="00A654D8">
          <w:rPr>
            <w:noProof/>
            <w:webHidden/>
          </w:rPr>
          <w:t>55</w:t>
        </w:r>
        <w:r w:rsidRPr="000B19E9">
          <w:rPr>
            <w:noProof/>
            <w:webHidden/>
          </w:rPr>
          <w:fldChar w:fldCharType="end"/>
        </w:r>
      </w:hyperlink>
    </w:p>
    <w:p w14:paraId="597E3D4B" w14:textId="68E87A65"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26" w:history="1">
        <w:r w:rsidRPr="000B19E9">
          <w:rPr>
            <w:rStyle w:val="Hipercze"/>
            <w:noProof/>
          </w:rPr>
          <w:t>Tabela 20. Jednolite części wód.</w:t>
        </w:r>
        <w:r w:rsidRPr="000B19E9">
          <w:rPr>
            <w:noProof/>
            <w:webHidden/>
          </w:rPr>
          <w:tab/>
        </w:r>
        <w:r w:rsidRPr="000B19E9">
          <w:rPr>
            <w:noProof/>
            <w:webHidden/>
          </w:rPr>
          <w:fldChar w:fldCharType="begin"/>
        </w:r>
        <w:r w:rsidRPr="000B19E9">
          <w:rPr>
            <w:noProof/>
            <w:webHidden/>
          </w:rPr>
          <w:instrText xml:space="preserve"> PAGEREF _Toc178846326 \h </w:instrText>
        </w:r>
        <w:r w:rsidRPr="000B19E9">
          <w:rPr>
            <w:noProof/>
            <w:webHidden/>
          </w:rPr>
        </w:r>
        <w:r w:rsidRPr="000B19E9">
          <w:rPr>
            <w:noProof/>
            <w:webHidden/>
          </w:rPr>
          <w:fldChar w:fldCharType="separate"/>
        </w:r>
        <w:r w:rsidR="00A654D8">
          <w:rPr>
            <w:noProof/>
            <w:webHidden/>
          </w:rPr>
          <w:t>56</w:t>
        </w:r>
        <w:r w:rsidRPr="000B19E9">
          <w:rPr>
            <w:noProof/>
            <w:webHidden/>
          </w:rPr>
          <w:fldChar w:fldCharType="end"/>
        </w:r>
      </w:hyperlink>
    </w:p>
    <w:p w14:paraId="5B025C7B" w14:textId="23365E9B"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27" w:history="1">
        <w:r w:rsidRPr="000B19E9">
          <w:rPr>
            <w:rStyle w:val="Hipercze"/>
            <w:noProof/>
          </w:rPr>
          <w:t>Tabela 21. Charakterystyka JCWPd.</w:t>
        </w:r>
        <w:r w:rsidRPr="000B19E9">
          <w:rPr>
            <w:noProof/>
            <w:webHidden/>
          </w:rPr>
          <w:tab/>
        </w:r>
        <w:r w:rsidRPr="000B19E9">
          <w:rPr>
            <w:noProof/>
            <w:webHidden/>
          </w:rPr>
          <w:fldChar w:fldCharType="begin"/>
        </w:r>
        <w:r w:rsidRPr="000B19E9">
          <w:rPr>
            <w:noProof/>
            <w:webHidden/>
          </w:rPr>
          <w:instrText xml:space="preserve"> PAGEREF _Toc178846327 \h </w:instrText>
        </w:r>
        <w:r w:rsidRPr="000B19E9">
          <w:rPr>
            <w:noProof/>
            <w:webHidden/>
          </w:rPr>
        </w:r>
        <w:r w:rsidRPr="000B19E9">
          <w:rPr>
            <w:noProof/>
            <w:webHidden/>
          </w:rPr>
          <w:fldChar w:fldCharType="separate"/>
        </w:r>
        <w:r w:rsidR="00A654D8">
          <w:rPr>
            <w:noProof/>
            <w:webHidden/>
          </w:rPr>
          <w:t>59</w:t>
        </w:r>
        <w:r w:rsidRPr="000B19E9">
          <w:rPr>
            <w:noProof/>
            <w:webHidden/>
          </w:rPr>
          <w:fldChar w:fldCharType="end"/>
        </w:r>
      </w:hyperlink>
    </w:p>
    <w:p w14:paraId="04A2CCA7" w14:textId="392264AE"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28" w:history="1">
        <w:r w:rsidRPr="000B19E9">
          <w:rPr>
            <w:rStyle w:val="Hipercze"/>
            <w:noProof/>
          </w:rPr>
          <w:t>Tabela 22. Uśrednione wartości wskaźników klimatycznych w okresie 1991 – 2021.</w:t>
        </w:r>
        <w:r w:rsidRPr="000B19E9">
          <w:rPr>
            <w:noProof/>
            <w:webHidden/>
          </w:rPr>
          <w:tab/>
        </w:r>
        <w:r w:rsidRPr="000B19E9">
          <w:rPr>
            <w:noProof/>
            <w:webHidden/>
          </w:rPr>
          <w:fldChar w:fldCharType="begin"/>
        </w:r>
        <w:r w:rsidRPr="000B19E9">
          <w:rPr>
            <w:noProof/>
            <w:webHidden/>
          </w:rPr>
          <w:instrText xml:space="preserve"> PAGEREF _Toc178846328 \h </w:instrText>
        </w:r>
        <w:r w:rsidRPr="000B19E9">
          <w:rPr>
            <w:noProof/>
            <w:webHidden/>
          </w:rPr>
        </w:r>
        <w:r w:rsidRPr="000B19E9">
          <w:rPr>
            <w:noProof/>
            <w:webHidden/>
          </w:rPr>
          <w:fldChar w:fldCharType="separate"/>
        </w:r>
        <w:r w:rsidR="00A654D8">
          <w:rPr>
            <w:noProof/>
            <w:webHidden/>
          </w:rPr>
          <w:t>59</w:t>
        </w:r>
        <w:r w:rsidRPr="000B19E9">
          <w:rPr>
            <w:noProof/>
            <w:webHidden/>
          </w:rPr>
          <w:fldChar w:fldCharType="end"/>
        </w:r>
      </w:hyperlink>
    </w:p>
    <w:p w14:paraId="7491E0B5" w14:textId="1C5A9435"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29" w:history="1">
        <w:r w:rsidRPr="000B19E9">
          <w:rPr>
            <w:rStyle w:val="Hipercze"/>
            <w:noProof/>
          </w:rPr>
          <w:t>Tabela 23. Dotacje udzielone z programu „Moja woda”.</w:t>
        </w:r>
        <w:r w:rsidRPr="000B19E9">
          <w:rPr>
            <w:noProof/>
            <w:webHidden/>
          </w:rPr>
          <w:tab/>
        </w:r>
        <w:r w:rsidRPr="000B19E9">
          <w:rPr>
            <w:noProof/>
            <w:webHidden/>
          </w:rPr>
          <w:fldChar w:fldCharType="begin"/>
        </w:r>
        <w:r w:rsidRPr="000B19E9">
          <w:rPr>
            <w:noProof/>
            <w:webHidden/>
          </w:rPr>
          <w:instrText xml:space="preserve"> PAGEREF _Toc178846329 \h </w:instrText>
        </w:r>
        <w:r w:rsidRPr="000B19E9">
          <w:rPr>
            <w:noProof/>
            <w:webHidden/>
          </w:rPr>
        </w:r>
        <w:r w:rsidRPr="000B19E9">
          <w:rPr>
            <w:noProof/>
            <w:webHidden/>
          </w:rPr>
          <w:fldChar w:fldCharType="separate"/>
        </w:r>
        <w:r w:rsidR="00A654D8">
          <w:rPr>
            <w:noProof/>
            <w:webHidden/>
          </w:rPr>
          <w:t>73</w:t>
        </w:r>
        <w:r w:rsidRPr="000B19E9">
          <w:rPr>
            <w:noProof/>
            <w:webHidden/>
          </w:rPr>
          <w:fldChar w:fldCharType="end"/>
        </w:r>
      </w:hyperlink>
    </w:p>
    <w:p w14:paraId="1B6668E2" w14:textId="10909D8A"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30" w:history="1">
        <w:r w:rsidRPr="000B19E9">
          <w:rPr>
            <w:rStyle w:val="Hipercze"/>
            <w:noProof/>
          </w:rPr>
          <w:t>Tabela 24. Zbiorniki retencyjne na terenie miasta.</w:t>
        </w:r>
        <w:r w:rsidRPr="000B19E9">
          <w:rPr>
            <w:noProof/>
            <w:webHidden/>
          </w:rPr>
          <w:tab/>
        </w:r>
        <w:r w:rsidRPr="000B19E9">
          <w:rPr>
            <w:noProof/>
            <w:webHidden/>
          </w:rPr>
          <w:fldChar w:fldCharType="begin"/>
        </w:r>
        <w:r w:rsidRPr="000B19E9">
          <w:rPr>
            <w:noProof/>
            <w:webHidden/>
          </w:rPr>
          <w:instrText xml:space="preserve"> PAGEREF _Toc178846330 \h </w:instrText>
        </w:r>
        <w:r w:rsidRPr="000B19E9">
          <w:rPr>
            <w:noProof/>
            <w:webHidden/>
          </w:rPr>
        </w:r>
        <w:r w:rsidRPr="000B19E9">
          <w:rPr>
            <w:noProof/>
            <w:webHidden/>
          </w:rPr>
          <w:fldChar w:fldCharType="separate"/>
        </w:r>
        <w:r w:rsidR="00A654D8">
          <w:rPr>
            <w:noProof/>
            <w:webHidden/>
          </w:rPr>
          <w:t>73</w:t>
        </w:r>
        <w:r w:rsidRPr="000B19E9">
          <w:rPr>
            <w:noProof/>
            <w:webHidden/>
          </w:rPr>
          <w:fldChar w:fldCharType="end"/>
        </w:r>
      </w:hyperlink>
    </w:p>
    <w:p w14:paraId="42D25395" w14:textId="54AB627F"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31" w:history="1">
        <w:r w:rsidRPr="000B19E9">
          <w:rPr>
            <w:rStyle w:val="Hipercze"/>
            <w:noProof/>
          </w:rPr>
          <w:t>Tabela 25. Analiza parametrów klimatycznych i trendów zmian.</w:t>
        </w:r>
        <w:r w:rsidRPr="000B19E9">
          <w:rPr>
            <w:noProof/>
            <w:webHidden/>
          </w:rPr>
          <w:tab/>
        </w:r>
        <w:r w:rsidRPr="000B19E9">
          <w:rPr>
            <w:noProof/>
            <w:webHidden/>
          </w:rPr>
          <w:fldChar w:fldCharType="begin"/>
        </w:r>
        <w:r w:rsidRPr="000B19E9">
          <w:rPr>
            <w:noProof/>
            <w:webHidden/>
          </w:rPr>
          <w:instrText xml:space="preserve"> PAGEREF _Toc178846331 \h </w:instrText>
        </w:r>
        <w:r w:rsidRPr="000B19E9">
          <w:rPr>
            <w:noProof/>
            <w:webHidden/>
          </w:rPr>
        </w:r>
        <w:r w:rsidRPr="000B19E9">
          <w:rPr>
            <w:noProof/>
            <w:webHidden/>
          </w:rPr>
          <w:fldChar w:fldCharType="separate"/>
        </w:r>
        <w:r w:rsidR="00A654D8">
          <w:rPr>
            <w:noProof/>
            <w:webHidden/>
          </w:rPr>
          <w:t>82</w:t>
        </w:r>
        <w:r w:rsidRPr="000B19E9">
          <w:rPr>
            <w:noProof/>
            <w:webHidden/>
          </w:rPr>
          <w:fldChar w:fldCharType="end"/>
        </w:r>
      </w:hyperlink>
    </w:p>
    <w:p w14:paraId="19DD5EC9" w14:textId="52086CA1"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32" w:history="1">
        <w:r w:rsidRPr="000B19E9">
          <w:rPr>
            <w:rStyle w:val="Hipercze"/>
            <w:noProof/>
          </w:rPr>
          <w:t>Tabela 26. Ocena wrażliwości Miasta Tarnogród na zmiany klimatu.</w:t>
        </w:r>
        <w:r w:rsidRPr="000B19E9">
          <w:rPr>
            <w:noProof/>
            <w:webHidden/>
          </w:rPr>
          <w:tab/>
        </w:r>
        <w:r w:rsidRPr="000B19E9">
          <w:rPr>
            <w:noProof/>
            <w:webHidden/>
          </w:rPr>
          <w:fldChar w:fldCharType="begin"/>
        </w:r>
        <w:r w:rsidRPr="000B19E9">
          <w:rPr>
            <w:noProof/>
            <w:webHidden/>
          </w:rPr>
          <w:instrText xml:space="preserve"> PAGEREF _Toc178846332 \h </w:instrText>
        </w:r>
        <w:r w:rsidRPr="000B19E9">
          <w:rPr>
            <w:noProof/>
            <w:webHidden/>
          </w:rPr>
        </w:r>
        <w:r w:rsidRPr="000B19E9">
          <w:rPr>
            <w:noProof/>
            <w:webHidden/>
          </w:rPr>
          <w:fldChar w:fldCharType="separate"/>
        </w:r>
        <w:r w:rsidR="00A654D8">
          <w:rPr>
            <w:noProof/>
            <w:webHidden/>
          </w:rPr>
          <w:t>84</w:t>
        </w:r>
        <w:r w:rsidRPr="000B19E9">
          <w:rPr>
            <w:noProof/>
            <w:webHidden/>
          </w:rPr>
          <w:fldChar w:fldCharType="end"/>
        </w:r>
      </w:hyperlink>
    </w:p>
    <w:p w14:paraId="5C8A0ED3" w14:textId="28C94884"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33" w:history="1">
        <w:r w:rsidRPr="000B19E9">
          <w:rPr>
            <w:rStyle w:val="Hipercze"/>
            <w:noProof/>
          </w:rPr>
          <w:t>Tabela 27. Ocena potencjału adaptacyjnego Miasta Tarnogród.</w:t>
        </w:r>
        <w:r w:rsidRPr="000B19E9">
          <w:rPr>
            <w:noProof/>
            <w:webHidden/>
          </w:rPr>
          <w:tab/>
        </w:r>
        <w:r w:rsidRPr="000B19E9">
          <w:rPr>
            <w:noProof/>
            <w:webHidden/>
          </w:rPr>
          <w:fldChar w:fldCharType="begin"/>
        </w:r>
        <w:r w:rsidRPr="000B19E9">
          <w:rPr>
            <w:noProof/>
            <w:webHidden/>
          </w:rPr>
          <w:instrText xml:space="preserve"> PAGEREF _Toc178846333 \h </w:instrText>
        </w:r>
        <w:r w:rsidRPr="000B19E9">
          <w:rPr>
            <w:noProof/>
            <w:webHidden/>
          </w:rPr>
        </w:r>
        <w:r w:rsidRPr="000B19E9">
          <w:rPr>
            <w:noProof/>
            <w:webHidden/>
          </w:rPr>
          <w:fldChar w:fldCharType="separate"/>
        </w:r>
        <w:r w:rsidR="00A654D8">
          <w:rPr>
            <w:noProof/>
            <w:webHidden/>
          </w:rPr>
          <w:t>88</w:t>
        </w:r>
        <w:r w:rsidRPr="000B19E9">
          <w:rPr>
            <w:noProof/>
            <w:webHidden/>
          </w:rPr>
          <w:fldChar w:fldCharType="end"/>
        </w:r>
      </w:hyperlink>
    </w:p>
    <w:p w14:paraId="37678B45" w14:textId="25AA4798"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34" w:history="1">
        <w:r w:rsidRPr="000B19E9">
          <w:rPr>
            <w:rStyle w:val="Hipercze"/>
            <w:noProof/>
          </w:rPr>
          <w:t>Tabela 28. Potencjalne szanse i zagrożenia związane ze zmianami klimatu.</w:t>
        </w:r>
        <w:r w:rsidRPr="000B19E9">
          <w:rPr>
            <w:noProof/>
            <w:webHidden/>
          </w:rPr>
          <w:tab/>
        </w:r>
        <w:r w:rsidRPr="000B19E9">
          <w:rPr>
            <w:noProof/>
            <w:webHidden/>
          </w:rPr>
          <w:fldChar w:fldCharType="begin"/>
        </w:r>
        <w:r w:rsidRPr="000B19E9">
          <w:rPr>
            <w:noProof/>
            <w:webHidden/>
          </w:rPr>
          <w:instrText xml:space="preserve"> PAGEREF _Toc178846334 \h </w:instrText>
        </w:r>
        <w:r w:rsidRPr="000B19E9">
          <w:rPr>
            <w:noProof/>
            <w:webHidden/>
          </w:rPr>
        </w:r>
        <w:r w:rsidRPr="000B19E9">
          <w:rPr>
            <w:noProof/>
            <w:webHidden/>
          </w:rPr>
          <w:fldChar w:fldCharType="separate"/>
        </w:r>
        <w:r w:rsidR="00A654D8">
          <w:rPr>
            <w:noProof/>
            <w:webHidden/>
          </w:rPr>
          <w:t>89</w:t>
        </w:r>
        <w:r w:rsidRPr="000B19E9">
          <w:rPr>
            <w:noProof/>
            <w:webHidden/>
          </w:rPr>
          <w:fldChar w:fldCharType="end"/>
        </w:r>
      </w:hyperlink>
    </w:p>
    <w:p w14:paraId="1A56AF02" w14:textId="7EE73C73"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35" w:history="1">
        <w:r w:rsidRPr="000B19E9">
          <w:rPr>
            <w:rStyle w:val="Hipercze"/>
            <w:noProof/>
          </w:rPr>
          <w:t>Tabela 29. Przykładowe opcje adaptacji.</w:t>
        </w:r>
        <w:r w:rsidRPr="000B19E9">
          <w:rPr>
            <w:noProof/>
            <w:webHidden/>
          </w:rPr>
          <w:tab/>
        </w:r>
        <w:r w:rsidRPr="000B19E9">
          <w:rPr>
            <w:noProof/>
            <w:webHidden/>
          </w:rPr>
          <w:fldChar w:fldCharType="begin"/>
        </w:r>
        <w:r w:rsidRPr="000B19E9">
          <w:rPr>
            <w:noProof/>
            <w:webHidden/>
          </w:rPr>
          <w:instrText xml:space="preserve"> PAGEREF _Toc178846335 \h </w:instrText>
        </w:r>
        <w:r w:rsidRPr="000B19E9">
          <w:rPr>
            <w:noProof/>
            <w:webHidden/>
          </w:rPr>
        </w:r>
        <w:r w:rsidRPr="000B19E9">
          <w:rPr>
            <w:noProof/>
            <w:webHidden/>
          </w:rPr>
          <w:fldChar w:fldCharType="separate"/>
        </w:r>
        <w:r w:rsidR="00A654D8">
          <w:rPr>
            <w:noProof/>
            <w:webHidden/>
          </w:rPr>
          <w:t>93</w:t>
        </w:r>
        <w:r w:rsidRPr="000B19E9">
          <w:rPr>
            <w:noProof/>
            <w:webHidden/>
          </w:rPr>
          <w:fldChar w:fldCharType="end"/>
        </w:r>
      </w:hyperlink>
    </w:p>
    <w:p w14:paraId="0A84AA82" w14:textId="128A65C2"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36" w:history="1">
        <w:r w:rsidRPr="000B19E9">
          <w:rPr>
            <w:rStyle w:val="Hipercze"/>
            <w:noProof/>
          </w:rPr>
          <w:t>Tabela 30. Kryteria oceny opcji adaptacji.</w:t>
        </w:r>
        <w:r w:rsidRPr="000B19E9">
          <w:rPr>
            <w:noProof/>
            <w:webHidden/>
          </w:rPr>
          <w:tab/>
        </w:r>
        <w:r w:rsidRPr="000B19E9">
          <w:rPr>
            <w:noProof/>
            <w:webHidden/>
          </w:rPr>
          <w:fldChar w:fldCharType="begin"/>
        </w:r>
        <w:r w:rsidRPr="000B19E9">
          <w:rPr>
            <w:noProof/>
            <w:webHidden/>
          </w:rPr>
          <w:instrText xml:space="preserve"> PAGEREF _Toc178846336 \h </w:instrText>
        </w:r>
        <w:r w:rsidRPr="000B19E9">
          <w:rPr>
            <w:noProof/>
            <w:webHidden/>
          </w:rPr>
        </w:r>
        <w:r w:rsidRPr="000B19E9">
          <w:rPr>
            <w:noProof/>
            <w:webHidden/>
          </w:rPr>
          <w:fldChar w:fldCharType="separate"/>
        </w:r>
        <w:r w:rsidR="00A654D8">
          <w:rPr>
            <w:noProof/>
            <w:webHidden/>
          </w:rPr>
          <w:t>95</w:t>
        </w:r>
        <w:r w:rsidRPr="000B19E9">
          <w:rPr>
            <w:noProof/>
            <w:webHidden/>
          </w:rPr>
          <w:fldChar w:fldCharType="end"/>
        </w:r>
      </w:hyperlink>
    </w:p>
    <w:p w14:paraId="1E8DFB58" w14:textId="4534C506"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37" w:history="1">
        <w:r w:rsidRPr="000B19E9">
          <w:rPr>
            <w:rStyle w:val="Hipercze"/>
            <w:noProof/>
          </w:rPr>
          <w:t>Tabela 31. Działania adaptacyjne.</w:t>
        </w:r>
        <w:r w:rsidRPr="000B19E9">
          <w:rPr>
            <w:noProof/>
            <w:webHidden/>
          </w:rPr>
          <w:tab/>
        </w:r>
        <w:r w:rsidRPr="000B19E9">
          <w:rPr>
            <w:noProof/>
            <w:webHidden/>
          </w:rPr>
          <w:fldChar w:fldCharType="begin"/>
        </w:r>
        <w:r w:rsidRPr="000B19E9">
          <w:rPr>
            <w:noProof/>
            <w:webHidden/>
          </w:rPr>
          <w:instrText xml:space="preserve"> PAGEREF _Toc178846337 \h </w:instrText>
        </w:r>
        <w:r w:rsidRPr="000B19E9">
          <w:rPr>
            <w:noProof/>
            <w:webHidden/>
          </w:rPr>
        </w:r>
        <w:r w:rsidRPr="000B19E9">
          <w:rPr>
            <w:noProof/>
            <w:webHidden/>
          </w:rPr>
          <w:fldChar w:fldCharType="separate"/>
        </w:r>
        <w:r w:rsidR="00A654D8">
          <w:rPr>
            <w:noProof/>
            <w:webHidden/>
          </w:rPr>
          <w:t>122</w:t>
        </w:r>
        <w:r w:rsidRPr="000B19E9">
          <w:rPr>
            <w:noProof/>
            <w:webHidden/>
          </w:rPr>
          <w:fldChar w:fldCharType="end"/>
        </w:r>
      </w:hyperlink>
    </w:p>
    <w:p w14:paraId="47F028B3" w14:textId="42464926"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38" w:history="1">
        <w:r w:rsidRPr="000B19E9">
          <w:rPr>
            <w:rStyle w:val="Hipercze"/>
            <w:noProof/>
          </w:rPr>
          <w:t>Tabela 32. Matryca oceny zadań adaptacyjnych.</w:t>
        </w:r>
        <w:r w:rsidRPr="000B19E9">
          <w:rPr>
            <w:noProof/>
            <w:webHidden/>
          </w:rPr>
          <w:tab/>
        </w:r>
        <w:r w:rsidRPr="000B19E9">
          <w:rPr>
            <w:noProof/>
            <w:webHidden/>
          </w:rPr>
          <w:fldChar w:fldCharType="begin"/>
        </w:r>
        <w:r w:rsidRPr="000B19E9">
          <w:rPr>
            <w:noProof/>
            <w:webHidden/>
          </w:rPr>
          <w:instrText xml:space="preserve"> PAGEREF _Toc178846338 \h </w:instrText>
        </w:r>
        <w:r w:rsidRPr="000B19E9">
          <w:rPr>
            <w:noProof/>
            <w:webHidden/>
          </w:rPr>
        </w:r>
        <w:r w:rsidRPr="000B19E9">
          <w:rPr>
            <w:noProof/>
            <w:webHidden/>
          </w:rPr>
          <w:fldChar w:fldCharType="separate"/>
        </w:r>
        <w:r w:rsidR="00A654D8">
          <w:rPr>
            <w:noProof/>
            <w:webHidden/>
          </w:rPr>
          <w:t>135</w:t>
        </w:r>
        <w:r w:rsidRPr="000B19E9">
          <w:rPr>
            <w:noProof/>
            <w:webHidden/>
          </w:rPr>
          <w:fldChar w:fldCharType="end"/>
        </w:r>
      </w:hyperlink>
    </w:p>
    <w:p w14:paraId="63562AAD" w14:textId="171C6A28"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39" w:history="1">
        <w:r w:rsidRPr="000B19E9">
          <w:rPr>
            <w:rStyle w:val="Hipercze"/>
            <w:noProof/>
          </w:rPr>
          <w:t>Tabela 33. Przebieg wdrażania Planu Adaptacji do zmian klimatu dla Miasta Tarnogród.</w:t>
        </w:r>
        <w:r w:rsidRPr="000B19E9">
          <w:rPr>
            <w:noProof/>
            <w:webHidden/>
          </w:rPr>
          <w:tab/>
        </w:r>
        <w:r w:rsidRPr="000B19E9">
          <w:rPr>
            <w:noProof/>
            <w:webHidden/>
          </w:rPr>
          <w:fldChar w:fldCharType="begin"/>
        </w:r>
        <w:r w:rsidRPr="000B19E9">
          <w:rPr>
            <w:noProof/>
            <w:webHidden/>
          </w:rPr>
          <w:instrText xml:space="preserve"> PAGEREF _Toc178846339 \h </w:instrText>
        </w:r>
        <w:r w:rsidRPr="000B19E9">
          <w:rPr>
            <w:noProof/>
            <w:webHidden/>
          </w:rPr>
        </w:r>
        <w:r w:rsidRPr="000B19E9">
          <w:rPr>
            <w:noProof/>
            <w:webHidden/>
          </w:rPr>
          <w:fldChar w:fldCharType="separate"/>
        </w:r>
        <w:r w:rsidR="00A654D8">
          <w:rPr>
            <w:noProof/>
            <w:webHidden/>
          </w:rPr>
          <w:t>140</w:t>
        </w:r>
        <w:r w:rsidRPr="000B19E9">
          <w:rPr>
            <w:noProof/>
            <w:webHidden/>
          </w:rPr>
          <w:fldChar w:fldCharType="end"/>
        </w:r>
      </w:hyperlink>
    </w:p>
    <w:p w14:paraId="7BB00BE8" w14:textId="6FA0C232"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40" w:history="1">
        <w:r w:rsidRPr="000B19E9">
          <w:rPr>
            <w:rStyle w:val="Hipercze"/>
            <w:noProof/>
          </w:rPr>
          <w:t>Tabela 34. Przykładowe wskaźniki osiągnięcia celu nadrzędnego Planu Adaptacji w okresie sprawozdawczym – do wykorzystania według potrzeb.</w:t>
        </w:r>
        <w:r w:rsidRPr="000B19E9">
          <w:rPr>
            <w:noProof/>
            <w:webHidden/>
          </w:rPr>
          <w:tab/>
        </w:r>
        <w:r w:rsidRPr="000B19E9">
          <w:rPr>
            <w:noProof/>
            <w:webHidden/>
          </w:rPr>
          <w:fldChar w:fldCharType="begin"/>
        </w:r>
        <w:r w:rsidRPr="000B19E9">
          <w:rPr>
            <w:noProof/>
            <w:webHidden/>
          </w:rPr>
          <w:instrText xml:space="preserve"> PAGEREF _Toc178846340 \h </w:instrText>
        </w:r>
        <w:r w:rsidRPr="000B19E9">
          <w:rPr>
            <w:noProof/>
            <w:webHidden/>
          </w:rPr>
        </w:r>
        <w:r w:rsidRPr="000B19E9">
          <w:rPr>
            <w:noProof/>
            <w:webHidden/>
          </w:rPr>
          <w:fldChar w:fldCharType="separate"/>
        </w:r>
        <w:r w:rsidR="00A654D8">
          <w:rPr>
            <w:noProof/>
            <w:webHidden/>
          </w:rPr>
          <w:t>149</w:t>
        </w:r>
        <w:r w:rsidRPr="000B19E9">
          <w:rPr>
            <w:noProof/>
            <w:webHidden/>
          </w:rPr>
          <w:fldChar w:fldCharType="end"/>
        </w:r>
      </w:hyperlink>
    </w:p>
    <w:p w14:paraId="463952A9" w14:textId="2BC5B40D" w:rsidR="00107CFC" w:rsidRPr="00655FC7" w:rsidRDefault="00C3065E" w:rsidP="000B19E9">
      <w:pPr>
        <w:pStyle w:val="Spisilustracji"/>
        <w:tabs>
          <w:tab w:val="right" w:leader="dot" w:pos="9060"/>
        </w:tabs>
        <w:ind w:firstLine="0"/>
        <w:rPr>
          <w:rFonts w:eastAsiaTheme="majorEastAsia" w:cstheme="minorHAnsi"/>
          <w:b/>
          <w:bCs/>
          <w:color w:val="auto"/>
          <w:sz w:val="44"/>
          <w:szCs w:val="28"/>
        </w:rPr>
      </w:pPr>
      <w:r w:rsidRPr="000B19E9">
        <w:rPr>
          <w:rFonts w:cstheme="minorHAnsi"/>
          <w:color w:val="auto"/>
          <w:sz w:val="20"/>
          <w:szCs w:val="20"/>
        </w:rPr>
        <w:fldChar w:fldCharType="end"/>
      </w:r>
      <w:bookmarkStart w:id="318" w:name="_Toc21085220"/>
      <w:bookmarkStart w:id="319" w:name="_Toc75170274"/>
      <w:bookmarkStart w:id="320" w:name="_Toc143596972"/>
      <w:r w:rsidR="00107CFC" w:rsidRPr="00655FC7">
        <w:rPr>
          <w:rFonts w:cstheme="minorHAnsi"/>
          <w:color w:val="auto"/>
          <w:sz w:val="44"/>
        </w:rPr>
        <w:br w:type="page"/>
      </w:r>
    </w:p>
    <w:p w14:paraId="1FCD8E9B" w14:textId="77777777" w:rsidR="00107CFC" w:rsidRPr="00655FC7" w:rsidRDefault="00107CFC" w:rsidP="00B71232"/>
    <w:p w14:paraId="61727BDD" w14:textId="3E12A0B0" w:rsidR="00C3065E" w:rsidRPr="00655FC7" w:rsidRDefault="00C3065E" w:rsidP="00B71232">
      <w:pPr>
        <w:pStyle w:val="Nagwek1"/>
      </w:pPr>
      <w:bookmarkStart w:id="321" w:name="_Toc177732102"/>
      <w:r w:rsidRPr="00655FC7">
        <w:t>Spis rysunków</w:t>
      </w:r>
      <w:bookmarkEnd w:id="318"/>
      <w:bookmarkEnd w:id="319"/>
      <w:bookmarkEnd w:id="320"/>
      <w:bookmarkEnd w:id="321"/>
    </w:p>
    <w:p w14:paraId="69DC13B9" w14:textId="692FCFF8" w:rsidR="000B19E9" w:rsidRPr="000B19E9" w:rsidRDefault="00C3065E"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r w:rsidRPr="000B19E9">
        <w:rPr>
          <w:rFonts w:eastAsia="Calibri" w:cstheme="minorHAnsi"/>
          <w:color w:val="auto"/>
          <w:sz w:val="20"/>
          <w:szCs w:val="20"/>
        </w:rPr>
        <w:fldChar w:fldCharType="begin"/>
      </w:r>
      <w:r w:rsidRPr="000B19E9">
        <w:rPr>
          <w:rFonts w:eastAsia="Calibri" w:cstheme="minorHAnsi"/>
          <w:color w:val="auto"/>
          <w:sz w:val="20"/>
          <w:szCs w:val="20"/>
        </w:rPr>
        <w:instrText xml:space="preserve"> TOC \h \z \c "Rysunek" </w:instrText>
      </w:r>
      <w:r w:rsidRPr="000B19E9">
        <w:rPr>
          <w:rFonts w:eastAsia="Calibri" w:cstheme="minorHAnsi"/>
          <w:color w:val="auto"/>
          <w:sz w:val="20"/>
          <w:szCs w:val="20"/>
        </w:rPr>
        <w:fldChar w:fldCharType="separate"/>
      </w:r>
      <w:hyperlink w:anchor="_Toc178846343" w:history="1">
        <w:r w:rsidR="000B19E9" w:rsidRPr="000B19E9">
          <w:rPr>
            <w:rStyle w:val="Hipercze"/>
            <w:noProof/>
          </w:rPr>
          <w:t>Rysunek 1. Etapy opracowania Planu Adaptacji.</w:t>
        </w:r>
        <w:r w:rsidR="000B19E9" w:rsidRPr="000B19E9">
          <w:rPr>
            <w:noProof/>
            <w:webHidden/>
          </w:rPr>
          <w:tab/>
        </w:r>
        <w:r w:rsidR="000B19E9" w:rsidRPr="000B19E9">
          <w:rPr>
            <w:noProof/>
            <w:webHidden/>
          </w:rPr>
          <w:fldChar w:fldCharType="begin"/>
        </w:r>
        <w:r w:rsidR="000B19E9" w:rsidRPr="000B19E9">
          <w:rPr>
            <w:noProof/>
            <w:webHidden/>
          </w:rPr>
          <w:instrText xml:space="preserve"> PAGEREF _Toc178846343 \h </w:instrText>
        </w:r>
        <w:r w:rsidR="000B19E9" w:rsidRPr="000B19E9">
          <w:rPr>
            <w:noProof/>
            <w:webHidden/>
          </w:rPr>
        </w:r>
        <w:r w:rsidR="000B19E9" w:rsidRPr="000B19E9">
          <w:rPr>
            <w:noProof/>
            <w:webHidden/>
          </w:rPr>
          <w:fldChar w:fldCharType="separate"/>
        </w:r>
        <w:r w:rsidR="00A654D8">
          <w:rPr>
            <w:noProof/>
            <w:webHidden/>
          </w:rPr>
          <w:t>16</w:t>
        </w:r>
        <w:r w:rsidR="000B19E9" w:rsidRPr="000B19E9">
          <w:rPr>
            <w:noProof/>
            <w:webHidden/>
          </w:rPr>
          <w:fldChar w:fldCharType="end"/>
        </w:r>
      </w:hyperlink>
    </w:p>
    <w:p w14:paraId="3AED85BC" w14:textId="40BC2BDC"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44" w:history="1">
        <w:r w:rsidRPr="000B19E9">
          <w:rPr>
            <w:rStyle w:val="Hipercze"/>
            <w:noProof/>
          </w:rPr>
          <w:t>Rysunek 2. Elementy niezbędne do określenia podatności danego obszaru na czynnik klimatyczny.</w:t>
        </w:r>
        <w:r w:rsidRPr="000B19E9">
          <w:rPr>
            <w:noProof/>
            <w:webHidden/>
          </w:rPr>
          <w:tab/>
        </w:r>
        <w:r w:rsidRPr="000B19E9">
          <w:rPr>
            <w:noProof/>
            <w:webHidden/>
          </w:rPr>
          <w:fldChar w:fldCharType="begin"/>
        </w:r>
        <w:r w:rsidRPr="000B19E9">
          <w:rPr>
            <w:noProof/>
            <w:webHidden/>
          </w:rPr>
          <w:instrText xml:space="preserve"> PAGEREF _Toc178846344 \h </w:instrText>
        </w:r>
        <w:r w:rsidRPr="000B19E9">
          <w:rPr>
            <w:noProof/>
            <w:webHidden/>
          </w:rPr>
        </w:r>
        <w:r w:rsidRPr="000B19E9">
          <w:rPr>
            <w:noProof/>
            <w:webHidden/>
          </w:rPr>
          <w:fldChar w:fldCharType="separate"/>
        </w:r>
        <w:r w:rsidR="00A654D8">
          <w:rPr>
            <w:noProof/>
            <w:webHidden/>
          </w:rPr>
          <w:t>17</w:t>
        </w:r>
        <w:r w:rsidRPr="000B19E9">
          <w:rPr>
            <w:noProof/>
            <w:webHidden/>
          </w:rPr>
          <w:fldChar w:fldCharType="end"/>
        </w:r>
      </w:hyperlink>
    </w:p>
    <w:p w14:paraId="45305BDB" w14:textId="1DDB88CC"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45" w:history="1">
        <w:r w:rsidRPr="000B19E9">
          <w:rPr>
            <w:rStyle w:val="Hipercze"/>
            <w:noProof/>
          </w:rPr>
          <w:t>Rysunek 3. Specyficzne zagrożenia miejskie związane ze zmianami klimatu.</w:t>
        </w:r>
        <w:r w:rsidRPr="000B19E9">
          <w:rPr>
            <w:noProof/>
            <w:webHidden/>
          </w:rPr>
          <w:tab/>
        </w:r>
        <w:r w:rsidRPr="000B19E9">
          <w:rPr>
            <w:noProof/>
            <w:webHidden/>
          </w:rPr>
          <w:fldChar w:fldCharType="begin"/>
        </w:r>
        <w:r w:rsidRPr="000B19E9">
          <w:rPr>
            <w:noProof/>
            <w:webHidden/>
          </w:rPr>
          <w:instrText xml:space="preserve"> PAGEREF _Toc178846345 \h </w:instrText>
        </w:r>
        <w:r w:rsidRPr="000B19E9">
          <w:rPr>
            <w:noProof/>
            <w:webHidden/>
          </w:rPr>
        </w:r>
        <w:r w:rsidRPr="000B19E9">
          <w:rPr>
            <w:noProof/>
            <w:webHidden/>
          </w:rPr>
          <w:fldChar w:fldCharType="separate"/>
        </w:r>
        <w:r w:rsidR="00A654D8">
          <w:rPr>
            <w:noProof/>
            <w:webHidden/>
          </w:rPr>
          <w:t>20</w:t>
        </w:r>
        <w:r w:rsidRPr="000B19E9">
          <w:rPr>
            <w:noProof/>
            <w:webHidden/>
          </w:rPr>
          <w:fldChar w:fldCharType="end"/>
        </w:r>
      </w:hyperlink>
    </w:p>
    <w:p w14:paraId="6B40C33D" w14:textId="646EB330"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46" w:history="1">
        <w:r w:rsidRPr="000B19E9">
          <w:rPr>
            <w:rStyle w:val="Hipercze"/>
            <w:rFonts w:cstheme="minorHAnsi"/>
            <w:noProof/>
            <w:lang w:eastAsia="pl-PL"/>
          </w:rPr>
          <w:t>Rysunek 4. Położenie Miasta Tarnogród.</w:t>
        </w:r>
        <w:r w:rsidRPr="000B19E9">
          <w:rPr>
            <w:noProof/>
            <w:webHidden/>
          </w:rPr>
          <w:tab/>
        </w:r>
        <w:r w:rsidRPr="000B19E9">
          <w:rPr>
            <w:noProof/>
            <w:webHidden/>
          </w:rPr>
          <w:fldChar w:fldCharType="begin"/>
        </w:r>
        <w:r w:rsidRPr="000B19E9">
          <w:rPr>
            <w:noProof/>
            <w:webHidden/>
          </w:rPr>
          <w:instrText xml:space="preserve"> PAGEREF _Toc178846346 \h </w:instrText>
        </w:r>
        <w:r w:rsidRPr="000B19E9">
          <w:rPr>
            <w:noProof/>
            <w:webHidden/>
          </w:rPr>
        </w:r>
        <w:r w:rsidRPr="000B19E9">
          <w:rPr>
            <w:noProof/>
            <w:webHidden/>
          </w:rPr>
          <w:fldChar w:fldCharType="separate"/>
        </w:r>
        <w:r w:rsidR="00A654D8">
          <w:rPr>
            <w:noProof/>
            <w:webHidden/>
          </w:rPr>
          <w:t>25</w:t>
        </w:r>
        <w:r w:rsidRPr="000B19E9">
          <w:rPr>
            <w:noProof/>
            <w:webHidden/>
          </w:rPr>
          <w:fldChar w:fldCharType="end"/>
        </w:r>
      </w:hyperlink>
    </w:p>
    <w:p w14:paraId="2E8EDD78" w14:textId="0D665BB8"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47" w:history="1">
        <w:r w:rsidRPr="000B19E9">
          <w:rPr>
            <w:rStyle w:val="Hipercze"/>
            <w:noProof/>
          </w:rPr>
          <w:t>Rysunek 5. Położenie Miasta Tarnogród – gminy sąsiednie.</w:t>
        </w:r>
        <w:r w:rsidRPr="000B19E9">
          <w:rPr>
            <w:noProof/>
            <w:webHidden/>
          </w:rPr>
          <w:tab/>
        </w:r>
        <w:r w:rsidRPr="000B19E9">
          <w:rPr>
            <w:noProof/>
            <w:webHidden/>
          </w:rPr>
          <w:fldChar w:fldCharType="begin"/>
        </w:r>
        <w:r w:rsidRPr="000B19E9">
          <w:rPr>
            <w:noProof/>
            <w:webHidden/>
          </w:rPr>
          <w:instrText xml:space="preserve"> PAGEREF _Toc178846347 \h </w:instrText>
        </w:r>
        <w:r w:rsidRPr="000B19E9">
          <w:rPr>
            <w:noProof/>
            <w:webHidden/>
          </w:rPr>
        </w:r>
        <w:r w:rsidRPr="000B19E9">
          <w:rPr>
            <w:noProof/>
            <w:webHidden/>
          </w:rPr>
          <w:fldChar w:fldCharType="separate"/>
        </w:r>
        <w:r w:rsidR="00A654D8">
          <w:rPr>
            <w:noProof/>
            <w:webHidden/>
          </w:rPr>
          <w:t>26</w:t>
        </w:r>
        <w:r w:rsidRPr="000B19E9">
          <w:rPr>
            <w:noProof/>
            <w:webHidden/>
          </w:rPr>
          <w:fldChar w:fldCharType="end"/>
        </w:r>
      </w:hyperlink>
    </w:p>
    <w:p w14:paraId="39D3040F" w14:textId="6DF024DD"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48" w:history="1">
        <w:r w:rsidRPr="000B19E9">
          <w:rPr>
            <w:rStyle w:val="Hipercze"/>
            <w:noProof/>
          </w:rPr>
          <w:t>Rysunek 6. Ilość ludności wg płci.</w:t>
        </w:r>
        <w:r w:rsidRPr="000B19E9">
          <w:rPr>
            <w:noProof/>
            <w:webHidden/>
          </w:rPr>
          <w:tab/>
        </w:r>
        <w:r w:rsidRPr="000B19E9">
          <w:rPr>
            <w:noProof/>
            <w:webHidden/>
          </w:rPr>
          <w:fldChar w:fldCharType="begin"/>
        </w:r>
        <w:r w:rsidRPr="000B19E9">
          <w:rPr>
            <w:noProof/>
            <w:webHidden/>
          </w:rPr>
          <w:instrText xml:space="preserve"> PAGEREF _Toc178846348 \h </w:instrText>
        </w:r>
        <w:r w:rsidRPr="000B19E9">
          <w:rPr>
            <w:noProof/>
            <w:webHidden/>
          </w:rPr>
        </w:r>
        <w:r w:rsidRPr="000B19E9">
          <w:rPr>
            <w:noProof/>
            <w:webHidden/>
          </w:rPr>
          <w:fldChar w:fldCharType="separate"/>
        </w:r>
        <w:r w:rsidR="00A654D8">
          <w:rPr>
            <w:noProof/>
            <w:webHidden/>
          </w:rPr>
          <w:t>28</w:t>
        </w:r>
        <w:r w:rsidRPr="000B19E9">
          <w:rPr>
            <w:noProof/>
            <w:webHidden/>
          </w:rPr>
          <w:fldChar w:fldCharType="end"/>
        </w:r>
      </w:hyperlink>
    </w:p>
    <w:p w14:paraId="6F4F8784" w14:textId="4B499906"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49" w:history="1">
        <w:r w:rsidRPr="000B19E9">
          <w:rPr>
            <w:rStyle w:val="Hipercze"/>
            <w:noProof/>
          </w:rPr>
          <w:t>Rysunek 7. Udział ludności wg ekonomicznych grup wieku w procencie ludności ogółem.</w:t>
        </w:r>
        <w:r w:rsidRPr="000B19E9">
          <w:rPr>
            <w:noProof/>
            <w:webHidden/>
          </w:rPr>
          <w:tab/>
        </w:r>
        <w:r w:rsidRPr="000B19E9">
          <w:rPr>
            <w:noProof/>
            <w:webHidden/>
          </w:rPr>
          <w:fldChar w:fldCharType="begin"/>
        </w:r>
        <w:r w:rsidRPr="000B19E9">
          <w:rPr>
            <w:noProof/>
            <w:webHidden/>
          </w:rPr>
          <w:instrText xml:space="preserve"> PAGEREF _Toc178846349 \h </w:instrText>
        </w:r>
        <w:r w:rsidRPr="000B19E9">
          <w:rPr>
            <w:noProof/>
            <w:webHidden/>
          </w:rPr>
        </w:r>
        <w:r w:rsidRPr="000B19E9">
          <w:rPr>
            <w:noProof/>
            <w:webHidden/>
          </w:rPr>
          <w:fldChar w:fldCharType="separate"/>
        </w:r>
        <w:r w:rsidR="00A654D8">
          <w:rPr>
            <w:noProof/>
            <w:webHidden/>
          </w:rPr>
          <w:t>28</w:t>
        </w:r>
        <w:r w:rsidRPr="000B19E9">
          <w:rPr>
            <w:noProof/>
            <w:webHidden/>
          </w:rPr>
          <w:fldChar w:fldCharType="end"/>
        </w:r>
      </w:hyperlink>
    </w:p>
    <w:p w14:paraId="590ECB83" w14:textId="10FD2D01"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50" w:history="1">
        <w:r w:rsidRPr="000B19E9">
          <w:rPr>
            <w:rStyle w:val="Hipercze"/>
            <w:noProof/>
          </w:rPr>
          <w:t xml:space="preserve">Rysunek 8. </w:t>
        </w:r>
        <w:r w:rsidRPr="000B19E9">
          <w:rPr>
            <w:rStyle w:val="Hipercze"/>
            <w:noProof/>
            <w:shd w:val="clear" w:color="auto" w:fill="FDFDFD"/>
          </w:rPr>
          <w:t xml:space="preserve">Prognoza </w:t>
        </w:r>
        <w:r w:rsidRPr="000B19E9">
          <w:rPr>
            <w:rStyle w:val="Hipercze"/>
            <w:noProof/>
          </w:rPr>
          <w:t xml:space="preserve">udziału ludności wg ekonomicznych grup wieku w procencie ludności ogółem </w:t>
        </w:r>
        <w:r w:rsidRPr="000B19E9">
          <w:rPr>
            <w:rStyle w:val="Hipercze"/>
            <w:noProof/>
            <w:shd w:val="clear" w:color="auto" w:fill="FDFDFD"/>
          </w:rPr>
          <w:t>ludności Miasta Tarnogród na lata 2023-2033.</w:t>
        </w:r>
        <w:r w:rsidRPr="000B19E9">
          <w:rPr>
            <w:noProof/>
            <w:webHidden/>
          </w:rPr>
          <w:tab/>
        </w:r>
        <w:r w:rsidRPr="000B19E9">
          <w:rPr>
            <w:noProof/>
            <w:webHidden/>
          </w:rPr>
          <w:fldChar w:fldCharType="begin"/>
        </w:r>
        <w:r w:rsidRPr="000B19E9">
          <w:rPr>
            <w:noProof/>
            <w:webHidden/>
          </w:rPr>
          <w:instrText xml:space="preserve"> PAGEREF _Toc178846350 \h </w:instrText>
        </w:r>
        <w:r w:rsidRPr="000B19E9">
          <w:rPr>
            <w:noProof/>
            <w:webHidden/>
          </w:rPr>
        </w:r>
        <w:r w:rsidRPr="000B19E9">
          <w:rPr>
            <w:noProof/>
            <w:webHidden/>
          </w:rPr>
          <w:fldChar w:fldCharType="separate"/>
        </w:r>
        <w:r w:rsidR="00A654D8">
          <w:rPr>
            <w:noProof/>
            <w:webHidden/>
          </w:rPr>
          <w:t>29</w:t>
        </w:r>
        <w:r w:rsidRPr="000B19E9">
          <w:rPr>
            <w:noProof/>
            <w:webHidden/>
          </w:rPr>
          <w:fldChar w:fldCharType="end"/>
        </w:r>
      </w:hyperlink>
    </w:p>
    <w:p w14:paraId="27A24479" w14:textId="2B1D9322"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51" w:history="1">
        <w:r w:rsidRPr="000B19E9">
          <w:rPr>
            <w:rStyle w:val="Hipercze"/>
            <w:noProof/>
          </w:rPr>
          <w:t>Rysunek 9. Saldo migracji, urodzenia oraz zgony w latach 2013-2022 (dla roku 2015 brak danych na BDL GUS z zakresu salda migracji).</w:t>
        </w:r>
        <w:r w:rsidRPr="000B19E9">
          <w:rPr>
            <w:noProof/>
            <w:webHidden/>
          </w:rPr>
          <w:tab/>
        </w:r>
        <w:r w:rsidRPr="000B19E9">
          <w:rPr>
            <w:noProof/>
            <w:webHidden/>
          </w:rPr>
          <w:fldChar w:fldCharType="begin"/>
        </w:r>
        <w:r w:rsidRPr="000B19E9">
          <w:rPr>
            <w:noProof/>
            <w:webHidden/>
          </w:rPr>
          <w:instrText xml:space="preserve"> PAGEREF _Toc178846351 \h </w:instrText>
        </w:r>
        <w:r w:rsidRPr="000B19E9">
          <w:rPr>
            <w:noProof/>
            <w:webHidden/>
          </w:rPr>
        </w:r>
        <w:r w:rsidRPr="000B19E9">
          <w:rPr>
            <w:noProof/>
            <w:webHidden/>
          </w:rPr>
          <w:fldChar w:fldCharType="separate"/>
        </w:r>
        <w:r w:rsidR="00A654D8">
          <w:rPr>
            <w:noProof/>
            <w:webHidden/>
          </w:rPr>
          <w:t>30</w:t>
        </w:r>
        <w:r w:rsidRPr="000B19E9">
          <w:rPr>
            <w:noProof/>
            <w:webHidden/>
          </w:rPr>
          <w:fldChar w:fldCharType="end"/>
        </w:r>
      </w:hyperlink>
    </w:p>
    <w:p w14:paraId="17298E4E" w14:textId="741CC2CF"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52" w:history="1">
        <w:r w:rsidRPr="000B19E9">
          <w:rPr>
            <w:rStyle w:val="Hipercze"/>
            <w:noProof/>
          </w:rPr>
          <w:t>Rysunek 10. Ilość osób pracujących w latach 2013-2021 według płci (dana dla 2022 niedostępna).</w:t>
        </w:r>
        <w:r w:rsidRPr="000B19E9">
          <w:rPr>
            <w:noProof/>
            <w:webHidden/>
          </w:rPr>
          <w:tab/>
        </w:r>
        <w:r w:rsidRPr="000B19E9">
          <w:rPr>
            <w:noProof/>
            <w:webHidden/>
          </w:rPr>
          <w:fldChar w:fldCharType="begin"/>
        </w:r>
        <w:r w:rsidRPr="000B19E9">
          <w:rPr>
            <w:noProof/>
            <w:webHidden/>
          </w:rPr>
          <w:instrText xml:space="preserve"> PAGEREF _Toc178846352 \h </w:instrText>
        </w:r>
        <w:r w:rsidRPr="000B19E9">
          <w:rPr>
            <w:noProof/>
            <w:webHidden/>
          </w:rPr>
        </w:r>
        <w:r w:rsidRPr="000B19E9">
          <w:rPr>
            <w:noProof/>
            <w:webHidden/>
          </w:rPr>
          <w:fldChar w:fldCharType="separate"/>
        </w:r>
        <w:r w:rsidR="00A654D8">
          <w:rPr>
            <w:noProof/>
            <w:webHidden/>
          </w:rPr>
          <w:t>30</w:t>
        </w:r>
        <w:r w:rsidRPr="000B19E9">
          <w:rPr>
            <w:noProof/>
            <w:webHidden/>
          </w:rPr>
          <w:fldChar w:fldCharType="end"/>
        </w:r>
      </w:hyperlink>
    </w:p>
    <w:p w14:paraId="30451097" w14:textId="27A63895"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53" w:history="1">
        <w:r w:rsidRPr="000B19E9">
          <w:rPr>
            <w:rStyle w:val="Hipercze"/>
            <w:noProof/>
          </w:rPr>
          <w:t>Rysunek 11. Ilość osób bezrobotnych w latach 2019-2023 według płci.</w:t>
        </w:r>
        <w:r w:rsidRPr="000B19E9">
          <w:rPr>
            <w:noProof/>
            <w:webHidden/>
          </w:rPr>
          <w:tab/>
        </w:r>
        <w:r w:rsidRPr="000B19E9">
          <w:rPr>
            <w:noProof/>
            <w:webHidden/>
          </w:rPr>
          <w:fldChar w:fldCharType="begin"/>
        </w:r>
        <w:r w:rsidRPr="000B19E9">
          <w:rPr>
            <w:noProof/>
            <w:webHidden/>
          </w:rPr>
          <w:instrText xml:space="preserve"> PAGEREF _Toc178846353 \h </w:instrText>
        </w:r>
        <w:r w:rsidRPr="000B19E9">
          <w:rPr>
            <w:noProof/>
            <w:webHidden/>
          </w:rPr>
        </w:r>
        <w:r w:rsidRPr="000B19E9">
          <w:rPr>
            <w:noProof/>
            <w:webHidden/>
          </w:rPr>
          <w:fldChar w:fldCharType="separate"/>
        </w:r>
        <w:r w:rsidR="00A654D8">
          <w:rPr>
            <w:noProof/>
            <w:webHidden/>
          </w:rPr>
          <w:t>31</w:t>
        </w:r>
        <w:r w:rsidRPr="000B19E9">
          <w:rPr>
            <w:noProof/>
            <w:webHidden/>
          </w:rPr>
          <w:fldChar w:fldCharType="end"/>
        </w:r>
      </w:hyperlink>
    </w:p>
    <w:p w14:paraId="649A4AEB" w14:textId="4D3712A8"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54" w:history="1">
        <w:r w:rsidRPr="000B19E9">
          <w:rPr>
            <w:rStyle w:val="Hipercze"/>
            <w:noProof/>
          </w:rPr>
          <w:t>Rysunek 12. Podmioty nowo zarejestrowane wg grup sekcji w latach 2013 – 2022.</w:t>
        </w:r>
        <w:r w:rsidRPr="000B19E9">
          <w:rPr>
            <w:noProof/>
            <w:webHidden/>
          </w:rPr>
          <w:tab/>
        </w:r>
        <w:r w:rsidRPr="000B19E9">
          <w:rPr>
            <w:noProof/>
            <w:webHidden/>
          </w:rPr>
          <w:fldChar w:fldCharType="begin"/>
        </w:r>
        <w:r w:rsidRPr="000B19E9">
          <w:rPr>
            <w:noProof/>
            <w:webHidden/>
          </w:rPr>
          <w:instrText xml:space="preserve"> PAGEREF _Toc178846354 \h </w:instrText>
        </w:r>
        <w:r w:rsidRPr="000B19E9">
          <w:rPr>
            <w:noProof/>
            <w:webHidden/>
          </w:rPr>
        </w:r>
        <w:r w:rsidRPr="000B19E9">
          <w:rPr>
            <w:noProof/>
            <w:webHidden/>
          </w:rPr>
          <w:fldChar w:fldCharType="separate"/>
        </w:r>
        <w:r w:rsidR="00A654D8">
          <w:rPr>
            <w:noProof/>
            <w:webHidden/>
          </w:rPr>
          <w:t>32</w:t>
        </w:r>
        <w:r w:rsidRPr="000B19E9">
          <w:rPr>
            <w:noProof/>
            <w:webHidden/>
          </w:rPr>
          <w:fldChar w:fldCharType="end"/>
        </w:r>
      </w:hyperlink>
    </w:p>
    <w:p w14:paraId="0E38FFF4" w14:textId="5612CE08"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55" w:history="1">
        <w:r w:rsidRPr="000B19E9">
          <w:rPr>
            <w:rStyle w:val="Hipercze"/>
            <w:noProof/>
          </w:rPr>
          <w:t>Rysunek 13. Podmioty wg sekcji PKD 2007 w roku 2022.</w:t>
        </w:r>
        <w:r w:rsidRPr="000B19E9">
          <w:rPr>
            <w:noProof/>
            <w:webHidden/>
          </w:rPr>
          <w:tab/>
        </w:r>
        <w:r w:rsidRPr="000B19E9">
          <w:rPr>
            <w:noProof/>
            <w:webHidden/>
          </w:rPr>
          <w:fldChar w:fldCharType="begin"/>
        </w:r>
        <w:r w:rsidRPr="000B19E9">
          <w:rPr>
            <w:noProof/>
            <w:webHidden/>
          </w:rPr>
          <w:instrText xml:space="preserve"> PAGEREF _Toc178846355 \h </w:instrText>
        </w:r>
        <w:r w:rsidRPr="000B19E9">
          <w:rPr>
            <w:noProof/>
            <w:webHidden/>
          </w:rPr>
        </w:r>
        <w:r w:rsidRPr="000B19E9">
          <w:rPr>
            <w:noProof/>
            <w:webHidden/>
          </w:rPr>
          <w:fldChar w:fldCharType="separate"/>
        </w:r>
        <w:r w:rsidR="00A654D8">
          <w:rPr>
            <w:noProof/>
            <w:webHidden/>
          </w:rPr>
          <w:t>32</w:t>
        </w:r>
        <w:r w:rsidRPr="000B19E9">
          <w:rPr>
            <w:noProof/>
            <w:webHidden/>
          </w:rPr>
          <w:fldChar w:fldCharType="end"/>
        </w:r>
      </w:hyperlink>
    </w:p>
    <w:p w14:paraId="3BBFDA4E" w14:textId="30F08803"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56" w:history="1">
        <w:r w:rsidRPr="000B19E9">
          <w:rPr>
            <w:rStyle w:val="Hipercze"/>
            <w:noProof/>
          </w:rPr>
          <w:t>Rysunek 14. Dochody i wydatki na 1 mieszkańca (dane dla gminy Tarnogród).</w:t>
        </w:r>
        <w:r w:rsidRPr="000B19E9">
          <w:rPr>
            <w:noProof/>
            <w:webHidden/>
          </w:rPr>
          <w:tab/>
        </w:r>
        <w:r w:rsidRPr="000B19E9">
          <w:rPr>
            <w:noProof/>
            <w:webHidden/>
          </w:rPr>
          <w:fldChar w:fldCharType="begin"/>
        </w:r>
        <w:r w:rsidRPr="000B19E9">
          <w:rPr>
            <w:noProof/>
            <w:webHidden/>
          </w:rPr>
          <w:instrText xml:space="preserve"> PAGEREF _Toc178846356 \h </w:instrText>
        </w:r>
        <w:r w:rsidRPr="000B19E9">
          <w:rPr>
            <w:noProof/>
            <w:webHidden/>
          </w:rPr>
        </w:r>
        <w:r w:rsidRPr="000B19E9">
          <w:rPr>
            <w:noProof/>
            <w:webHidden/>
          </w:rPr>
          <w:fldChar w:fldCharType="separate"/>
        </w:r>
        <w:r w:rsidR="00A654D8">
          <w:rPr>
            <w:noProof/>
            <w:webHidden/>
          </w:rPr>
          <w:t>34</w:t>
        </w:r>
        <w:r w:rsidRPr="000B19E9">
          <w:rPr>
            <w:noProof/>
            <w:webHidden/>
          </w:rPr>
          <w:fldChar w:fldCharType="end"/>
        </w:r>
      </w:hyperlink>
    </w:p>
    <w:p w14:paraId="4A26B1AF" w14:textId="60DAC847"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57" w:history="1">
        <w:r w:rsidRPr="000B19E9">
          <w:rPr>
            <w:rStyle w:val="Hipercze"/>
            <w:noProof/>
          </w:rPr>
          <w:t>Rysunek 15. Wydatki na wybrane działy (dane dla gminy Tarnogród).</w:t>
        </w:r>
        <w:r w:rsidRPr="000B19E9">
          <w:rPr>
            <w:noProof/>
            <w:webHidden/>
          </w:rPr>
          <w:tab/>
        </w:r>
        <w:r w:rsidRPr="000B19E9">
          <w:rPr>
            <w:noProof/>
            <w:webHidden/>
          </w:rPr>
          <w:fldChar w:fldCharType="begin"/>
        </w:r>
        <w:r w:rsidRPr="000B19E9">
          <w:rPr>
            <w:noProof/>
            <w:webHidden/>
          </w:rPr>
          <w:instrText xml:space="preserve"> PAGEREF _Toc178846357 \h </w:instrText>
        </w:r>
        <w:r w:rsidRPr="000B19E9">
          <w:rPr>
            <w:noProof/>
            <w:webHidden/>
          </w:rPr>
        </w:r>
        <w:r w:rsidRPr="000B19E9">
          <w:rPr>
            <w:noProof/>
            <w:webHidden/>
          </w:rPr>
          <w:fldChar w:fldCharType="separate"/>
        </w:r>
        <w:r w:rsidR="00A654D8">
          <w:rPr>
            <w:noProof/>
            <w:webHidden/>
          </w:rPr>
          <w:t>35</w:t>
        </w:r>
        <w:r w:rsidRPr="000B19E9">
          <w:rPr>
            <w:noProof/>
            <w:webHidden/>
          </w:rPr>
          <w:fldChar w:fldCharType="end"/>
        </w:r>
      </w:hyperlink>
    </w:p>
    <w:p w14:paraId="497B6E20" w14:textId="3D02F77A"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58" w:history="1">
        <w:r w:rsidRPr="000B19E9">
          <w:rPr>
            <w:rStyle w:val="Hipercze"/>
            <w:noProof/>
          </w:rPr>
          <w:t>Rysunek 16. Fundacje, stowarzyszenia i organizacje społeczne na 1000 mieszkańców.</w:t>
        </w:r>
        <w:r w:rsidRPr="000B19E9">
          <w:rPr>
            <w:noProof/>
            <w:webHidden/>
          </w:rPr>
          <w:tab/>
        </w:r>
        <w:r w:rsidRPr="000B19E9">
          <w:rPr>
            <w:noProof/>
            <w:webHidden/>
          </w:rPr>
          <w:fldChar w:fldCharType="begin"/>
        </w:r>
        <w:r w:rsidRPr="000B19E9">
          <w:rPr>
            <w:noProof/>
            <w:webHidden/>
          </w:rPr>
          <w:instrText xml:space="preserve"> PAGEREF _Toc178846358 \h </w:instrText>
        </w:r>
        <w:r w:rsidRPr="000B19E9">
          <w:rPr>
            <w:noProof/>
            <w:webHidden/>
          </w:rPr>
        </w:r>
        <w:r w:rsidRPr="000B19E9">
          <w:rPr>
            <w:noProof/>
            <w:webHidden/>
          </w:rPr>
          <w:fldChar w:fldCharType="separate"/>
        </w:r>
        <w:r w:rsidR="00A654D8">
          <w:rPr>
            <w:noProof/>
            <w:webHidden/>
          </w:rPr>
          <w:t>35</w:t>
        </w:r>
        <w:r w:rsidRPr="000B19E9">
          <w:rPr>
            <w:noProof/>
            <w:webHidden/>
          </w:rPr>
          <w:fldChar w:fldCharType="end"/>
        </w:r>
      </w:hyperlink>
    </w:p>
    <w:p w14:paraId="1F3C9C84" w14:textId="71C1C63B"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59" w:history="1">
        <w:r w:rsidRPr="000B19E9">
          <w:rPr>
            <w:rStyle w:val="Hipercze"/>
            <w:noProof/>
          </w:rPr>
          <w:t>Rysunek 17. Porady lekarskie oraz przychodnie.</w:t>
        </w:r>
        <w:r w:rsidRPr="000B19E9">
          <w:rPr>
            <w:noProof/>
            <w:webHidden/>
          </w:rPr>
          <w:tab/>
        </w:r>
        <w:r w:rsidRPr="000B19E9">
          <w:rPr>
            <w:noProof/>
            <w:webHidden/>
          </w:rPr>
          <w:fldChar w:fldCharType="begin"/>
        </w:r>
        <w:r w:rsidRPr="000B19E9">
          <w:rPr>
            <w:noProof/>
            <w:webHidden/>
          </w:rPr>
          <w:instrText xml:space="preserve"> PAGEREF _Toc178846359 \h </w:instrText>
        </w:r>
        <w:r w:rsidRPr="000B19E9">
          <w:rPr>
            <w:noProof/>
            <w:webHidden/>
          </w:rPr>
        </w:r>
        <w:r w:rsidRPr="000B19E9">
          <w:rPr>
            <w:noProof/>
            <w:webHidden/>
          </w:rPr>
          <w:fldChar w:fldCharType="separate"/>
        </w:r>
        <w:r w:rsidR="00A654D8">
          <w:rPr>
            <w:noProof/>
            <w:webHidden/>
          </w:rPr>
          <w:t>36</w:t>
        </w:r>
        <w:r w:rsidRPr="000B19E9">
          <w:rPr>
            <w:noProof/>
            <w:webHidden/>
          </w:rPr>
          <w:fldChar w:fldCharType="end"/>
        </w:r>
      </w:hyperlink>
    </w:p>
    <w:p w14:paraId="734D3417" w14:textId="4AEEE8EC"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60" w:history="1">
        <w:r w:rsidRPr="000B19E9">
          <w:rPr>
            <w:rStyle w:val="Hipercze"/>
            <w:noProof/>
          </w:rPr>
          <w:t>Rysunek 18. Woda z wodociągów na 1 korzystającego i na 1 mieszkańca w latach 2013-2022.</w:t>
        </w:r>
        <w:r w:rsidRPr="000B19E9">
          <w:rPr>
            <w:noProof/>
            <w:webHidden/>
          </w:rPr>
          <w:tab/>
        </w:r>
        <w:r w:rsidRPr="000B19E9">
          <w:rPr>
            <w:noProof/>
            <w:webHidden/>
          </w:rPr>
          <w:fldChar w:fldCharType="begin"/>
        </w:r>
        <w:r w:rsidRPr="000B19E9">
          <w:rPr>
            <w:noProof/>
            <w:webHidden/>
          </w:rPr>
          <w:instrText xml:space="preserve"> PAGEREF _Toc178846360 \h </w:instrText>
        </w:r>
        <w:r w:rsidRPr="000B19E9">
          <w:rPr>
            <w:noProof/>
            <w:webHidden/>
          </w:rPr>
        </w:r>
        <w:r w:rsidRPr="000B19E9">
          <w:rPr>
            <w:noProof/>
            <w:webHidden/>
          </w:rPr>
          <w:fldChar w:fldCharType="separate"/>
        </w:r>
        <w:r w:rsidR="00A654D8">
          <w:rPr>
            <w:noProof/>
            <w:webHidden/>
          </w:rPr>
          <w:t>39</w:t>
        </w:r>
        <w:r w:rsidRPr="000B19E9">
          <w:rPr>
            <w:noProof/>
            <w:webHidden/>
          </w:rPr>
          <w:fldChar w:fldCharType="end"/>
        </w:r>
      </w:hyperlink>
    </w:p>
    <w:p w14:paraId="73D442C6" w14:textId="75397EB7"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61" w:history="1">
        <w:r w:rsidRPr="000B19E9">
          <w:rPr>
            <w:rStyle w:val="Hipercze"/>
            <w:noProof/>
          </w:rPr>
          <w:t>Rysunek 19. Awarie sieci wodociągowej.</w:t>
        </w:r>
        <w:r w:rsidRPr="000B19E9">
          <w:rPr>
            <w:noProof/>
            <w:webHidden/>
          </w:rPr>
          <w:tab/>
        </w:r>
        <w:r w:rsidRPr="000B19E9">
          <w:rPr>
            <w:noProof/>
            <w:webHidden/>
          </w:rPr>
          <w:fldChar w:fldCharType="begin"/>
        </w:r>
        <w:r w:rsidRPr="000B19E9">
          <w:rPr>
            <w:noProof/>
            <w:webHidden/>
          </w:rPr>
          <w:instrText xml:space="preserve"> PAGEREF _Toc178846361 \h </w:instrText>
        </w:r>
        <w:r w:rsidRPr="000B19E9">
          <w:rPr>
            <w:noProof/>
            <w:webHidden/>
          </w:rPr>
        </w:r>
        <w:r w:rsidRPr="000B19E9">
          <w:rPr>
            <w:noProof/>
            <w:webHidden/>
          </w:rPr>
          <w:fldChar w:fldCharType="separate"/>
        </w:r>
        <w:r w:rsidR="00A654D8">
          <w:rPr>
            <w:noProof/>
            <w:webHidden/>
          </w:rPr>
          <w:t>40</w:t>
        </w:r>
        <w:r w:rsidRPr="000B19E9">
          <w:rPr>
            <w:noProof/>
            <w:webHidden/>
          </w:rPr>
          <w:fldChar w:fldCharType="end"/>
        </w:r>
      </w:hyperlink>
    </w:p>
    <w:p w14:paraId="31129FD7" w14:textId="74C0AF7F"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62" w:history="1">
        <w:r w:rsidRPr="000B19E9">
          <w:rPr>
            <w:rStyle w:val="Hipercze"/>
            <w:noProof/>
          </w:rPr>
          <w:t>Rysunek 20. Infrastruktura wodna na terenie Miasta Tarnogród.</w:t>
        </w:r>
        <w:r w:rsidRPr="000B19E9">
          <w:rPr>
            <w:noProof/>
            <w:webHidden/>
          </w:rPr>
          <w:tab/>
        </w:r>
        <w:r w:rsidRPr="000B19E9">
          <w:rPr>
            <w:noProof/>
            <w:webHidden/>
          </w:rPr>
          <w:fldChar w:fldCharType="begin"/>
        </w:r>
        <w:r w:rsidRPr="000B19E9">
          <w:rPr>
            <w:noProof/>
            <w:webHidden/>
          </w:rPr>
          <w:instrText xml:space="preserve"> PAGEREF _Toc178846362 \h </w:instrText>
        </w:r>
        <w:r w:rsidRPr="000B19E9">
          <w:rPr>
            <w:noProof/>
            <w:webHidden/>
          </w:rPr>
        </w:r>
        <w:r w:rsidRPr="000B19E9">
          <w:rPr>
            <w:noProof/>
            <w:webHidden/>
          </w:rPr>
          <w:fldChar w:fldCharType="separate"/>
        </w:r>
        <w:r w:rsidR="00A654D8">
          <w:rPr>
            <w:noProof/>
            <w:webHidden/>
          </w:rPr>
          <w:t>40</w:t>
        </w:r>
        <w:r w:rsidRPr="000B19E9">
          <w:rPr>
            <w:noProof/>
            <w:webHidden/>
          </w:rPr>
          <w:fldChar w:fldCharType="end"/>
        </w:r>
      </w:hyperlink>
    </w:p>
    <w:p w14:paraId="328AC2F6" w14:textId="333B5802"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63" w:history="1">
        <w:r w:rsidRPr="000B19E9">
          <w:rPr>
            <w:rStyle w:val="Hipercze"/>
            <w:rFonts w:cstheme="minorHAnsi"/>
            <w:noProof/>
            <w:lang w:eastAsia="pl-PL"/>
          </w:rPr>
          <w:t>Rysunek 21. Ścieki odprowadzane oraz ludność korzystająca z sieci kanalizacyjnej.</w:t>
        </w:r>
        <w:r w:rsidRPr="000B19E9">
          <w:rPr>
            <w:noProof/>
            <w:webHidden/>
          </w:rPr>
          <w:tab/>
        </w:r>
        <w:r w:rsidRPr="000B19E9">
          <w:rPr>
            <w:noProof/>
            <w:webHidden/>
          </w:rPr>
          <w:fldChar w:fldCharType="begin"/>
        </w:r>
        <w:r w:rsidRPr="000B19E9">
          <w:rPr>
            <w:noProof/>
            <w:webHidden/>
          </w:rPr>
          <w:instrText xml:space="preserve"> PAGEREF _Toc178846363 \h </w:instrText>
        </w:r>
        <w:r w:rsidRPr="000B19E9">
          <w:rPr>
            <w:noProof/>
            <w:webHidden/>
          </w:rPr>
        </w:r>
        <w:r w:rsidRPr="000B19E9">
          <w:rPr>
            <w:noProof/>
            <w:webHidden/>
          </w:rPr>
          <w:fldChar w:fldCharType="separate"/>
        </w:r>
        <w:r w:rsidR="00A654D8">
          <w:rPr>
            <w:noProof/>
            <w:webHidden/>
          </w:rPr>
          <w:t>41</w:t>
        </w:r>
        <w:r w:rsidRPr="000B19E9">
          <w:rPr>
            <w:noProof/>
            <w:webHidden/>
          </w:rPr>
          <w:fldChar w:fldCharType="end"/>
        </w:r>
      </w:hyperlink>
    </w:p>
    <w:p w14:paraId="106638A1" w14:textId="11FE2ACB"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64" w:history="1">
        <w:r w:rsidRPr="000B19E9">
          <w:rPr>
            <w:rStyle w:val="Hipercze"/>
            <w:noProof/>
          </w:rPr>
          <w:t>Rysunek 22. Zużycie gazu na jednego korzystającego (brak danych dla 2020 roku).</w:t>
        </w:r>
        <w:r w:rsidRPr="000B19E9">
          <w:rPr>
            <w:noProof/>
            <w:webHidden/>
          </w:rPr>
          <w:tab/>
        </w:r>
        <w:r w:rsidRPr="000B19E9">
          <w:rPr>
            <w:noProof/>
            <w:webHidden/>
          </w:rPr>
          <w:fldChar w:fldCharType="begin"/>
        </w:r>
        <w:r w:rsidRPr="000B19E9">
          <w:rPr>
            <w:noProof/>
            <w:webHidden/>
          </w:rPr>
          <w:instrText xml:space="preserve"> PAGEREF _Toc178846364 \h </w:instrText>
        </w:r>
        <w:r w:rsidRPr="000B19E9">
          <w:rPr>
            <w:noProof/>
            <w:webHidden/>
          </w:rPr>
        </w:r>
        <w:r w:rsidRPr="000B19E9">
          <w:rPr>
            <w:noProof/>
            <w:webHidden/>
          </w:rPr>
          <w:fldChar w:fldCharType="separate"/>
        </w:r>
        <w:r w:rsidR="00A654D8">
          <w:rPr>
            <w:noProof/>
            <w:webHidden/>
          </w:rPr>
          <w:t>43</w:t>
        </w:r>
        <w:r w:rsidRPr="000B19E9">
          <w:rPr>
            <w:noProof/>
            <w:webHidden/>
          </w:rPr>
          <w:fldChar w:fldCharType="end"/>
        </w:r>
      </w:hyperlink>
    </w:p>
    <w:p w14:paraId="3C97231F" w14:textId="7D96E61B"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65" w:history="1">
        <w:r w:rsidRPr="000B19E9">
          <w:rPr>
            <w:rStyle w:val="Hipercze"/>
            <w:noProof/>
          </w:rPr>
          <w:t>Rysunek 23. Lokalizacja złoża gazu ziemnego na omawianym terenie.</w:t>
        </w:r>
        <w:r w:rsidRPr="000B19E9">
          <w:rPr>
            <w:noProof/>
            <w:webHidden/>
          </w:rPr>
          <w:tab/>
        </w:r>
        <w:r w:rsidRPr="000B19E9">
          <w:rPr>
            <w:noProof/>
            <w:webHidden/>
          </w:rPr>
          <w:fldChar w:fldCharType="begin"/>
        </w:r>
        <w:r w:rsidRPr="000B19E9">
          <w:rPr>
            <w:noProof/>
            <w:webHidden/>
          </w:rPr>
          <w:instrText xml:space="preserve"> PAGEREF _Toc178846365 \h </w:instrText>
        </w:r>
        <w:r w:rsidRPr="000B19E9">
          <w:rPr>
            <w:noProof/>
            <w:webHidden/>
          </w:rPr>
        </w:r>
        <w:r w:rsidRPr="000B19E9">
          <w:rPr>
            <w:noProof/>
            <w:webHidden/>
          </w:rPr>
          <w:fldChar w:fldCharType="separate"/>
        </w:r>
        <w:r w:rsidR="00A654D8">
          <w:rPr>
            <w:noProof/>
            <w:webHidden/>
          </w:rPr>
          <w:t>44</w:t>
        </w:r>
        <w:r w:rsidRPr="000B19E9">
          <w:rPr>
            <w:noProof/>
            <w:webHidden/>
          </w:rPr>
          <w:fldChar w:fldCharType="end"/>
        </w:r>
      </w:hyperlink>
    </w:p>
    <w:p w14:paraId="0D2B43AB" w14:textId="15355814"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66" w:history="1">
        <w:r w:rsidRPr="000B19E9">
          <w:rPr>
            <w:rStyle w:val="Hipercze"/>
            <w:noProof/>
          </w:rPr>
          <w:t>Rysunek 24. Struktura wiekowa mieszkań zamieszkanych oddanych do użytkowania.</w:t>
        </w:r>
        <w:r w:rsidRPr="000B19E9">
          <w:rPr>
            <w:noProof/>
            <w:webHidden/>
          </w:rPr>
          <w:tab/>
        </w:r>
        <w:r w:rsidRPr="000B19E9">
          <w:rPr>
            <w:noProof/>
            <w:webHidden/>
          </w:rPr>
          <w:fldChar w:fldCharType="begin"/>
        </w:r>
        <w:r w:rsidRPr="000B19E9">
          <w:rPr>
            <w:noProof/>
            <w:webHidden/>
          </w:rPr>
          <w:instrText xml:space="preserve"> PAGEREF _Toc178846366 \h </w:instrText>
        </w:r>
        <w:r w:rsidRPr="000B19E9">
          <w:rPr>
            <w:noProof/>
            <w:webHidden/>
          </w:rPr>
        </w:r>
        <w:r w:rsidRPr="000B19E9">
          <w:rPr>
            <w:noProof/>
            <w:webHidden/>
          </w:rPr>
          <w:fldChar w:fldCharType="separate"/>
        </w:r>
        <w:r w:rsidR="00A654D8">
          <w:rPr>
            <w:noProof/>
            <w:webHidden/>
          </w:rPr>
          <w:t>45</w:t>
        </w:r>
        <w:r w:rsidRPr="000B19E9">
          <w:rPr>
            <w:noProof/>
            <w:webHidden/>
          </w:rPr>
          <w:fldChar w:fldCharType="end"/>
        </w:r>
      </w:hyperlink>
    </w:p>
    <w:p w14:paraId="4FCF9DB5" w14:textId="76F7979D"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67" w:history="1">
        <w:r w:rsidRPr="000B19E9">
          <w:rPr>
            <w:rStyle w:val="Hipercze"/>
            <w:noProof/>
          </w:rPr>
          <w:t>Rysunek 25. Przebieg trasy napowietrznych linii elektroenergetycznych.</w:t>
        </w:r>
        <w:r w:rsidRPr="000B19E9">
          <w:rPr>
            <w:noProof/>
            <w:webHidden/>
          </w:rPr>
          <w:tab/>
        </w:r>
        <w:r w:rsidRPr="000B19E9">
          <w:rPr>
            <w:noProof/>
            <w:webHidden/>
          </w:rPr>
          <w:fldChar w:fldCharType="begin"/>
        </w:r>
        <w:r w:rsidRPr="000B19E9">
          <w:rPr>
            <w:noProof/>
            <w:webHidden/>
          </w:rPr>
          <w:instrText xml:space="preserve"> PAGEREF _Toc178846367 \h </w:instrText>
        </w:r>
        <w:r w:rsidRPr="000B19E9">
          <w:rPr>
            <w:noProof/>
            <w:webHidden/>
          </w:rPr>
        </w:r>
        <w:r w:rsidRPr="000B19E9">
          <w:rPr>
            <w:noProof/>
            <w:webHidden/>
          </w:rPr>
          <w:fldChar w:fldCharType="separate"/>
        </w:r>
        <w:r w:rsidR="00A654D8">
          <w:rPr>
            <w:noProof/>
            <w:webHidden/>
          </w:rPr>
          <w:t>46</w:t>
        </w:r>
        <w:r w:rsidRPr="000B19E9">
          <w:rPr>
            <w:noProof/>
            <w:webHidden/>
          </w:rPr>
          <w:fldChar w:fldCharType="end"/>
        </w:r>
      </w:hyperlink>
    </w:p>
    <w:p w14:paraId="6AE2177F" w14:textId="3C46125D"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68" w:history="1">
        <w:r w:rsidRPr="000B19E9">
          <w:rPr>
            <w:rStyle w:val="Hipercze"/>
            <w:noProof/>
          </w:rPr>
          <w:t>Rysunek 26. Zużycie energii elektrycznej na 1 mieszkańca w latach 2013-2022.</w:t>
        </w:r>
        <w:r w:rsidRPr="000B19E9">
          <w:rPr>
            <w:noProof/>
            <w:webHidden/>
          </w:rPr>
          <w:tab/>
        </w:r>
        <w:r w:rsidRPr="000B19E9">
          <w:rPr>
            <w:noProof/>
            <w:webHidden/>
          </w:rPr>
          <w:fldChar w:fldCharType="begin"/>
        </w:r>
        <w:r w:rsidRPr="000B19E9">
          <w:rPr>
            <w:noProof/>
            <w:webHidden/>
          </w:rPr>
          <w:instrText xml:space="preserve"> PAGEREF _Toc178846368 \h </w:instrText>
        </w:r>
        <w:r w:rsidRPr="000B19E9">
          <w:rPr>
            <w:noProof/>
            <w:webHidden/>
          </w:rPr>
        </w:r>
        <w:r w:rsidRPr="000B19E9">
          <w:rPr>
            <w:noProof/>
            <w:webHidden/>
          </w:rPr>
          <w:fldChar w:fldCharType="separate"/>
        </w:r>
        <w:r w:rsidR="00A654D8">
          <w:rPr>
            <w:noProof/>
            <w:webHidden/>
          </w:rPr>
          <w:t>47</w:t>
        </w:r>
        <w:r w:rsidRPr="000B19E9">
          <w:rPr>
            <w:noProof/>
            <w:webHidden/>
          </w:rPr>
          <w:fldChar w:fldCharType="end"/>
        </w:r>
      </w:hyperlink>
    </w:p>
    <w:p w14:paraId="7EAC4ECE" w14:textId="681E28A7"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69" w:history="1">
        <w:r w:rsidRPr="000B19E9">
          <w:rPr>
            <w:rStyle w:val="Hipercze"/>
            <w:noProof/>
          </w:rPr>
          <w:t>Rysunek 27. Sieć drogowa na terenie Miasta Tarnogród.</w:t>
        </w:r>
        <w:r w:rsidRPr="000B19E9">
          <w:rPr>
            <w:noProof/>
            <w:webHidden/>
          </w:rPr>
          <w:tab/>
        </w:r>
        <w:r w:rsidRPr="000B19E9">
          <w:rPr>
            <w:noProof/>
            <w:webHidden/>
          </w:rPr>
          <w:fldChar w:fldCharType="begin"/>
        </w:r>
        <w:r w:rsidRPr="000B19E9">
          <w:rPr>
            <w:noProof/>
            <w:webHidden/>
          </w:rPr>
          <w:instrText xml:space="preserve"> PAGEREF _Toc178846369 \h </w:instrText>
        </w:r>
        <w:r w:rsidRPr="000B19E9">
          <w:rPr>
            <w:noProof/>
            <w:webHidden/>
          </w:rPr>
        </w:r>
        <w:r w:rsidRPr="000B19E9">
          <w:rPr>
            <w:noProof/>
            <w:webHidden/>
          </w:rPr>
          <w:fldChar w:fldCharType="separate"/>
        </w:r>
        <w:r w:rsidR="00A654D8">
          <w:rPr>
            <w:noProof/>
            <w:webHidden/>
          </w:rPr>
          <w:t>50</w:t>
        </w:r>
        <w:r w:rsidRPr="000B19E9">
          <w:rPr>
            <w:noProof/>
            <w:webHidden/>
          </w:rPr>
          <w:fldChar w:fldCharType="end"/>
        </w:r>
      </w:hyperlink>
    </w:p>
    <w:p w14:paraId="335835CA" w14:textId="7329EB74"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70" w:history="1">
        <w:r w:rsidRPr="000B19E9">
          <w:rPr>
            <w:rStyle w:val="Hipercze"/>
            <w:noProof/>
          </w:rPr>
          <w:t>Rysunek 28. Wody powierzchniowe.</w:t>
        </w:r>
        <w:r w:rsidRPr="000B19E9">
          <w:rPr>
            <w:noProof/>
            <w:webHidden/>
          </w:rPr>
          <w:tab/>
        </w:r>
        <w:r w:rsidRPr="000B19E9">
          <w:rPr>
            <w:noProof/>
            <w:webHidden/>
          </w:rPr>
          <w:fldChar w:fldCharType="begin"/>
        </w:r>
        <w:r w:rsidRPr="000B19E9">
          <w:rPr>
            <w:noProof/>
            <w:webHidden/>
          </w:rPr>
          <w:instrText xml:space="preserve"> PAGEREF _Toc178846370 \h </w:instrText>
        </w:r>
        <w:r w:rsidRPr="000B19E9">
          <w:rPr>
            <w:noProof/>
            <w:webHidden/>
          </w:rPr>
        </w:r>
        <w:r w:rsidRPr="000B19E9">
          <w:rPr>
            <w:noProof/>
            <w:webHidden/>
          </w:rPr>
          <w:fldChar w:fldCharType="separate"/>
        </w:r>
        <w:r w:rsidR="00A654D8">
          <w:rPr>
            <w:noProof/>
            <w:webHidden/>
          </w:rPr>
          <w:t>56</w:t>
        </w:r>
        <w:r w:rsidRPr="000B19E9">
          <w:rPr>
            <w:noProof/>
            <w:webHidden/>
          </w:rPr>
          <w:fldChar w:fldCharType="end"/>
        </w:r>
      </w:hyperlink>
    </w:p>
    <w:p w14:paraId="5A145116" w14:textId="2BEFB518"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71" w:history="1">
        <w:r w:rsidRPr="000B19E9">
          <w:rPr>
            <w:rStyle w:val="Hipercze"/>
            <w:noProof/>
          </w:rPr>
          <w:t>Rysunek 29. Zlewnie JCWP rzecznych.</w:t>
        </w:r>
        <w:r w:rsidRPr="000B19E9">
          <w:rPr>
            <w:noProof/>
            <w:webHidden/>
          </w:rPr>
          <w:tab/>
        </w:r>
        <w:r w:rsidRPr="000B19E9">
          <w:rPr>
            <w:noProof/>
            <w:webHidden/>
          </w:rPr>
          <w:fldChar w:fldCharType="begin"/>
        </w:r>
        <w:r w:rsidRPr="000B19E9">
          <w:rPr>
            <w:noProof/>
            <w:webHidden/>
          </w:rPr>
          <w:instrText xml:space="preserve"> PAGEREF _Toc178846371 \h </w:instrText>
        </w:r>
        <w:r w:rsidRPr="000B19E9">
          <w:rPr>
            <w:noProof/>
            <w:webHidden/>
          </w:rPr>
        </w:r>
        <w:r w:rsidRPr="000B19E9">
          <w:rPr>
            <w:noProof/>
            <w:webHidden/>
          </w:rPr>
          <w:fldChar w:fldCharType="separate"/>
        </w:r>
        <w:r w:rsidR="00A654D8">
          <w:rPr>
            <w:noProof/>
            <w:webHidden/>
          </w:rPr>
          <w:t>57</w:t>
        </w:r>
        <w:r w:rsidRPr="000B19E9">
          <w:rPr>
            <w:noProof/>
            <w:webHidden/>
          </w:rPr>
          <w:fldChar w:fldCharType="end"/>
        </w:r>
      </w:hyperlink>
    </w:p>
    <w:p w14:paraId="58779680" w14:textId="5FD0154E"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72" w:history="1">
        <w:r w:rsidRPr="000B19E9">
          <w:rPr>
            <w:rStyle w:val="Hipercze"/>
            <w:noProof/>
          </w:rPr>
          <w:t>Rysunek 30. Miasto Tarnogród na tle JCWPd.</w:t>
        </w:r>
        <w:r w:rsidRPr="000B19E9">
          <w:rPr>
            <w:noProof/>
            <w:webHidden/>
          </w:rPr>
          <w:tab/>
        </w:r>
        <w:r w:rsidRPr="000B19E9">
          <w:rPr>
            <w:noProof/>
            <w:webHidden/>
          </w:rPr>
          <w:fldChar w:fldCharType="begin"/>
        </w:r>
        <w:r w:rsidRPr="000B19E9">
          <w:rPr>
            <w:noProof/>
            <w:webHidden/>
          </w:rPr>
          <w:instrText xml:space="preserve"> PAGEREF _Toc178846372 \h </w:instrText>
        </w:r>
        <w:r w:rsidRPr="000B19E9">
          <w:rPr>
            <w:noProof/>
            <w:webHidden/>
          </w:rPr>
        </w:r>
        <w:r w:rsidRPr="000B19E9">
          <w:rPr>
            <w:noProof/>
            <w:webHidden/>
          </w:rPr>
          <w:fldChar w:fldCharType="separate"/>
        </w:r>
        <w:r w:rsidR="00A654D8">
          <w:rPr>
            <w:noProof/>
            <w:webHidden/>
          </w:rPr>
          <w:t>58</w:t>
        </w:r>
        <w:r w:rsidRPr="000B19E9">
          <w:rPr>
            <w:noProof/>
            <w:webHidden/>
          </w:rPr>
          <w:fldChar w:fldCharType="end"/>
        </w:r>
      </w:hyperlink>
    </w:p>
    <w:p w14:paraId="7ED5A0B6" w14:textId="20C4DC32"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73" w:history="1">
        <w:r w:rsidRPr="000B19E9">
          <w:rPr>
            <w:rStyle w:val="Hipercze"/>
            <w:noProof/>
          </w:rPr>
          <w:t>Rysunek 31. Średnie temperatury powietrza oraz opady atmosferyczne.</w:t>
        </w:r>
        <w:r w:rsidRPr="000B19E9">
          <w:rPr>
            <w:noProof/>
            <w:webHidden/>
          </w:rPr>
          <w:tab/>
        </w:r>
        <w:r w:rsidRPr="000B19E9">
          <w:rPr>
            <w:noProof/>
            <w:webHidden/>
          </w:rPr>
          <w:fldChar w:fldCharType="begin"/>
        </w:r>
        <w:r w:rsidRPr="000B19E9">
          <w:rPr>
            <w:noProof/>
            <w:webHidden/>
          </w:rPr>
          <w:instrText xml:space="preserve"> PAGEREF _Toc178846373 \h </w:instrText>
        </w:r>
        <w:r w:rsidRPr="000B19E9">
          <w:rPr>
            <w:noProof/>
            <w:webHidden/>
          </w:rPr>
        </w:r>
        <w:r w:rsidRPr="000B19E9">
          <w:rPr>
            <w:noProof/>
            <w:webHidden/>
          </w:rPr>
          <w:fldChar w:fldCharType="separate"/>
        </w:r>
        <w:r w:rsidR="00A654D8">
          <w:rPr>
            <w:noProof/>
            <w:webHidden/>
          </w:rPr>
          <w:t>60</w:t>
        </w:r>
        <w:r w:rsidRPr="000B19E9">
          <w:rPr>
            <w:noProof/>
            <w:webHidden/>
          </w:rPr>
          <w:fldChar w:fldCharType="end"/>
        </w:r>
      </w:hyperlink>
    </w:p>
    <w:p w14:paraId="64835BC1" w14:textId="2A2D5B2B"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74" w:history="1">
        <w:r w:rsidRPr="000B19E9">
          <w:rPr>
            <w:rStyle w:val="Hipercze"/>
            <w:noProof/>
          </w:rPr>
          <w:t>Rysunek 32. Róża wiatrów.</w:t>
        </w:r>
        <w:r w:rsidRPr="000B19E9">
          <w:rPr>
            <w:noProof/>
            <w:webHidden/>
          </w:rPr>
          <w:tab/>
        </w:r>
        <w:r w:rsidRPr="000B19E9">
          <w:rPr>
            <w:noProof/>
            <w:webHidden/>
          </w:rPr>
          <w:fldChar w:fldCharType="begin"/>
        </w:r>
        <w:r w:rsidRPr="000B19E9">
          <w:rPr>
            <w:noProof/>
            <w:webHidden/>
          </w:rPr>
          <w:instrText xml:space="preserve"> PAGEREF _Toc178846374 \h </w:instrText>
        </w:r>
        <w:r w:rsidRPr="000B19E9">
          <w:rPr>
            <w:noProof/>
            <w:webHidden/>
          </w:rPr>
        </w:r>
        <w:r w:rsidRPr="000B19E9">
          <w:rPr>
            <w:noProof/>
            <w:webHidden/>
          </w:rPr>
          <w:fldChar w:fldCharType="separate"/>
        </w:r>
        <w:r w:rsidR="00A654D8">
          <w:rPr>
            <w:noProof/>
            <w:webHidden/>
          </w:rPr>
          <w:t>61</w:t>
        </w:r>
        <w:r w:rsidRPr="000B19E9">
          <w:rPr>
            <w:noProof/>
            <w:webHidden/>
          </w:rPr>
          <w:fldChar w:fldCharType="end"/>
        </w:r>
      </w:hyperlink>
    </w:p>
    <w:p w14:paraId="1E63DBD9" w14:textId="4A81AFE5"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75" w:history="1">
        <w:r w:rsidRPr="000B19E9">
          <w:rPr>
            <w:rStyle w:val="Hipercze"/>
            <w:noProof/>
          </w:rPr>
          <w:t>Rysunek 33. Porównanie klimatyczne: miesięczna średnia temperatura powietrza. Ostatnie 12 miesięcy (kwiecień 2023 – marzec 2024) – czarna linia oraz 30-letni klimat dla Miasta Tarnogród.</w:t>
        </w:r>
        <w:r w:rsidRPr="000B19E9">
          <w:rPr>
            <w:noProof/>
            <w:webHidden/>
          </w:rPr>
          <w:tab/>
        </w:r>
        <w:r w:rsidRPr="000B19E9">
          <w:rPr>
            <w:noProof/>
            <w:webHidden/>
          </w:rPr>
          <w:fldChar w:fldCharType="begin"/>
        </w:r>
        <w:r w:rsidRPr="000B19E9">
          <w:rPr>
            <w:noProof/>
            <w:webHidden/>
          </w:rPr>
          <w:instrText xml:space="preserve"> PAGEREF _Toc178846375 \h </w:instrText>
        </w:r>
        <w:r w:rsidRPr="000B19E9">
          <w:rPr>
            <w:noProof/>
            <w:webHidden/>
          </w:rPr>
        </w:r>
        <w:r w:rsidRPr="000B19E9">
          <w:rPr>
            <w:noProof/>
            <w:webHidden/>
          </w:rPr>
          <w:fldChar w:fldCharType="separate"/>
        </w:r>
        <w:r w:rsidR="00A654D8">
          <w:rPr>
            <w:noProof/>
            <w:webHidden/>
          </w:rPr>
          <w:t>62</w:t>
        </w:r>
        <w:r w:rsidRPr="000B19E9">
          <w:rPr>
            <w:noProof/>
            <w:webHidden/>
          </w:rPr>
          <w:fldChar w:fldCharType="end"/>
        </w:r>
      </w:hyperlink>
    </w:p>
    <w:p w14:paraId="77F5DA69" w14:textId="4CBD11E0"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76" w:history="1">
        <w:r w:rsidRPr="000B19E9">
          <w:rPr>
            <w:rStyle w:val="Hipercze"/>
            <w:noProof/>
          </w:rPr>
          <w:t>Rysunek 34. Porównanie klimatyczne: miesięczne opady. Ostatnie 12 miesięcy (luty 2023 – styczeń 2024) – czarna linia oraz 30-letni klimat dla Miasta Tarnogród.</w:t>
        </w:r>
        <w:r w:rsidRPr="000B19E9">
          <w:rPr>
            <w:noProof/>
            <w:webHidden/>
          </w:rPr>
          <w:tab/>
        </w:r>
        <w:r w:rsidRPr="000B19E9">
          <w:rPr>
            <w:noProof/>
            <w:webHidden/>
          </w:rPr>
          <w:fldChar w:fldCharType="begin"/>
        </w:r>
        <w:r w:rsidRPr="000B19E9">
          <w:rPr>
            <w:noProof/>
            <w:webHidden/>
          </w:rPr>
          <w:instrText xml:space="preserve"> PAGEREF _Toc178846376 \h </w:instrText>
        </w:r>
        <w:r w:rsidRPr="000B19E9">
          <w:rPr>
            <w:noProof/>
            <w:webHidden/>
          </w:rPr>
        </w:r>
        <w:r w:rsidRPr="000B19E9">
          <w:rPr>
            <w:noProof/>
            <w:webHidden/>
          </w:rPr>
          <w:fldChar w:fldCharType="separate"/>
        </w:r>
        <w:r w:rsidR="00A654D8">
          <w:rPr>
            <w:noProof/>
            <w:webHidden/>
          </w:rPr>
          <w:t>63</w:t>
        </w:r>
        <w:r w:rsidRPr="000B19E9">
          <w:rPr>
            <w:noProof/>
            <w:webHidden/>
          </w:rPr>
          <w:fldChar w:fldCharType="end"/>
        </w:r>
      </w:hyperlink>
    </w:p>
    <w:p w14:paraId="2DC8F265" w14:textId="668AE85A"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77" w:history="1">
        <w:r w:rsidRPr="000B19E9">
          <w:rPr>
            <w:rStyle w:val="Hipercze"/>
            <w:noProof/>
          </w:rPr>
          <w:t>Rysunek 35. Roczna zmiana temperatury.</w:t>
        </w:r>
        <w:r w:rsidRPr="000B19E9">
          <w:rPr>
            <w:noProof/>
            <w:webHidden/>
          </w:rPr>
          <w:tab/>
        </w:r>
        <w:r w:rsidRPr="000B19E9">
          <w:rPr>
            <w:noProof/>
            <w:webHidden/>
          </w:rPr>
          <w:fldChar w:fldCharType="begin"/>
        </w:r>
        <w:r w:rsidRPr="000B19E9">
          <w:rPr>
            <w:noProof/>
            <w:webHidden/>
          </w:rPr>
          <w:instrText xml:space="preserve"> PAGEREF _Toc178846377 \h </w:instrText>
        </w:r>
        <w:r w:rsidRPr="000B19E9">
          <w:rPr>
            <w:noProof/>
            <w:webHidden/>
          </w:rPr>
        </w:r>
        <w:r w:rsidRPr="000B19E9">
          <w:rPr>
            <w:noProof/>
            <w:webHidden/>
          </w:rPr>
          <w:fldChar w:fldCharType="separate"/>
        </w:r>
        <w:r w:rsidR="00A654D8">
          <w:rPr>
            <w:noProof/>
            <w:webHidden/>
          </w:rPr>
          <w:t>64</w:t>
        </w:r>
        <w:r w:rsidRPr="000B19E9">
          <w:rPr>
            <w:noProof/>
            <w:webHidden/>
          </w:rPr>
          <w:fldChar w:fldCharType="end"/>
        </w:r>
      </w:hyperlink>
    </w:p>
    <w:p w14:paraId="1107D719" w14:textId="0A82FDBF"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78" w:history="1">
        <w:r w:rsidRPr="000B19E9">
          <w:rPr>
            <w:rStyle w:val="Hipercze"/>
            <w:noProof/>
          </w:rPr>
          <w:t>Rysunek 36. Roczna zmiana opadów.</w:t>
        </w:r>
        <w:r w:rsidRPr="000B19E9">
          <w:rPr>
            <w:noProof/>
            <w:webHidden/>
          </w:rPr>
          <w:tab/>
        </w:r>
        <w:r w:rsidRPr="000B19E9">
          <w:rPr>
            <w:noProof/>
            <w:webHidden/>
          </w:rPr>
          <w:fldChar w:fldCharType="begin"/>
        </w:r>
        <w:r w:rsidRPr="000B19E9">
          <w:rPr>
            <w:noProof/>
            <w:webHidden/>
          </w:rPr>
          <w:instrText xml:space="preserve"> PAGEREF _Toc178846378 \h </w:instrText>
        </w:r>
        <w:r w:rsidRPr="000B19E9">
          <w:rPr>
            <w:noProof/>
            <w:webHidden/>
          </w:rPr>
        </w:r>
        <w:r w:rsidRPr="000B19E9">
          <w:rPr>
            <w:noProof/>
            <w:webHidden/>
          </w:rPr>
          <w:fldChar w:fldCharType="separate"/>
        </w:r>
        <w:r w:rsidR="00A654D8">
          <w:rPr>
            <w:noProof/>
            <w:webHidden/>
          </w:rPr>
          <w:t>65</w:t>
        </w:r>
        <w:r w:rsidRPr="000B19E9">
          <w:rPr>
            <w:noProof/>
            <w:webHidden/>
          </w:rPr>
          <w:fldChar w:fldCharType="end"/>
        </w:r>
      </w:hyperlink>
    </w:p>
    <w:p w14:paraId="74D39BB7" w14:textId="566B4306"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79" w:history="1">
        <w:r w:rsidRPr="000B19E9">
          <w:rPr>
            <w:rStyle w:val="Hipercze"/>
            <w:noProof/>
          </w:rPr>
          <w:t>Rysunek 37. Miesięczne anomalie temperatury i opadów.</w:t>
        </w:r>
        <w:r w:rsidRPr="000B19E9">
          <w:rPr>
            <w:noProof/>
            <w:webHidden/>
          </w:rPr>
          <w:tab/>
        </w:r>
        <w:r w:rsidRPr="000B19E9">
          <w:rPr>
            <w:noProof/>
            <w:webHidden/>
          </w:rPr>
          <w:fldChar w:fldCharType="begin"/>
        </w:r>
        <w:r w:rsidRPr="000B19E9">
          <w:rPr>
            <w:noProof/>
            <w:webHidden/>
          </w:rPr>
          <w:instrText xml:space="preserve"> PAGEREF _Toc178846379 \h </w:instrText>
        </w:r>
        <w:r w:rsidRPr="000B19E9">
          <w:rPr>
            <w:noProof/>
            <w:webHidden/>
          </w:rPr>
        </w:r>
        <w:r w:rsidRPr="000B19E9">
          <w:rPr>
            <w:noProof/>
            <w:webHidden/>
          </w:rPr>
          <w:fldChar w:fldCharType="separate"/>
        </w:r>
        <w:r w:rsidR="00A654D8">
          <w:rPr>
            <w:noProof/>
            <w:webHidden/>
          </w:rPr>
          <w:t>66</w:t>
        </w:r>
        <w:r w:rsidRPr="000B19E9">
          <w:rPr>
            <w:noProof/>
            <w:webHidden/>
          </w:rPr>
          <w:fldChar w:fldCharType="end"/>
        </w:r>
      </w:hyperlink>
    </w:p>
    <w:p w14:paraId="7509C02D" w14:textId="7FFEBAB6"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80" w:history="1">
        <w:r w:rsidRPr="000B19E9">
          <w:rPr>
            <w:rStyle w:val="Hipercze"/>
            <w:noProof/>
          </w:rPr>
          <w:t>Rysunek 38. Podtopienia na ul. Przedmieście Płuskie Wschód i ul. Przedmieście Płuskie Zachód.</w:t>
        </w:r>
        <w:r w:rsidRPr="000B19E9">
          <w:rPr>
            <w:noProof/>
            <w:webHidden/>
          </w:rPr>
          <w:tab/>
        </w:r>
        <w:r w:rsidRPr="000B19E9">
          <w:rPr>
            <w:noProof/>
            <w:webHidden/>
          </w:rPr>
          <w:fldChar w:fldCharType="begin"/>
        </w:r>
        <w:r w:rsidRPr="000B19E9">
          <w:rPr>
            <w:noProof/>
            <w:webHidden/>
          </w:rPr>
          <w:instrText xml:space="preserve"> PAGEREF _Toc178846380 \h </w:instrText>
        </w:r>
        <w:r w:rsidRPr="000B19E9">
          <w:rPr>
            <w:noProof/>
            <w:webHidden/>
          </w:rPr>
        </w:r>
        <w:r w:rsidRPr="000B19E9">
          <w:rPr>
            <w:noProof/>
            <w:webHidden/>
          </w:rPr>
          <w:fldChar w:fldCharType="separate"/>
        </w:r>
        <w:r w:rsidR="00A654D8">
          <w:rPr>
            <w:noProof/>
            <w:webHidden/>
          </w:rPr>
          <w:t>68</w:t>
        </w:r>
        <w:r w:rsidRPr="000B19E9">
          <w:rPr>
            <w:noProof/>
            <w:webHidden/>
          </w:rPr>
          <w:fldChar w:fldCharType="end"/>
        </w:r>
      </w:hyperlink>
    </w:p>
    <w:p w14:paraId="121E7291" w14:textId="46512078"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81" w:history="1">
        <w:r w:rsidRPr="000B19E9">
          <w:rPr>
            <w:rStyle w:val="Hipercze"/>
            <w:noProof/>
          </w:rPr>
          <w:t>Rysunek 39. Klasy zagrożenia suszą rolniczą.</w:t>
        </w:r>
        <w:r w:rsidRPr="000B19E9">
          <w:rPr>
            <w:noProof/>
            <w:webHidden/>
          </w:rPr>
          <w:tab/>
        </w:r>
        <w:r w:rsidRPr="000B19E9">
          <w:rPr>
            <w:noProof/>
            <w:webHidden/>
          </w:rPr>
          <w:fldChar w:fldCharType="begin"/>
        </w:r>
        <w:r w:rsidRPr="000B19E9">
          <w:rPr>
            <w:noProof/>
            <w:webHidden/>
          </w:rPr>
          <w:instrText xml:space="preserve"> PAGEREF _Toc178846381 \h </w:instrText>
        </w:r>
        <w:r w:rsidRPr="000B19E9">
          <w:rPr>
            <w:noProof/>
            <w:webHidden/>
          </w:rPr>
        </w:r>
        <w:r w:rsidRPr="000B19E9">
          <w:rPr>
            <w:noProof/>
            <w:webHidden/>
          </w:rPr>
          <w:fldChar w:fldCharType="separate"/>
        </w:r>
        <w:r w:rsidR="00A654D8">
          <w:rPr>
            <w:noProof/>
            <w:webHidden/>
          </w:rPr>
          <w:t>70</w:t>
        </w:r>
        <w:r w:rsidRPr="000B19E9">
          <w:rPr>
            <w:noProof/>
            <w:webHidden/>
          </w:rPr>
          <w:fldChar w:fldCharType="end"/>
        </w:r>
      </w:hyperlink>
    </w:p>
    <w:p w14:paraId="351DCDAA" w14:textId="02BF9AD2"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82" w:history="1">
        <w:r w:rsidRPr="000B19E9">
          <w:rPr>
            <w:rStyle w:val="Hipercze"/>
            <w:noProof/>
          </w:rPr>
          <w:t>Rysunek 40. Klasy zagrożenia suszą atmosferyczną.</w:t>
        </w:r>
        <w:r w:rsidRPr="000B19E9">
          <w:rPr>
            <w:noProof/>
            <w:webHidden/>
          </w:rPr>
          <w:tab/>
        </w:r>
        <w:r w:rsidRPr="000B19E9">
          <w:rPr>
            <w:noProof/>
            <w:webHidden/>
          </w:rPr>
          <w:fldChar w:fldCharType="begin"/>
        </w:r>
        <w:r w:rsidRPr="000B19E9">
          <w:rPr>
            <w:noProof/>
            <w:webHidden/>
          </w:rPr>
          <w:instrText xml:space="preserve"> PAGEREF _Toc178846382 \h </w:instrText>
        </w:r>
        <w:r w:rsidRPr="000B19E9">
          <w:rPr>
            <w:noProof/>
            <w:webHidden/>
          </w:rPr>
        </w:r>
        <w:r w:rsidRPr="000B19E9">
          <w:rPr>
            <w:noProof/>
            <w:webHidden/>
          </w:rPr>
          <w:fldChar w:fldCharType="separate"/>
        </w:r>
        <w:r w:rsidR="00A654D8">
          <w:rPr>
            <w:noProof/>
            <w:webHidden/>
          </w:rPr>
          <w:t>70</w:t>
        </w:r>
        <w:r w:rsidRPr="000B19E9">
          <w:rPr>
            <w:noProof/>
            <w:webHidden/>
          </w:rPr>
          <w:fldChar w:fldCharType="end"/>
        </w:r>
      </w:hyperlink>
    </w:p>
    <w:p w14:paraId="5367B3F2" w14:textId="0AB425A6"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83" w:history="1">
        <w:r w:rsidRPr="000B19E9">
          <w:rPr>
            <w:rStyle w:val="Hipercze"/>
            <w:noProof/>
          </w:rPr>
          <w:t>Rysunek 41. Klasy zagrożenia suszą hydrologiczną.</w:t>
        </w:r>
        <w:r w:rsidRPr="000B19E9">
          <w:rPr>
            <w:noProof/>
            <w:webHidden/>
          </w:rPr>
          <w:tab/>
        </w:r>
        <w:r w:rsidRPr="000B19E9">
          <w:rPr>
            <w:noProof/>
            <w:webHidden/>
          </w:rPr>
          <w:fldChar w:fldCharType="begin"/>
        </w:r>
        <w:r w:rsidRPr="000B19E9">
          <w:rPr>
            <w:noProof/>
            <w:webHidden/>
          </w:rPr>
          <w:instrText xml:space="preserve"> PAGEREF _Toc178846383 \h </w:instrText>
        </w:r>
        <w:r w:rsidRPr="000B19E9">
          <w:rPr>
            <w:noProof/>
            <w:webHidden/>
          </w:rPr>
        </w:r>
        <w:r w:rsidRPr="000B19E9">
          <w:rPr>
            <w:noProof/>
            <w:webHidden/>
          </w:rPr>
          <w:fldChar w:fldCharType="separate"/>
        </w:r>
        <w:r w:rsidR="00A654D8">
          <w:rPr>
            <w:noProof/>
            <w:webHidden/>
          </w:rPr>
          <w:t>71</w:t>
        </w:r>
        <w:r w:rsidRPr="000B19E9">
          <w:rPr>
            <w:noProof/>
            <w:webHidden/>
          </w:rPr>
          <w:fldChar w:fldCharType="end"/>
        </w:r>
      </w:hyperlink>
    </w:p>
    <w:p w14:paraId="4C6F25CD" w14:textId="0F7B8A4B"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84" w:history="1">
        <w:r w:rsidRPr="000B19E9">
          <w:rPr>
            <w:rStyle w:val="Hipercze"/>
            <w:noProof/>
          </w:rPr>
          <w:t>Rysunek 42. Klasy zagrożenia suszą hydrogeologiczną.</w:t>
        </w:r>
        <w:r w:rsidRPr="000B19E9">
          <w:rPr>
            <w:noProof/>
            <w:webHidden/>
          </w:rPr>
          <w:tab/>
        </w:r>
        <w:r w:rsidRPr="000B19E9">
          <w:rPr>
            <w:noProof/>
            <w:webHidden/>
          </w:rPr>
          <w:fldChar w:fldCharType="begin"/>
        </w:r>
        <w:r w:rsidRPr="000B19E9">
          <w:rPr>
            <w:noProof/>
            <w:webHidden/>
          </w:rPr>
          <w:instrText xml:space="preserve"> PAGEREF _Toc178846384 \h </w:instrText>
        </w:r>
        <w:r w:rsidRPr="000B19E9">
          <w:rPr>
            <w:noProof/>
            <w:webHidden/>
          </w:rPr>
        </w:r>
        <w:r w:rsidRPr="000B19E9">
          <w:rPr>
            <w:noProof/>
            <w:webHidden/>
          </w:rPr>
          <w:fldChar w:fldCharType="separate"/>
        </w:r>
        <w:r w:rsidR="00A654D8">
          <w:rPr>
            <w:noProof/>
            <w:webHidden/>
          </w:rPr>
          <w:t>71</w:t>
        </w:r>
        <w:r w:rsidRPr="000B19E9">
          <w:rPr>
            <w:noProof/>
            <w:webHidden/>
          </w:rPr>
          <w:fldChar w:fldCharType="end"/>
        </w:r>
      </w:hyperlink>
    </w:p>
    <w:p w14:paraId="5F0A0FF9" w14:textId="5433AB2E"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85" w:history="1">
        <w:r w:rsidRPr="000B19E9">
          <w:rPr>
            <w:rStyle w:val="Hipercze"/>
            <w:noProof/>
          </w:rPr>
          <w:t>Rysunek 43. Klasy łącznego zagrożenia suszą.</w:t>
        </w:r>
        <w:r w:rsidRPr="000B19E9">
          <w:rPr>
            <w:noProof/>
            <w:webHidden/>
          </w:rPr>
          <w:tab/>
        </w:r>
        <w:r w:rsidRPr="000B19E9">
          <w:rPr>
            <w:noProof/>
            <w:webHidden/>
          </w:rPr>
          <w:fldChar w:fldCharType="begin"/>
        </w:r>
        <w:r w:rsidRPr="000B19E9">
          <w:rPr>
            <w:noProof/>
            <w:webHidden/>
          </w:rPr>
          <w:instrText xml:space="preserve"> PAGEREF _Toc178846385 \h </w:instrText>
        </w:r>
        <w:r w:rsidRPr="000B19E9">
          <w:rPr>
            <w:noProof/>
            <w:webHidden/>
          </w:rPr>
        </w:r>
        <w:r w:rsidRPr="000B19E9">
          <w:rPr>
            <w:noProof/>
            <w:webHidden/>
          </w:rPr>
          <w:fldChar w:fldCharType="separate"/>
        </w:r>
        <w:r w:rsidR="00A654D8">
          <w:rPr>
            <w:noProof/>
            <w:webHidden/>
          </w:rPr>
          <w:t>72</w:t>
        </w:r>
        <w:r w:rsidRPr="000B19E9">
          <w:rPr>
            <w:noProof/>
            <w:webHidden/>
          </w:rPr>
          <w:fldChar w:fldCharType="end"/>
        </w:r>
      </w:hyperlink>
    </w:p>
    <w:p w14:paraId="2013AFE1" w14:textId="35EDA06C"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86" w:history="1">
        <w:r w:rsidRPr="000B19E9">
          <w:rPr>
            <w:rStyle w:val="Hipercze"/>
            <w:noProof/>
          </w:rPr>
          <w:t>Rysunek 44. Pokrycie terenu Miasta Tarnogród.</w:t>
        </w:r>
        <w:r w:rsidRPr="000B19E9">
          <w:rPr>
            <w:noProof/>
            <w:webHidden/>
          </w:rPr>
          <w:tab/>
        </w:r>
        <w:r w:rsidRPr="000B19E9">
          <w:rPr>
            <w:noProof/>
            <w:webHidden/>
          </w:rPr>
          <w:fldChar w:fldCharType="begin"/>
        </w:r>
        <w:r w:rsidRPr="000B19E9">
          <w:rPr>
            <w:noProof/>
            <w:webHidden/>
          </w:rPr>
          <w:instrText xml:space="preserve"> PAGEREF _Toc178846386 \h </w:instrText>
        </w:r>
        <w:r w:rsidRPr="000B19E9">
          <w:rPr>
            <w:noProof/>
            <w:webHidden/>
          </w:rPr>
        </w:r>
        <w:r w:rsidRPr="000B19E9">
          <w:rPr>
            <w:noProof/>
            <w:webHidden/>
          </w:rPr>
          <w:fldChar w:fldCharType="separate"/>
        </w:r>
        <w:r w:rsidR="00A654D8">
          <w:rPr>
            <w:noProof/>
            <w:webHidden/>
          </w:rPr>
          <w:t>74</w:t>
        </w:r>
        <w:r w:rsidRPr="000B19E9">
          <w:rPr>
            <w:noProof/>
            <w:webHidden/>
          </w:rPr>
          <w:fldChar w:fldCharType="end"/>
        </w:r>
      </w:hyperlink>
    </w:p>
    <w:p w14:paraId="2E4F1E36" w14:textId="6931C041"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87" w:history="1">
        <w:r w:rsidRPr="000B19E9">
          <w:rPr>
            <w:rStyle w:val="Hipercze"/>
            <w:noProof/>
          </w:rPr>
          <w:t>Rysunek 45. Obszary biologicznie czynne na terenie Miasta Tarnogród.</w:t>
        </w:r>
        <w:r w:rsidRPr="000B19E9">
          <w:rPr>
            <w:noProof/>
            <w:webHidden/>
          </w:rPr>
          <w:tab/>
        </w:r>
        <w:r w:rsidRPr="000B19E9">
          <w:rPr>
            <w:noProof/>
            <w:webHidden/>
          </w:rPr>
          <w:fldChar w:fldCharType="begin"/>
        </w:r>
        <w:r w:rsidRPr="000B19E9">
          <w:rPr>
            <w:noProof/>
            <w:webHidden/>
          </w:rPr>
          <w:instrText xml:space="preserve"> PAGEREF _Toc178846387 \h </w:instrText>
        </w:r>
        <w:r w:rsidRPr="000B19E9">
          <w:rPr>
            <w:noProof/>
            <w:webHidden/>
          </w:rPr>
        </w:r>
        <w:r w:rsidRPr="000B19E9">
          <w:rPr>
            <w:noProof/>
            <w:webHidden/>
          </w:rPr>
          <w:fldChar w:fldCharType="separate"/>
        </w:r>
        <w:r w:rsidR="00A654D8">
          <w:rPr>
            <w:noProof/>
            <w:webHidden/>
          </w:rPr>
          <w:t>75</w:t>
        </w:r>
        <w:r w:rsidRPr="000B19E9">
          <w:rPr>
            <w:noProof/>
            <w:webHidden/>
          </w:rPr>
          <w:fldChar w:fldCharType="end"/>
        </w:r>
      </w:hyperlink>
    </w:p>
    <w:p w14:paraId="2C46BE6F" w14:textId="646C56AF"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88" w:history="1">
        <w:r w:rsidRPr="000B19E9">
          <w:rPr>
            <w:rStyle w:val="Hipercze"/>
            <w:noProof/>
          </w:rPr>
          <w:t>Rysunek 46. Obszary zurbanizowane i pozostałe obszary niebiologicznie czynne Miasta Tarnogród.</w:t>
        </w:r>
        <w:r w:rsidRPr="000B19E9">
          <w:rPr>
            <w:noProof/>
            <w:webHidden/>
          </w:rPr>
          <w:tab/>
        </w:r>
        <w:r w:rsidRPr="000B19E9">
          <w:rPr>
            <w:noProof/>
            <w:webHidden/>
          </w:rPr>
          <w:fldChar w:fldCharType="begin"/>
        </w:r>
        <w:r w:rsidRPr="000B19E9">
          <w:rPr>
            <w:noProof/>
            <w:webHidden/>
          </w:rPr>
          <w:instrText xml:space="preserve"> PAGEREF _Toc178846388 \h </w:instrText>
        </w:r>
        <w:r w:rsidRPr="000B19E9">
          <w:rPr>
            <w:noProof/>
            <w:webHidden/>
          </w:rPr>
        </w:r>
        <w:r w:rsidRPr="000B19E9">
          <w:rPr>
            <w:noProof/>
            <w:webHidden/>
          </w:rPr>
          <w:fldChar w:fldCharType="separate"/>
        </w:r>
        <w:r w:rsidR="00A654D8">
          <w:rPr>
            <w:noProof/>
            <w:webHidden/>
          </w:rPr>
          <w:t>76</w:t>
        </w:r>
        <w:r w:rsidRPr="000B19E9">
          <w:rPr>
            <w:noProof/>
            <w:webHidden/>
          </w:rPr>
          <w:fldChar w:fldCharType="end"/>
        </w:r>
      </w:hyperlink>
    </w:p>
    <w:p w14:paraId="3104605F" w14:textId="45CA88DE"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89" w:history="1">
        <w:r w:rsidRPr="000B19E9">
          <w:rPr>
            <w:rStyle w:val="Hipercze"/>
            <w:noProof/>
          </w:rPr>
          <w:t>Rysunek 47. Powierzchnie ewidencyjne Miasta Tarnogród według sposobu zagospodarowania.</w:t>
        </w:r>
        <w:r w:rsidRPr="000B19E9">
          <w:rPr>
            <w:noProof/>
            <w:webHidden/>
          </w:rPr>
          <w:tab/>
        </w:r>
        <w:r w:rsidRPr="000B19E9">
          <w:rPr>
            <w:noProof/>
            <w:webHidden/>
          </w:rPr>
          <w:fldChar w:fldCharType="begin"/>
        </w:r>
        <w:r w:rsidRPr="000B19E9">
          <w:rPr>
            <w:noProof/>
            <w:webHidden/>
          </w:rPr>
          <w:instrText xml:space="preserve"> PAGEREF _Toc178846389 \h </w:instrText>
        </w:r>
        <w:r w:rsidRPr="000B19E9">
          <w:rPr>
            <w:noProof/>
            <w:webHidden/>
          </w:rPr>
        </w:r>
        <w:r w:rsidRPr="000B19E9">
          <w:rPr>
            <w:noProof/>
            <w:webHidden/>
          </w:rPr>
          <w:fldChar w:fldCharType="separate"/>
        </w:r>
        <w:r w:rsidR="00A654D8">
          <w:rPr>
            <w:noProof/>
            <w:webHidden/>
          </w:rPr>
          <w:t>76</w:t>
        </w:r>
        <w:r w:rsidRPr="000B19E9">
          <w:rPr>
            <w:noProof/>
            <w:webHidden/>
          </w:rPr>
          <w:fldChar w:fldCharType="end"/>
        </w:r>
      </w:hyperlink>
    </w:p>
    <w:p w14:paraId="0FF1F142" w14:textId="1C9088CB"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90" w:history="1">
        <w:r w:rsidRPr="000B19E9">
          <w:rPr>
            <w:rStyle w:val="Hipercze"/>
            <w:noProof/>
          </w:rPr>
          <w:t>Rysunek 48. Średnia krocząca temperatury - rok - pow. biłgorajski</w:t>
        </w:r>
        <w:r w:rsidRPr="000B19E9">
          <w:rPr>
            <w:noProof/>
            <w:webHidden/>
          </w:rPr>
          <w:tab/>
        </w:r>
        <w:r w:rsidRPr="000B19E9">
          <w:rPr>
            <w:noProof/>
            <w:webHidden/>
          </w:rPr>
          <w:fldChar w:fldCharType="begin"/>
        </w:r>
        <w:r w:rsidRPr="000B19E9">
          <w:rPr>
            <w:noProof/>
            <w:webHidden/>
          </w:rPr>
          <w:instrText xml:space="preserve"> PAGEREF _Toc178846390 \h </w:instrText>
        </w:r>
        <w:r w:rsidRPr="000B19E9">
          <w:rPr>
            <w:noProof/>
            <w:webHidden/>
          </w:rPr>
        </w:r>
        <w:r w:rsidRPr="000B19E9">
          <w:rPr>
            <w:noProof/>
            <w:webHidden/>
          </w:rPr>
          <w:fldChar w:fldCharType="separate"/>
        </w:r>
        <w:r w:rsidR="00A654D8">
          <w:rPr>
            <w:noProof/>
            <w:webHidden/>
          </w:rPr>
          <w:t>80</w:t>
        </w:r>
        <w:r w:rsidRPr="000B19E9">
          <w:rPr>
            <w:noProof/>
            <w:webHidden/>
          </w:rPr>
          <w:fldChar w:fldCharType="end"/>
        </w:r>
      </w:hyperlink>
    </w:p>
    <w:p w14:paraId="4FC13529" w14:textId="7C644E8C"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91" w:history="1">
        <w:r w:rsidRPr="000B19E9">
          <w:rPr>
            <w:rStyle w:val="Hipercze"/>
            <w:noProof/>
          </w:rPr>
          <w:t>Rysunek 49. Średnia krocząca sumy opadu- rok - pow. biłgorajski.</w:t>
        </w:r>
        <w:r w:rsidRPr="000B19E9">
          <w:rPr>
            <w:noProof/>
            <w:webHidden/>
          </w:rPr>
          <w:tab/>
        </w:r>
        <w:r w:rsidRPr="000B19E9">
          <w:rPr>
            <w:noProof/>
            <w:webHidden/>
          </w:rPr>
          <w:fldChar w:fldCharType="begin"/>
        </w:r>
        <w:r w:rsidRPr="000B19E9">
          <w:rPr>
            <w:noProof/>
            <w:webHidden/>
          </w:rPr>
          <w:instrText xml:space="preserve"> PAGEREF _Toc178846391 \h </w:instrText>
        </w:r>
        <w:r w:rsidRPr="000B19E9">
          <w:rPr>
            <w:noProof/>
            <w:webHidden/>
          </w:rPr>
        </w:r>
        <w:r w:rsidRPr="000B19E9">
          <w:rPr>
            <w:noProof/>
            <w:webHidden/>
          </w:rPr>
          <w:fldChar w:fldCharType="separate"/>
        </w:r>
        <w:r w:rsidR="00A654D8">
          <w:rPr>
            <w:noProof/>
            <w:webHidden/>
          </w:rPr>
          <w:t>81</w:t>
        </w:r>
        <w:r w:rsidRPr="000B19E9">
          <w:rPr>
            <w:noProof/>
            <w:webHidden/>
          </w:rPr>
          <w:fldChar w:fldCharType="end"/>
        </w:r>
      </w:hyperlink>
    </w:p>
    <w:p w14:paraId="42214AF9" w14:textId="685D4E75"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92" w:history="1">
        <w:r w:rsidRPr="000B19E9">
          <w:rPr>
            <w:rStyle w:val="Hipercze"/>
            <w:rFonts w:eastAsia="Times New Roman"/>
            <w:noProof/>
          </w:rPr>
          <w:t>Rysunek 50. Działania mitygacyjne.</w:t>
        </w:r>
        <w:r w:rsidRPr="000B19E9">
          <w:rPr>
            <w:noProof/>
            <w:webHidden/>
          </w:rPr>
          <w:tab/>
        </w:r>
        <w:r w:rsidRPr="000B19E9">
          <w:rPr>
            <w:noProof/>
            <w:webHidden/>
          </w:rPr>
          <w:fldChar w:fldCharType="begin"/>
        </w:r>
        <w:r w:rsidRPr="000B19E9">
          <w:rPr>
            <w:noProof/>
            <w:webHidden/>
          </w:rPr>
          <w:instrText xml:space="preserve"> PAGEREF _Toc178846392 \h </w:instrText>
        </w:r>
        <w:r w:rsidRPr="000B19E9">
          <w:rPr>
            <w:noProof/>
            <w:webHidden/>
          </w:rPr>
        </w:r>
        <w:r w:rsidRPr="000B19E9">
          <w:rPr>
            <w:noProof/>
            <w:webHidden/>
          </w:rPr>
          <w:fldChar w:fldCharType="separate"/>
        </w:r>
        <w:r w:rsidR="00A654D8">
          <w:rPr>
            <w:noProof/>
            <w:webHidden/>
          </w:rPr>
          <w:t>92</w:t>
        </w:r>
        <w:r w:rsidRPr="000B19E9">
          <w:rPr>
            <w:noProof/>
            <w:webHidden/>
          </w:rPr>
          <w:fldChar w:fldCharType="end"/>
        </w:r>
      </w:hyperlink>
    </w:p>
    <w:p w14:paraId="12460D93" w14:textId="0322391C"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93" w:history="1">
        <w:r w:rsidRPr="000B19E9">
          <w:rPr>
            <w:rStyle w:val="Hipercze"/>
            <w:rFonts w:eastAsia="Times New Roman"/>
            <w:noProof/>
          </w:rPr>
          <w:t>Rysunek 51. Działania mitygacyjne i adaptacyjne.</w:t>
        </w:r>
        <w:r w:rsidRPr="000B19E9">
          <w:rPr>
            <w:noProof/>
            <w:webHidden/>
          </w:rPr>
          <w:tab/>
        </w:r>
        <w:r w:rsidRPr="000B19E9">
          <w:rPr>
            <w:noProof/>
            <w:webHidden/>
          </w:rPr>
          <w:fldChar w:fldCharType="begin"/>
        </w:r>
        <w:r w:rsidRPr="000B19E9">
          <w:rPr>
            <w:noProof/>
            <w:webHidden/>
          </w:rPr>
          <w:instrText xml:space="preserve"> PAGEREF _Toc178846393 \h </w:instrText>
        </w:r>
        <w:r w:rsidRPr="000B19E9">
          <w:rPr>
            <w:noProof/>
            <w:webHidden/>
          </w:rPr>
        </w:r>
        <w:r w:rsidRPr="000B19E9">
          <w:rPr>
            <w:noProof/>
            <w:webHidden/>
          </w:rPr>
          <w:fldChar w:fldCharType="separate"/>
        </w:r>
        <w:r w:rsidR="00A654D8">
          <w:rPr>
            <w:noProof/>
            <w:webHidden/>
          </w:rPr>
          <w:t>92</w:t>
        </w:r>
        <w:r w:rsidRPr="000B19E9">
          <w:rPr>
            <w:noProof/>
            <w:webHidden/>
          </w:rPr>
          <w:fldChar w:fldCharType="end"/>
        </w:r>
      </w:hyperlink>
    </w:p>
    <w:p w14:paraId="24836F16" w14:textId="3570EA81" w:rsidR="000B19E9" w:rsidRPr="000B19E9" w:rsidRDefault="000B19E9" w:rsidP="000B19E9">
      <w:pPr>
        <w:pStyle w:val="Spisilustracji"/>
        <w:tabs>
          <w:tab w:val="right" w:leader="dot" w:pos="9062"/>
        </w:tabs>
        <w:ind w:firstLine="0"/>
        <w:rPr>
          <w:rFonts w:eastAsiaTheme="minorEastAsia"/>
          <w:noProof/>
          <w:color w:val="auto"/>
          <w:kern w:val="2"/>
          <w:sz w:val="24"/>
          <w:szCs w:val="24"/>
          <w:lang w:eastAsia="pl-PL"/>
          <w14:ligatures w14:val="standardContextual"/>
        </w:rPr>
      </w:pPr>
      <w:hyperlink w:anchor="_Toc178846394" w:history="1">
        <w:r w:rsidRPr="000B19E9">
          <w:rPr>
            <w:rStyle w:val="Hipercze"/>
            <w:noProof/>
          </w:rPr>
          <w:t>Rysunek 52. Znana lokalizacja zadań adaptacyjnych.</w:t>
        </w:r>
        <w:r w:rsidRPr="000B19E9">
          <w:rPr>
            <w:noProof/>
            <w:webHidden/>
          </w:rPr>
          <w:tab/>
        </w:r>
        <w:r w:rsidRPr="000B19E9">
          <w:rPr>
            <w:noProof/>
            <w:webHidden/>
          </w:rPr>
          <w:fldChar w:fldCharType="begin"/>
        </w:r>
        <w:r w:rsidRPr="000B19E9">
          <w:rPr>
            <w:noProof/>
            <w:webHidden/>
          </w:rPr>
          <w:instrText xml:space="preserve"> PAGEREF _Toc178846394 \h </w:instrText>
        </w:r>
        <w:r w:rsidRPr="000B19E9">
          <w:rPr>
            <w:noProof/>
            <w:webHidden/>
          </w:rPr>
        </w:r>
        <w:r w:rsidRPr="000B19E9">
          <w:rPr>
            <w:noProof/>
            <w:webHidden/>
          </w:rPr>
          <w:fldChar w:fldCharType="separate"/>
        </w:r>
        <w:r w:rsidR="00A654D8">
          <w:rPr>
            <w:noProof/>
            <w:webHidden/>
          </w:rPr>
          <w:t>138</w:t>
        </w:r>
        <w:r w:rsidRPr="000B19E9">
          <w:rPr>
            <w:noProof/>
            <w:webHidden/>
          </w:rPr>
          <w:fldChar w:fldCharType="end"/>
        </w:r>
      </w:hyperlink>
    </w:p>
    <w:p w14:paraId="167EAD17" w14:textId="614958AF" w:rsidR="00905037" w:rsidRPr="0065313A" w:rsidRDefault="00C3065E" w:rsidP="000B19E9">
      <w:pPr>
        <w:pStyle w:val="Spisilustracji"/>
        <w:tabs>
          <w:tab w:val="right" w:leader="dot" w:pos="9060"/>
        </w:tabs>
        <w:ind w:firstLine="0"/>
        <w:rPr>
          <w:rFonts w:eastAsia="Calibri" w:cstheme="minorHAnsi"/>
          <w:color w:val="auto"/>
          <w:sz w:val="20"/>
          <w:szCs w:val="20"/>
        </w:rPr>
      </w:pPr>
      <w:r w:rsidRPr="000B19E9">
        <w:rPr>
          <w:rFonts w:eastAsia="Calibri" w:cstheme="minorHAnsi"/>
          <w:color w:val="auto"/>
          <w:sz w:val="20"/>
          <w:szCs w:val="20"/>
        </w:rPr>
        <w:fldChar w:fldCharType="end"/>
      </w:r>
    </w:p>
    <w:sectPr w:rsidR="00905037" w:rsidRPr="0065313A" w:rsidSect="006A4AE9">
      <w:headerReference w:type="even" r:id="rId202"/>
      <w:footerReference w:type="even" r:id="rId203"/>
      <w:headerReference w:type="first" r:id="rId204"/>
      <w:footerReference w:type="first" r:id="rId205"/>
      <w:pgSz w:w="11906" w:h="16838"/>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BBBFD3E" w14:textId="77777777" w:rsidR="00D22F37" w:rsidRPr="00655FC7" w:rsidRDefault="00D22F37" w:rsidP="003A3050">
      <w:pPr>
        <w:spacing w:line="240" w:lineRule="auto"/>
      </w:pPr>
      <w:r w:rsidRPr="00655FC7">
        <w:separator/>
      </w:r>
    </w:p>
  </w:endnote>
  <w:endnote w:type="continuationSeparator" w:id="0">
    <w:p w14:paraId="7552704C" w14:textId="77777777" w:rsidR="00D22F37" w:rsidRPr="00655FC7" w:rsidRDefault="00D22F37" w:rsidP="003A3050">
      <w:pPr>
        <w:spacing w:line="240" w:lineRule="auto"/>
      </w:pPr>
      <w:r w:rsidRPr="00655FC7">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PS">
    <w:altName w:val="Symbol"/>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Narrow">
    <w:panose1 w:val="020B0606020202030204"/>
    <w:charset w:val="EE"/>
    <w:family w:val="swiss"/>
    <w:pitch w:val="variable"/>
    <w:sig w:usb0="00000287" w:usb1="00000800" w:usb2="00000000" w:usb3="00000000" w:csb0="0000009F" w:csb1="00000000"/>
  </w:font>
  <w:font w:name="Lucida Sans Unicode">
    <w:panose1 w:val="020B0602030504020204"/>
    <w:charset w:val="EE"/>
    <w:family w:val="swiss"/>
    <w:pitch w:val="variable"/>
    <w:sig w:usb0="80000AFF" w:usb1="0000396B" w:usb2="00000000" w:usb3="00000000" w:csb0="000000BF" w:csb1="00000000"/>
  </w:font>
  <w:font w:name="font295">
    <w:altName w:val="Times New Roman"/>
    <w:charset w:val="EE"/>
    <w:family w:val="auto"/>
    <w:pitch w:val="variable"/>
  </w:font>
  <w:font w:name="Liberation Serif">
    <w:altName w:val="Times New Roman"/>
    <w:charset w:val="EE"/>
    <w:family w:val="roman"/>
    <w:pitch w:val="variable"/>
  </w:font>
  <w:font w:name="NSimSun">
    <w:panose1 w:val="02010609030101010101"/>
    <w:charset w:val="86"/>
    <w:family w:val="modern"/>
    <w:pitch w:val="fixed"/>
    <w:sig w:usb0="0000020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Roboto-Light">
    <w:altName w:val="Klee One"/>
    <w:panose1 w:val="00000000000000000000"/>
    <w:charset w:val="80"/>
    <w:family w:val="auto"/>
    <w:notTrueType/>
    <w:pitch w:val="default"/>
    <w:sig w:usb0="00000001" w:usb1="08070000" w:usb2="00000010" w:usb3="00000000" w:csb0="00020000"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60111355"/>
      <w:docPartObj>
        <w:docPartGallery w:val="Page Numbers (Bottom of Page)"/>
        <w:docPartUnique/>
      </w:docPartObj>
    </w:sdtPr>
    <w:sdtContent>
      <w:p w14:paraId="2A0B3EEE" w14:textId="3C20050F" w:rsidR="00226D50" w:rsidRPr="00655FC7" w:rsidRDefault="00226D50" w:rsidP="001B4BC4">
        <w:pPr>
          <w:pStyle w:val="Stopka"/>
          <w:tabs>
            <w:tab w:val="clear" w:pos="9072"/>
            <w:tab w:val="right" w:pos="8789"/>
          </w:tabs>
          <w:ind w:right="281" w:firstLine="0"/>
          <w:jc w:val="right"/>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2</w:t>
        </w:r>
        <w:r w:rsidRPr="00655FC7">
          <w:rPr>
            <w:b/>
            <w:bCs/>
            <w:color w:val="455B14"/>
          </w:rPr>
          <w:fldChar w:fldCharType="end"/>
        </w:r>
      </w:p>
      <w:p w14:paraId="22EDA08A" w14:textId="21516A0F" w:rsidR="008F71E8" w:rsidRPr="00655FC7" w:rsidRDefault="001B4BC4" w:rsidP="00E37A7E">
        <w:pPr>
          <w:pStyle w:val="Stopka"/>
          <w:ind w:firstLine="0"/>
          <w:jc w:val="right"/>
        </w:pPr>
        <w:r w:rsidRPr="00655FC7">
          <w:rPr>
            <w:b/>
            <w:bCs/>
            <w:noProof/>
            <w:color w:val="455B14"/>
          </w:rPr>
          <mc:AlternateContent>
            <mc:Choice Requires="wps">
              <w:drawing>
                <wp:inline distT="0" distB="0" distL="0" distR="0" wp14:anchorId="061EF77B" wp14:editId="46EBC2B1">
                  <wp:extent cx="5760000" cy="0"/>
                  <wp:effectExtent l="0" t="0" r="0" b="0"/>
                  <wp:docPr id="1357805976" name="Łącznik prosty 3"/>
                  <wp:cNvGraphicFramePr/>
                  <a:graphic xmlns:a="http://schemas.openxmlformats.org/drawingml/2006/main">
                    <a:graphicData uri="http://schemas.microsoft.com/office/word/2010/wordprocessingShape">
                      <wps:wsp>
                        <wps:cNvCnPr/>
                        <wps:spPr>
                          <a:xfrm>
                            <a:off x="0" y="0"/>
                            <a:ext cx="576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041C167A"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" strokecolor="#638a29">
                  <w10:anchorlock/>
                </v:line>
              </w:pict>
            </mc:Fallback>
          </mc:AlternateContent>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236242646"/>
      <w:docPartObj>
        <w:docPartGallery w:val="Page Numbers (Bottom of Page)"/>
        <w:docPartUnique/>
      </w:docPartObj>
    </w:sdtPr>
    <w:sdtEndPr>
      <w:rPr>
        <w:color w:val="auto"/>
      </w:rPr>
    </w:sdtEndPr>
    <w:sdtContent>
      <w:p w14:paraId="705A0BD0" w14:textId="77777777" w:rsidR="00D155AA" w:rsidRPr="00655FC7" w:rsidRDefault="00D155AA" w:rsidP="00184D9F">
        <w:pPr>
          <w:pStyle w:val="Stopka"/>
          <w:jc w:val="center"/>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1</w:t>
        </w:r>
        <w:r w:rsidRPr="00655FC7">
          <w:rPr>
            <w:b/>
            <w:bCs/>
            <w:color w:val="455B14"/>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4533608"/>
      <w:docPartObj>
        <w:docPartGallery w:val="Page Numbers (Bottom of Page)"/>
        <w:docPartUnique/>
      </w:docPartObj>
    </w:sdtPr>
    <w:sdtEndPr>
      <w:rPr>
        <w:color w:val="auto"/>
      </w:rPr>
    </w:sdtEndPr>
    <w:sdtContent>
      <w:p w14:paraId="590CCA53" w14:textId="77777777" w:rsidR="00D155AA" w:rsidRPr="00655FC7" w:rsidRDefault="00D155AA" w:rsidP="00184D9F">
        <w:pPr>
          <w:pStyle w:val="Stopka"/>
          <w:ind w:right="284" w:firstLine="0"/>
          <w:jc w:val="center"/>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2</w:t>
        </w:r>
        <w:r w:rsidRPr="00655FC7">
          <w:rPr>
            <w:b/>
            <w:bCs/>
            <w:color w:val="455B14"/>
          </w:rPr>
          <w:fldChar w:fldCharType="end"/>
        </w:r>
      </w:p>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92605902"/>
      <w:docPartObj>
        <w:docPartGallery w:val="Page Numbers (Bottom of Page)"/>
        <w:docPartUnique/>
      </w:docPartObj>
    </w:sdtPr>
    <w:sdtContent>
      <w:p w14:paraId="7B1B92E0" w14:textId="77777777" w:rsidR="00EC446B" w:rsidRPr="00655FC7" w:rsidRDefault="00EC446B" w:rsidP="001B4BC4">
        <w:pPr>
          <w:pStyle w:val="Stopka"/>
          <w:tabs>
            <w:tab w:val="clear" w:pos="9072"/>
            <w:tab w:val="right" w:pos="8789"/>
          </w:tabs>
          <w:ind w:right="281" w:firstLine="0"/>
          <w:jc w:val="right"/>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2</w:t>
        </w:r>
        <w:r w:rsidRPr="00655FC7">
          <w:rPr>
            <w:b/>
            <w:bCs/>
            <w:color w:val="455B14"/>
          </w:rPr>
          <w:fldChar w:fldCharType="end"/>
        </w:r>
      </w:p>
      <w:p w14:paraId="6BDE9CC6" w14:textId="77777777" w:rsidR="00EC446B" w:rsidRPr="00655FC7" w:rsidRDefault="00EC446B" w:rsidP="00E37A7E">
        <w:pPr>
          <w:pStyle w:val="Stopka"/>
          <w:ind w:firstLine="0"/>
          <w:jc w:val="right"/>
        </w:pPr>
        <w:r w:rsidRPr="00655FC7">
          <w:rPr>
            <w:b/>
            <w:bCs/>
            <w:noProof/>
            <w:color w:val="455B14"/>
          </w:rPr>
          <mc:AlternateContent>
            <mc:Choice Requires="wps">
              <w:drawing>
                <wp:inline distT="0" distB="0" distL="0" distR="0" wp14:anchorId="56314C71" wp14:editId="39CA0E86">
                  <wp:extent cx="9000000" cy="0"/>
                  <wp:effectExtent l="0" t="0" r="0" b="0"/>
                  <wp:docPr id="1776012897" name="Łącznik prosty 3"/>
                  <wp:cNvGraphicFramePr/>
                  <a:graphic xmlns:a="http://schemas.openxmlformats.org/drawingml/2006/main">
                    <a:graphicData uri="http://schemas.microsoft.com/office/word/2010/wordprocessingShape">
                      <wps:wsp>
                        <wps:cNvCnPr/>
                        <wps:spPr>
                          <a:xfrm>
                            <a:off x="0" y="0"/>
                            <a:ext cx="900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7BAC2CA2"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70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" strokecolor="#638a29">
                  <w10:anchorlock/>
                </v:line>
              </w:pict>
            </mc:Fallback>
          </mc:AlternateContent>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33212098"/>
      <w:docPartObj>
        <w:docPartGallery w:val="Page Numbers (Bottom of Page)"/>
        <w:docPartUnique/>
      </w:docPartObj>
    </w:sdtPr>
    <w:sdtEndPr>
      <w:rPr>
        <w:color w:val="auto"/>
      </w:rPr>
    </w:sdtEndPr>
    <w:sdtContent>
      <w:p w14:paraId="07784101" w14:textId="64EE4707" w:rsidR="00EC446B" w:rsidRPr="00F71C55" w:rsidRDefault="00EC446B" w:rsidP="00F71C55">
        <w:pPr>
          <w:pStyle w:val="Stopka"/>
          <w:jc w:val="center"/>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1</w:t>
        </w:r>
        <w:r w:rsidRPr="00655FC7">
          <w:rPr>
            <w:b/>
            <w:bCs/>
            <w:color w:val="455B14"/>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10230919"/>
      <w:docPartObj>
        <w:docPartGallery w:val="Page Numbers (Bottom of Page)"/>
        <w:docPartUnique/>
      </w:docPartObj>
    </w:sdtPr>
    <w:sdtContent>
      <w:p w14:paraId="36915A24" w14:textId="77777777" w:rsidR="003F3E5A" w:rsidRPr="00655FC7" w:rsidRDefault="003F3E5A" w:rsidP="001B4BC4">
        <w:pPr>
          <w:pStyle w:val="Stopka"/>
          <w:tabs>
            <w:tab w:val="clear" w:pos="9072"/>
            <w:tab w:val="right" w:pos="8789"/>
          </w:tabs>
          <w:ind w:right="281" w:firstLine="0"/>
          <w:jc w:val="right"/>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2</w:t>
        </w:r>
        <w:r w:rsidRPr="00655FC7">
          <w:rPr>
            <w:b/>
            <w:bCs/>
            <w:color w:val="455B14"/>
          </w:rPr>
          <w:fldChar w:fldCharType="end"/>
        </w:r>
      </w:p>
      <w:p w14:paraId="013BE84E" w14:textId="77777777" w:rsidR="003F3E5A" w:rsidRPr="00655FC7" w:rsidRDefault="003F3E5A" w:rsidP="00E37A7E">
        <w:pPr>
          <w:pStyle w:val="Stopka"/>
          <w:ind w:firstLine="0"/>
          <w:jc w:val="right"/>
        </w:pPr>
        <w:r w:rsidRPr="00655FC7">
          <w:rPr>
            <w:b/>
            <w:bCs/>
            <w:noProof/>
            <w:color w:val="455B14"/>
          </w:rPr>
          <mc:AlternateContent>
            <mc:Choice Requires="wps">
              <w:drawing>
                <wp:inline distT="0" distB="0" distL="0" distR="0" wp14:anchorId="57CD36AC" wp14:editId="76B75BB1">
                  <wp:extent cx="9000000" cy="0"/>
                  <wp:effectExtent l="0" t="0" r="0" b="0"/>
                  <wp:docPr id="507882482" name="Łącznik prosty 3"/>
                  <wp:cNvGraphicFramePr/>
                  <a:graphic xmlns:a="http://schemas.openxmlformats.org/drawingml/2006/main">
                    <a:graphicData uri="http://schemas.microsoft.com/office/word/2010/wordprocessingShape">
                      <wps:wsp>
                        <wps:cNvCnPr/>
                        <wps:spPr>
                          <a:xfrm>
                            <a:off x="0" y="0"/>
                            <a:ext cx="900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705A32E6"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70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" strokecolor="#638a29">
                  <w10:anchorlock/>
                </v:line>
              </w:pict>
            </mc:Fallback>
          </mc:AlternateContent>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399093631"/>
      <w:docPartObj>
        <w:docPartGallery w:val="Page Numbers (Bottom of Page)"/>
        <w:docPartUnique/>
      </w:docPartObj>
    </w:sdtPr>
    <w:sdtEndPr>
      <w:rPr>
        <w:color w:val="auto"/>
      </w:rPr>
    </w:sdtEndPr>
    <w:sdtContent>
      <w:p w14:paraId="5B75A2F6" w14:textId="77777777" w:rsidR="003F3E5A" w:rsidRPr="00F71C55" w:rsidRDefault="003F3E5A" w:rsidP="00F71C55">
        <w:pPr>
          <w:pStyle w:val="Stopka"/>
          <w:jc w:val="center"/>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1</w:t>
        </w:r>
        <w:r w:rsidRPr="00655FC7">
          <w:rPr>
            <w:b/>
            <w:bCs/>
            <w:color w:val="455B14"/>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51172052"/>
      <w:docPartObj>
        <w:docPartGallery w:val="Page Numbers (Bottom of Page)"/>
        <w:docPartUnique/>
      </w:docPartObj>
    </w:sdtPr>
    <w:sdtContent>
      <w:p w14:paraId="778FC7C5" w14:textId="77777777" w:rsidR="00EC446B" w:rsidRPr="00655FC7" w:rsidRDefault="00EC446B" w:rsidP="001B4BC4">
        <w:pPr>
          <w:pStyle w:val="Stopka"/>
          <w:tabs>
            <w:tab w:val="clear" w:pos="9072"/>
            <w:tab w:val="right" w:pos="8789"/>
          </w:tabs>
          <w:ind w:right="281" w:firstLine="0"/>
          <w:jc w:val="right"/>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2</w:t>
        </w:r>
        <w:r w:rsidRPr="00655FC7">
          <w:rPr>
            <w:b/>
            <w:bCs/>
            <w:color w:val="455B14"/>
          </w:rPr>
          <w:fldChar w:fldCharType="end"/>
        </w:r>
      </w:p>
      <w:p w14:paraId="61EFC035" w14:textId="77777777" w:rsidR="00EC446B" w:rsidRPr="00655FC7" w:rsidRDefault="00EC446B" w:rsidP="00E37A7E">
        <w:pPr>
          <w:pStyle w:val="Stopka"/>
          <w:ind w:firstLine="0"/>
          <w:jc w:val="right"/>
        </w:pPr>
        <w:r w:rsidRPr="00655FC7">
          <w:rPr>
            <w:b/>
            <w:bCs/>
            <w:noProof/>
            <w:color w:val="455B14"/>
          </w:rPr>
          <mc:AlternateContent>
            <mc:Choice Requires="wps">
              <w:drawing>
                <wp:inline distT="0" distB="0" distL="0" distR="0" wp14:anchorId="45ADA3F8" wp14:editId="10A49DB1">
                  <wp:extent cx="9000000" cy="0"/>
                  <wp:effectExtent l="0" t="0" r="0" b="0"/>
                  <wp:docPr id="1617865495" name="Łącznik prosty 3"/>
                  <wp:cNvGraphicFramePr/>
                  <a:graphic xmlns:a="http://schemas.openxmlformats.org/drawingml/2006/main">
                    <a:graphicData uri="http://schemas.microsoft.com/office/word/2010/wordprocessingShape">
                      <wps:wsp>
                        <wps:cNvCnPr/>
                        <wps:spPr>
                          <a:xfrm>
                            <a:off x="0" y="0"/>
                            <a:ext cx="900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3A128814"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70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" strokecolor="#638a29">
                  <w10:anchorlock/>
                </v:line>
              </w:pict>
            </mc:Fallback>
          </mc:AlternateContent>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55481760"/>
      <w:docPartObj>
        <w:docPartGallery w:val="Page Numbers (Bottom of Page)"/>
        <w:docPartUnique/>
      </w:docPartObj>
    </w:sdtPr>
    <w:sdtEndPr>
      <w:rPr>
        <w:color w:val="auto"/>
      </w:rPr>
    </w:sdtEndPr>
    <w:sdtContent>
      <w:p w14:paraId="4F67D2CE" w14:textId="257BE5BB" w:rsidR="00EC446B" w:rsidRPr="00F71C55" w:rsidRDefault="00EC446B" w:rsidP="00F71C55">
        <w:pPr>
          <w:pStyle w:val="Stopka"/>
          <w:jc w:val="center"/>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1</w:t>
        </w:r>
        <w:r w:rsidRPr="00655FC7">
          <w:rPr>
            <w:b/>
            <w:bCs/>
            <w:color w:val="455B14"/>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91952423"/>
      <w:docPartObj>
        <w:docPartGallery w:val="Page Numbers (Bottom of Page)"/>
        <w:docPartUnique/>
      </w:docPartObj>
    </w:sdtPr>
    <w:sdtContent>
      <w:p w14:paraId="4D4E5C39" w14:textId="77777777" w:rsidR="000B551F" w:rsidRPr="00655FC7" w:rsidRDefault="000B551F" w:rsidP="001B4BC4">
        <w:pPr>
          <w:pStyle w:val="Stopka"/>
          <w:tabs>
            <w:tab w:val="clear" w:pos="9072"/>
            <w:tab w:val="right" w:pos="8789"/>
          </w:tabs>
          <w:ind w:right="281" w:firstLine="0"/>
          <w:jc w:val="right"/>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2</w:t>
        </w:r>
        <w:r w:rsidRPr="00655FC7">
          <w:rPr>
            <w:b/>
            <w:bCs/>
            <w:color w:val="455B14"/>
          </w:rPr>
          <w:fldChar w:fldCharType="end"/>
        </w:r>
      </w:p>
      <w:p w14:paraId="5234E620" w14:textId="77777777" w:rsidR="000B551F" w:rsidRPr="00655FC7" w:rsidRDefault="000B551F" w:rsidP="00E37A7E">
        <w:pPr>
          <w:pStyle w:val="Stopka"/>
          <w:ind w:firstLine="0"/>
          <w:jc w:val="right"/>
        </w:pPr>
        <w:r w:rsidRPr="00655FC7">
          <w:rPr>
            <w:b/>
            <w:bCs/>
            <w:noProof/>
            <w:color w:val="455B14"/>
          </w:rPr>
          <mc:AlternateContent>
            <mc:Choice Requires="wps">
              <w:drawing>
                <wp:inline distT="0" distB="0" distL="0" distR="0" wp14:anchorId="526D3749" wp14:editId="42EEC74F">
                  <wp:extent cx="9000000" cy="0"/>
                  <wp:effectExtent l="0" t="0" r="0" b="0"/>
                  <wp:docPr id="947966315" name="Łącznik prosty 3"/>
                  <wp:cNvGraphicFramePr/>
                  <a:graphic xmlns:a="http://schemas.openxmlformats.org/drawingml/2006/main">
                    <a:graphicData uri="http://schemas.microsoft.com/office/word/2010/wordprocessingShape">
                      <wps:wsp>
                        <wps:cNvCnPr/>
                        <wps:spPr>
                          <a:xfrm>
                            <a:off x="0" y="0"/>
                            <a:ext cx="900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4974E79B"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70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" strokecolor="#638a29">
                  <w10:anchorlock/>
                </v:line>
              </w:pict>
            </mc:Fallback>
          </mc:AlternateContent>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06805009"/>
      <w:docPartObj>
        <w:docPartGallery w:val="Page Numbers (Bottom of Page)"/>
        <w:docPartUnique/>
      </w:docPartObj>
    </w:sdtPr>
    <w:sdtEndPr>
      <w:rPr>
        <w:color w:val="auto"/>
      </w:rPr>
    </w:sdtEndPr>
    <w:sdtContent>
      <w:p w14:paraId="686E22CD" w14:textId="2344088E" w:rsidR="000B551F" w:rsidRPr="00880211" w:rsidRDefault="000B551F" w:rsidP="00880211">
        <w:pPr>
          <w:pStyle w:val="Stopka"/>
          <w:jc w:val="center"/>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1</w:t>
        </w:r>
        <w:r w:rsidRPr="00655FC7">
          <w:rPr>
            <w:b/>
            <w:bCs/>
            <w:color w:val="455B1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84657831"/>
      <w:docPartObj>
        <w:docPartGallery w:val="Page Numbers (Bottom of Page)"/>
        <w:docPartUnique/>
      </w:docPartObj>
    </w:sdtPr>
    <w:sdtEndPr>
      <w:rPr>
        <w:color w:val="auto"/>
      </w:rPr>
    </w:sdtEndPr>
    <w:sdtContent>
      <w:p w14:paraId="5394416F" w14:textId="7A549DBE" w:rsidR="008F71E8" w:rsidRPr="00655FC7" w:rsidRDefault="006F526E" w:rsidP="00330C51">
        <w:pPr>
          <w:pStyle w:val="Stopka"/>
          <w:ind w:firstLine="0"/>
          <w:jc w:val="center"/>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1</w:t>
        </w:r>
        <w:r w:rsidRPr="00655FC7">
          <w:rPr>
            <w:b/>
            <w:bCs/>
            <w:color w:val="455B14"/>
          </w:rPr>
          <w:fldChar w:fldCharType="end"/>
        </w:r>
      </w:p>
    </w:sdtContent>
  </w:sdt>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52442313"/>
      <w:docPartObj>
        <w:docPartGallery w:val="Page Numbers (Bottom of Page)"/>
        <w:docPartUnique/>
      </w:docPartObj>
    </w:sdtPr>
    <w:sdtContent>
      <w:p w14:paraId="62DBC1D2" w14:textId="77777777" w:rsidR="000B551F" w:rsidRPr="00655FC7" w:rsidRDefault="000B551F" w:rsidP="001B4BC4">
        <w:pPr>
          <w:pStyle w:val="Stopka"/>
          <w:tabs>
            <w:tab w:val="clear" w:pos="9072"/>
            <w:tab w:val="right" w:pos="8789"/>
          </w:tabs>
          <w:ind w:right="281" w:firstLine="0"/>
          <w:jc w:val="right"/>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2</w:t>
        </w:r>
        <w:r w:rsidRPr="00655FC7">
          <w:rPr>
            <w:b/>
            <w:bCs/>
            <w:color w:val="455B14"/>
          </w:rPr>
          <w:fldChar w:fldCharType="end"/>
        </w:r>
      </w:p>
      <w:p w14:paraId="23A789F4" w14:textId="77777777" w:rsidR="000B551F" w:rsidRPr="00655FC7" w:rsidRDefault="000B551F" w:rsidP="00E37A7E">
        <w:pPr>
          <w:pStyle w:val="Stopka"/>
          <w:ind w:firstLine="0"/>
          <w:jc w:val="right"/>
        </w:pPr>
        <w:r w:rsidRPr="00655FC7">
          <w:rPr>
            <w:b/>
            <w:bCs/>
            <w:noProof/>
            <w:color w:val="455B14"/>
          </w:rPr>
          <mc:AlternateContent>
            <mc:Choice Requires="wps">
              <w:drawing>
                <wp:inline distT="0" distB="0" distL="0" distR="0" wp14:anchorId="6D64285C" wp14:editId="5D73757C">
                  <wp:extent cx="5760000" cy="0"/>
                  <wp:effectExtent l="0" t="0" r="0" b="0"/>
                  <wp:docPr id="166002824" name="Łącznik prosty 3"/>
                  <wp:cNvGraphicFramePr/>
                  <a:graphic xmlns:a="http://schemas.openxmlformats.org/drawingml/2006/main">
                    <a:graphicData uri="http://schemas.microsoft.com/office/word/2010/wordprocessingShape">
                      <wps:wsp>
                        <wps:cNvCnPr/>
                        <wps:spPr>
                          <a:xfrm>
                            <a:off x="0" y="0"/>
                            <a:ext cx="576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74620216"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" strokecolor="#638a29">
                  <w10:anchorlock/>
                </v:line>
              </w:pict>
            </mc:Fallback>
          </mc:AlternateContent>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41448219"/>
      <w:docPartObj>
        <w:docPartGallery w:val="Page Numbers (Bottom of Page)"/>
        <w:docPartUnique/>
      </w:docPartObj>
    </w:sdtPr>
    <w:sdtEndPr>
      <w:rPr>
        <w:color w:val="auto"/>
      </w:rPr>
    </w:sdtEndPr>
    <w:sdtContent>
      <w:p w14:paraId="4D2A7DC6" w14:textId="1F2CD2C0" w:rsidR="000B551F" w:rsidRPr="00326DCF" w:rsidRDefault="000B551F" w:rsidP="00326DCF">
        <w:pPr>
          <w:pStyle w:val="Stopka"/>
          <w:jc w:val="center"/>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1</w:t>
        </w:r>
        <w:r w:rsidRPr="00655FC7">
          <w:rPr>
            <w:b/>
            <w:bCs/>
            <w:color w:val="455B14"/>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844358527"/>
      <w:docPartObj>
        <w:docPartGallery w:val="Page Numbers (Bottom of Page)"/>
        <w:docPartUnique/>
      </w:docPartObj>
    </w:sdtPr>
    <w:sdtContent>
      <w:p w14:paraId="29D56A20" w14:textId="77777777" w:rsidR="000B551F" w:rsidRPr="00655FC7" w:rsidRDefault="000B551F" w:rsidP="001B4BC4">
        <w:pPr>
          <w:pStyle w:val="Stopka"/>
          <w:tabs>
            <w:tab w:val="clear" w:pos="9072"/>
            <w:tab w:val="right" w:pos="8789"/>
          </w:tabs>
          <w:ind w:right="281" w:firstLine="0"/>
          <w:jc w:val="right"/>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2</w:t>
        </w:r>
        <w:r w:rsidRPr="00655FC7">
          <w:rPr>
            <w:b/>
            <w:bCs/>
            <w:color w:val="455B14"/>
          </w:rPr>
          <w:fldChar w:fldCharType="end"/>
        </w:r>
      </w:p>
      <w:p w14:paraId="7B550FC9" w14:textId="77777777" w:rsidR="000B551F" w:rsidRPr="00655FC7" w:rsidRDefault="000B551F" w:rsidP="00E37A7E">
        <w:pPr>
          <w:pStyle w:val="Stopka"/>
          <w:ind w:firstLine="0"/>
          <w:jc w:val="right"/>
        </w:pPr>
        <w:r w:rsidRPr="00655FC7">
          <w:rPr>
            <w:b/>
            <w:bCs/>
            <w:noProof/>
            <w:color w:val="455B14"/>
          </w:rPr>
          <mc:AlternateContent>
            <mc:Choice Requires="wps">
              <w:drawing>
                <wp:inline distT="0" distB="0" distL="0" distR="0" wp14:anchorId="094B7AC6" wp14:editId="5AB733A5">
                  <wp:extent cx="9000000" cy="0"/>
                  <wp:effectExtent l="0" t="0" r="0" b="0"/>
                  <wp:docPr id="529970681" name="Łącznik prosty 3"/>
                  <wp:cNvGraphicFramePr/>
                  <a:graphic xmlns:a="http://schemas.openxmlformats.org/drawingml/2006/main">
                    <a:graphicData uri="http://schemas.microsoft.com/office/word/2010/wordprocessingShape">
                      <wps:wsp>
                        <wps:cNvCnPr/>
                        <wps:spPr>
                          <a:xfrm>
                            <a:off x="0" y="0"/>
                            <a:ext cx="900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581B0F4A"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70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" strokecolor="#638a29">
                  <w10:anchorlock/>
                </v:line>
              </w:pict>
            </mc:Fallback>
          </mc:AlternateContent>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60203265"/>
      <w:docPartObj>
        <w:docPartGallery w:val="Page Numbers (Bottom of Page)"/>
        <w:docPartUnique/>
      </w:docPartObj>
    </w:sdtPr>
    <w:sdtEndPr>
      <w:rPr>
        <w:color w:val="auto"/>
      </w:rPr>
    </w:sdtEndPr>
    <w:sdtContent>
      <w:p w14:paraId="581B350D" w14:textId="01DDA9E4" w:rsidR="000B551F" w:rsidRPr="00103084" w:rsidRDefault="000B551F" w:rsidP="00103084">
        <w:pPr>
          <w:pStyle w:val="Stopka"/>
          <w:jc w:val="center"/>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1</w:t>
        </w:r>
        <w:r w:rsidRPr="00655FC7">
          <w:rPr>
            <w:b/>
            <w:bCs/>
            <w:color w:val="455B14"/>
          </w:rPr>
          <w:fldChar w:fldCharType="end"/>
        </w:r>
      </w:p>
    </w:sdtContent>
  </w:sdt>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5181371"/>
      <w:docPartObj>
        <w:docPartGallery w:val="Page Numbers (Bottom of Page)"/>
        <w:docPartUnique/>
      </w:docPartObj>
    </w:sdtPr>
    <w:sdtContent>
      <w:p w14:paraId="46545F44" w14:textId="77777777" w:rsidR="00D36597" w:rsidRPr="00655FC7" w:rsidRDefault="00D36597" w:rsidP="001B4BC4">
        <w:pPr>
          <w:pStyle w:val="Stopka"/>
          <w:tabs>
            <w:tab w:val="clear" w:pos="9072"/>
            <w:tab w:val="right" w:pos="8789"/>
          </w:tabs>
          <w:ind w:right="281" w:firstLine="0"/>
          <w:jc w:val="right"/>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2</w:t>
        </w:r>
        <w:r w:rsidRPr="00655FC7">
          <w:rPr>
            <w:b/>
            <w:bCs/>
            <w:color w:val="455B14"/>
          </w:rPr>
          <w:fldChar w:fldCharType="end"/>
        </w:r>
      </w:p>
      <w:p w14:paraId="2DD77FFB" w14:textId="77777777" w:rsidR="00D36597" w:rsidRPr="00655FC7" w:rsidRDefault="00D36597" w:rsidP="00E37A7E">
        <w:pPr>
          <w:pStyle w:val="Stopka"/>
          <w:ind w:firstLine="0"/>
          <w:jc w:val="right"/>
        </w:pPr>
        <w:r w:rsidRPr="00655FC7">
          <w:rPr>
            <w:b/>
            <w:bCs/>
            <w:noProof/>
            <w:color w:val="455B14"/>
          </w:rPr>
          <mc:AlternateContent>
            <mc:Choice Requires="wps">
              <w:drawing>
                <wp:inline distT="0" distB="0" distL="0" distR="0" wp14:anchorId="3F559694" wp14:editId="16698465">
                  <wp:extent cx="5760000" cy="0"/>
                  <wp:effectExtent l="0" t="0" r="0" b="0"/>
                  <wp:docPr id="1574356609" name="Łącznik prosty 3"/>
                  <wp:cNvGraphicFramePr/>
                  <a:graphic xmlns:a="http://schemas.openxmlformats.org/drawingml/2006/main">
                    <a:graphicData uri="http://schemas.microsoft.com/office/word/2010/wordprocessingShape">
                      <wps:wsp>
                        <wps:cNvCnPr/>
                        <wps:spPr>
                          <a:xfrm>
                            <a:off x="0" y="0"/>
                            <a:ext cx="576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09B706E9"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" strokecolor="#638a29">
                  <w10:anchorlock/>
                </v:line>
              </w:pict>
            </mc:Fallback>
          </mc:AlternateContent>
        </w:r>
      </w:p>
    </w:sdtContent>
  </w:sdt>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02170970"/>
      <w:docPartObj>
        <w:docPartGallery w:val="Page Numbers (Bottom of Page)"/>
        <w:docPartUnique/>
      </w:docPartObj>
    </w:sdtPr>
    <w:sdtEndPr>
      <w:rPr>
        <w:color w:val="auto"/>
      </w:rPr>
    </w:sdtEndPr>
    <w:sdtContent>
      <w:p w14:paraId="460986AE" w14:textId="77777777" w:rsidR="00D36597" w:rsidRPr="00655FC7" w:rsidRDefault="00D36597" w:rsidP="00D36597">
        <w:pPr>
          <w:pStyle w:val="Stopka"/>
          <w:ind w:right="284" w:firstLine="0"/>
          <w:jc w:val="right"/>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2</w:t>
        </w:r>
        <w:r w:rsidRPr="00655FC7">
          <w:rPr>
            <w:b/>
            <w:bCs/>
            <w:color w:val="455B14"/>
          </w:rPr>
          <w:fldChar w:fldCharType="end"/>
        </w:r>
      </w:p>
      <w:p w14:paraId="7680ACCE" w14:textId="77777777" w:rsidR="00D36597" w:rsidRPr="00655FC7" w:rsidRDefault="00D36597" w:rsidP="00B54776">
        <w:pPr>
          <w:pStyle w:val="Stopka"/>
          <w:ind w:firstLine="0"/>
          <w:jc w:val="right"/>
          <w:rPr>
            <w:color w:val="455B14"/>
          </w:rPr>
        </w:pPr>
        <w:r w:rsidRPr="00655FC7">
          <w:rPr>
            <w:noProof/>
            <w:color w:val="auto"/>
          </w:rPr>
          <mc:AlternateContent>
            <mc:Choice Requires="wps">
              <w:drawing>
                <wp:inline distT="0" distB="0" distL="0" distR="0" wp14:anchorId="417254BF" wp14:editId="5A29EB3E">
                  <wp:extent cx="5760000" cy="0"/>
                  <wp:effectExtent l="0" t="0" r="0" b="0"/>
                  <wp:docPr id="503641443" name="Łącznik prosty 3"/>
                  <wp:cNvGraphicFramePr/>
                  <a:graphic xmlns:a="http://schemas.openxmlformats.org/drawingml/2006/main">
                    <a:graphicData uri="http://schemas.microsoft.com/office/word/2010/wordprocessingShape">
                      <wps:wsp>
                        <wps:cNvCnPr/>
                        <wps:spPr>
                          <a:xfrm>
                            <a:off x="0" y="0"/>
                            <a:ext cx="576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4FA5965A"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" strokecolor="#638a29">
                  <w10:anchorlock/>
                </v:line>
              </w:pict>
            </mc:Fallback>
          </mc:AlternateContent>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57025871"/>
      <w:docPartObj>
        <w:docPartGallery w:val="Page Numbers (Bottom of Page)"/>
        <w:docPartUnique/>
      </w:docPartObj>
    </w:sdtPr>
    <w:sdtEndPr>
      <w:rPr>
        <w:color w:val="auto"/>
      </w:rPr>
    </w:sdtEndPr>
    <w:sdtContent>
      <w:p w14:paraId="4A823608" w14:textId="77777777" w:rsidR="00D155AA" w:rsidRPr="00655FC7" w:rsidRDefault="00D155AA" w:rsidP="006B5A0A">
        <w:pPr>
          <w:pStyle w:val="Stopka"/>
          <w:ind w:left="284" w:firstLine="0"/>
          <w:jc w:val="center"/>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2</w:t>
        </w:r>
        <w:r w:rsidRPr="00655FC7">
          <w:rPr>
            <w:b/>
            <w:bCs/>
            <w:color w:val="455B14"/>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01211035"/>
      <w:docPartObj>
        <w:docPartGallery w:val="Page Numbers (Bottom of Page)"/>
        <w:docPartUnique/>
      </w:docPartObj>
    </w:sdtPr>
    <w:sdtContent>
      <w:p w14:paraId="46216F71" w14:textId="77777777" w:rsidR="00D155AA" w:rsidRPr="00655FC7" w:rsidRDefault="00D155AA" w:rsidP="001B4BC4">
        <w:pPr>
          <w:pStyle w:val="Stopka"/>
          <w:tabs>
            <w:tab w:val="clear" w:pos="9072"/>
            <w:tab w:val="right" w:pos="8789"/>
          </w:tabs>
          <w:ind w:right="281" w:firstLine="0"/>
          <w:jc w:val="right"/>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2</w:t>
        </w:r>
        <w:r w:rsidRPr="00655FC7">
          <w:rPr>
            <w:b/>
            <w:bCs/>
            <w:color w:val="455B14"/>
          </w:rPr>
          <w:fldChar w:fldCharType="end"/>
        </w:r>
      </w:p>
      <w:p w14:paraId="0BBD2DBA" w14:textId="77777777" w:rsidR="00D155AA" w:rsidRPr="00655FC7" w:rsidRDefault="00D155AA" w:rsidP="00E37A7E">
        <w:pPr>
          <w:pStyle w:val="Stopka"/>
          <w:ind w:firstLine="0"/>
          <w:jc w:val="right"/>
        </w:pPr>
        <w:r w:rsidRPr="00655FC7">
          <w:rPr>
            <w:b/>
            <w:bCs/>
            <w:noProof/>
            <w:color w:val="455B14"/>
          </w:rPr>
          <mc:AlternateContent>
            <mc:Choice Requires="wps">
              <w:drawing>
                <wp:inline distT="0" distB="0" distL="0" distR="0" wp14:anchorId="6257DF2D" wp14:editId="6019B748">
                  <wp:extent cx="9000000" cy="0"/>
                  <wp:effectExtent l="0" t="0" r="0" b="0"/>
                  <wp:docPr id="1762822723" name="Łącznik prosty 3"/>
                  <wp:cNvGraphicFramePr/>
                  <a:graphic xmlns:a="http://schemas.openxmlformats.org/drawingml/2006/main">
                    <a:graphicData uri="http://schemas.microsoft.com/office/word/2010/wordprocessingShape">
                      <wps:wsp>
                        <wps:cNvCnPr/>
                        <wps:spPr>
                          <a:xfrm>
                            <a:off x="0" y="0"/>
                            <a:ext cx="900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09990287"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70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" strokecolor="#638a29">
                  <w10:anchorlock/>
                </v:line>
              </w:pict>
            </mc:Fallback>
          </mc:AlternateContent>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4042499"/>
      <w:docPartObj>
        <w:docPartGallery w:val="Page Numbers (Bottom of Page)"/>
        <w:docPartUnique/>
      </w:docPartObj>
    </w:sdtPr>
    <w:sdtEndPr>
      <w:rPr>
        <w:color w:val="auto"/>
      </w:rPr>
    </w:sdtEndPr>
    <w:sdtContent>
      <w:p w14:paraId="737938DD" w14:textId="77777777" w:rsidR="00D155AA" w:rsidRPr="00655FC7" w:rsidRDefault="00D155AA" w:rsidP="002948B0">
        <w:pPr>
          <w:pStyle w:val="Stopka"/>
          <w:jc w:val="center"/>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1</w:t>
        </w:r>
        <w:r w:rsidRPr="00655FC7">
          <w:rPr>
            <w:b/>
            <w:bCs/>
            <w:color w:val="455B14"/>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42475155"/>
      <w:docPartObj>
        <w:docPartGallery w:val="Page Numbers (Bottom of Page)"/>
        <w:docPartUnique/>
      </w:docPartObj>
    </w:sdtPr>
    <w:sdtEndPr>
      <w:rPr>
        <w:color w:val="auto"/>
      </w:rPr>
    </w:sdtEndPr>
    <w:sdtContent>
      <w:p w14:paraId="0445605F" w14:textId="77777777" w:rsidR="00D155AA" w:rsidRPr="00655FC7" w:rsidRDefault="00D155AA" w:rsidP="0069790A">
        <w:pPr>
          <w:pStyle w:val="Stopka"/>
          <w:jc w:val="center"/>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1</w:t>
        </w:r>
        <w:r w:rsidRPr="00655FC7">
          <w:rPr>
            <w:b/>
            <w:bCs/>
            <w:color w:val="455B14"/>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84583545"/>
      <w:docPartObj>
        <w:docPartGallery w:val="Page Numbers (Bottom of Page)"/>
        <w:docPartUnique/>
      </w:docPartObj>
    </w:sdtPr>
    <w:sdtEndPr>
      <w:rPr>
        <w:color w:val="auto"/>
      </w:rPr>
    </w:sdtEndPr>
    <w:sdtContent>
      <w:p w14:paraId="71F133C2" w14:textId="77777777" w:rsidR="00D155AA" w:rsidRPr="00655FC7" w:rsidRDefault="00D155AA" w:rsidP="0069790A">
        <w:pPr>
          <w:pStyle w:val="Stopka"/>
          <w:ind w:right="284" w:firstLine="0"/>
          <w:jc w:val="center"/>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2</w:t>
        </w:r>
        <w:r w:rsidRPr="00655FC7">
          <w:rPr>
            <w:b/>
            <w:bCs/>
            <w:color w:val="455B14"/>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67835786"/>
      <w:docPartObj>
        <w:docPartGallery w:val="Page Numbers (Bottom of Page)"/>
        <w:docPartUnique/>
      </w:docPartObj>
    </w:sdtPr>
    <w:sdtContent>
      <w:p w14:paraId="6B03C9BE" w14:textId="77777777" w:rsidR="00D155AA" w:rsidRPr="00655FC7" w:rsidRDefault="00D155AA" w:rsidP="001B4BC4">
        <w:pPr>
          <w:pStyle w:val="Stopka"/>
          <w:tabs>
            <w:tab w:val="clear" w:pos="9072"/>
            <w:tab w:val="right" w:pos="8789"/>
          </w:tabs>
          <w:ind w:right="281" w:firstLine="0"/>
          <w:jc w:val="right"/>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2</w:t>
        </w:r>
        <w:r w:rsidRPr="00655FC7">
          <w:rPr>
            <w:b/>
            <w:bCs/>
            <w:color w:val="455B14"/>
          </w:rPr>
          <w:fldChar w:fldCharType="end"/>
        </w:r>
      </w:p>
      <w:p w14:paraId="0B5F6414" w14:textId="77777777" w:rsidR="00D155AA" w:rsidRPr="00655FC7" w:rsidRDefault="00D155AA" w:rsidP="00E37A7E">
        <w:pPr>
          <w:pStyle w:val="Stopka"/>
          <w:ind w:firstLine="0"/>
          <w:jc w:val="right"/>
        </w:pPr>
        <w:r w:rsidRPr="00655FC7">
          <w:rPr>
            <w:b/>
            <w:bCs/>
            <w:noProof/>
            <w:color w:val="455B14"/>
          </w:rPr>
          <mc:AlternateContent>
            <mc:Choice Requires="wps">
              <w:drawing>
                <wp:inline distT="0" distB="0" distL="0" distR="0" wp14:anchorId="3E309A71" wp14:editId="69A1B172">
                  <wp:extent cx="5760000" cy="0"/>
                  <wp:effectExtent l="0" t="0" r="0" b="0"/>
                  <wp:docPr id="616574063" name="Łącznik prosty 3"/>
                  <wp:cNvGraphicFramePr/>
                  <a:graphic xmlns:a="http://schemas.openxmlformats.org/drawingml/2006/main">
                    <a:graphicData uri="http://schemas.microsoft.com/office/word/2010/wordprocessingShape">
                      <wps:wsp>
                        <wps:cNvCnPr/>
                        <wps:spPr>
                          <a:xfrm>
                            <a:off x="0" y="0"/>
                            <a:ext cx="576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05DE4CFD"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" strokecolor="#638a29">
                  <w10:anchorlock/>
                </v:line>
              </w:pict>
            </mc:Fallback>
          </mc:AlternateContent>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2542006"/>
      <w:docPartObj>
        <w:docPartGallery w:val="Page Numbers (Bottom of Page)"/>
        <w:docPartUnique/>
      </w:docPartObj>
    </w:sdtPr>
    <w:sdtEndPr>
      <w:rPr>
        <w:color w:val="auto"/>
      </w:rPr>
    </w:sdtEndPr>
    <w:sdtContent>
      <w:p w14:paraId="3D4CDE50" w14:textId="77777777" w:rsidR="00D155AA" w:rsidRPr="00655FC7" w:rsidRDefault="00D155AA" w:rsidP="006B5A0A">
        <w:pPr>
          <w:pStyle w:val="Stopka"/>
          <w:jc w:val="center"/>
          <w:rPr>
            <w:b/>
            <w:bCs/>
            <w:color w:val="455B14"/>
          </w:rPr>
        </w:pPr>
        <w:r w:rsidRPr="00655FC7">
          <w:rPr>
            <w:b/>
            <w:bCs/>
            <w:color w:val="455B14"/>
          </w:rPr>
          <w:fldChar w:fldCharType="begin"/>
        </w:r>
        <w:r w:rsidRPr="00655FC7">
          <w:rPr>
            <w:b/>
            <w:bCs/>
            <w:color w:val="455B14"/>
          </w:rPr>
          <w:instrText>PAGE   \* MERGEFORMAT</w:instrText>
        </w:r>
        <w:r w:rsidRPr="00655FC7">
          <w:rPr>
            <w:b/>
            <w:bCs/>
            <w:color w:val="455B14"/>
          </w:rPr>
          <w:fldChar w:fldCharType="separate"/>
        </w:r>
        <w:r w:rsidRPr="00655FC7">
          <w:rPr>
            <w:b/>
            <w:bCs/>
            <w:color w:val="455B14"/>
          </w:rPr>
          <w:t>1</w:t>
        </w:r>
        <w:r w:rsidRPr="00655FC7">
          <w:rPr>
            <w:b/>
            <w:bCs/>
            <w:color w:val="455B1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4B3CE78" w14:textId="77777777" w:rsidR="00D22F37" w:rsidRPr="00655FC7" w:rsidRDefault="00D22F37" w:rsidP="003A3050">
      <w:pPr>
        <w:spacing w:line="240" w:lineRule="auto"/>
      </w:pPr>
      <w:r w:rsidRPr="00655FC7">
        <w:separator/>
      </w:r>
    </w:p>
  </w:footnote>
  <w:footnote w:type="continuationSeparator" w:id="0">
    <w:p w14:paraId="35049A20" w14:textId="77777777" w:rsidR="00D22F37" w:rsidRPr="00655FC7" w:rsidRDefault="00D22F37" w:rsidP="003A3050">
      <w:pPr>
        <w:spacing w:line="240" w:lineRule="auto"/>
      </w:pPr>
      <w:r w:rsidRPr="00655FC7">
        <w:continuationSeparator/>
      </w:r>
    </w:p>
  </w:footnote>
  <w:footnote w:id="1">
    <w:p w14:paraId="4ADC7DBE" w14:textId="77777777" w:rsidR="008F71E8" w:rsidRPr="00655FC7" w:rsidRDefault="008F71E8" w:rsidP="00AA1001">
      <w:pPr>
        <w:pStyle w:val="Legenda"/>
      </w:pPr>
      <w:r w:rsidRPr="00655FC7">
        <w:rPr>
          <w:rStyle w:val="Odwoanieprzypisudolnego"/>
        </w:rPr>
        <w:footnoteRef/>
      </w:r>
      <w:r w:rsidRPr="00655FC7">
        <w:t xml:space="preserve"> Rozdział opracowano na podstawie informacji i cytatów ze wskazywanych dokumentów</w:t>
      </w:r>
    </w:p>
  </w:footnote>
  <w:footnote w:id="2">
    <w:p w14:paraId="07D0B0C7" w14:textId="77777777" w:rsidR="008F71E8" w:rsidRPr="00655FC7" w:rsidRDefault="008F71E8" w:rsidP="00AA1001">
      <w:pPr>
        <w:pStyle w:val="Legenda"/>
      </w:pPr>
      <w:r w:rsidRPr="00655FC7">
        <w:rPr>
          <w:rStyle w:val="Odwoanieprzypisudolnego"/>
        </w:rPr>
        <w:footnoteRef/>
      </w:r>
      <w:r w:rsidRPr="00655FC7">
        <w:t xml:space="preserve"> Źródło cyt. za: https://energia.edu.pl/nowa-strategia-unii-europejskiej-w-zakresie-przystosowania-sie-do-zmiany-klimatu/</w:t>
      </w:r>
    </w:p>
  </w:footnote>
  <w:footnote w:id="3">
    <w:p w14:paraId="6C1A7218" w14:textId="77777777" w:rsidR="008F71E8" w:rsidRPr="00655FC7" w:rsidRDefault="008F71E8" w:rsidP="00AA1001">
      <w:pPr>
        <w:pStyle w:val="Legenda"/>
      </w:pPr>
      <w:r w:rsidRPr="00655FC7">
        <w:rPr>
          <w:rStyle w:val="Odwoanieprzypisudolnego"/>
        </w:rPr>
        <w:footnoteRef/>
      </w:r>
      <w:r w:rsidRPr="00655FC7">
        <w:t xml:space="preserve"> Źródło cyt. za: https://eur-lex.europa.eu/legal-content/PL/TXT/PDF/?uri=CELEX:52021DC0082&amp;from=EN</w:t>
      </w:r>
    </w:p>
  </w:footnote>
  <w:footnote w:id="4">
    <w:p w14:paraId="4D97FE93" w14:textId="77777777" w:rsidR="008F71E8" w:rsidRPr="00655FC7" w:rsidRDefault="008F71E8" w:rsidP="00C71DE2">
      <w:pPr>
        <w:pStyle w:val="Tekstprzypisudolnego"/>
        <w:ind w:firstLine="0"/>
        <w:jc w:val="left"/>
      </w:pPr>
      <w:r w:rsidRPr="00655FC7">
        <w:rPr>
          <w:rStyle w:val="Odwoanieprzypisudolnego"/>
        </w:rPr>
        <w:footnoteRef/>
      </w:r>
      <w:r w:rsidRPr="00655FC7">
        <w:t xml:space="preserve"> Źródło cyt. za: https://www.gov.pl/web/fundusze-regiony/informacje-o-strategii-na-rzecz-odpowiedzialnego-rozwoju</w:t>
      </w:r>
    </w:p>
  </w:footnote>
  <w:footnote w:id="5">
    <w:p w14:paraId="5B0E30FB" w14:textId="77777777" w:rsidR="008F71E8" w:rsidRPr="00655FC7" w:rsidRDefault="008F71E8" w:rsidP="00AA1001">
      <w:pPr>
        <w:pStyle w:val="Legenda"/>
      </w:pPr>
      <w:r w:rsidRPr="00655FC7">
        <w:rPr>
          <w:rStyle w:val="Odwoanieprzypisudolnego"/>
        </w:rPr>
        <w:footnoteRef/>
      </w:r>
      <w:r w:rsidRPr="00655FC7">
        <w:t xml:space="preserve"> Źródło cyt. za: https://www.gov.pl/web/fundusze-regiony/polityka-miejska</w:t>
      </w:r>
    </w:p>
  </w:footnote>
  <w:footnote w:id="6">
    <w:p w14:paraId="43EDE857" w14:textId="77777777" w:rsidR="008F71E8" w:rsidRPr="00655FC7" w:rsidRDefault="008F71E8" w:rsidP="00111450">
      <w:pPr>
        <w:pStyle w:val="Tekstprzypisudolnego"/>
        <w:ind w:firstLine="0"/>
        <w:jc w:val="left"/>
        <w:rPr>
          <w:rStyle w:val="LegendaZnak"/>
        </w:rPr>
      </w:pPr>
      <w:r w:rsidRPr="00655FC7">
        <w:rPr>
          <w:rStyle w:val="Odwoanieprzypisudolnego"/>
        </w:rPr>
        <w:footnoteRef/>
      </w:r>
      <w:r w:rsidRPr="00655FC7">
        <w:rPr>
          <w:rStyle w:val="LegendaZnak"/>
        </w:rPr>
        <w:t>Źródło: B. Huntley, Y. C. Collingham i in., Potential impacts of Climate Change upon geographical distributions of birds, „Ibis” 2006; J. R. Malcomlm, C. Liu i in., Habitats and risk: Global warming and species loss ion globally significant terrestrial ecosystems, WWF, 2002.</w:t>
      </w:r>
    </w:p>
  </w:footnote>
  <w:footnote w:id="7">
    <w:p w14:paraId="18F72A2C" w14:textId="77777777" w:rsidR="008F71E8" w:rsidRPr="00655FC7" w:rsidRDefault="008F71E8" w:rsidP="00AA1001">
      <w:pPr>
        <w:pStyle w:val="Legenda"/>
      </w:pPr>
      <w:r w:rsidRPr="00655FC7">
        <w:rPr>
          <w:rStyle w:val="Odwoanieprzypisudolnego"/>
        </w:rPr>
        <w:footnoteRef/>
      </w:r>
      <w:r w:rsidRPr="00655FC7">
        <w:t>Źródło: S. Solomon, D. Qin, M. Manning i in., Climate Change The Physical Science Basis. Contribution of Working Group I to the Fourth Assessment Report of the Intergovernmental Panel on Climate Change, „Cambridge University Press”, Cambridge 2007</w:t>
      </w:r>
    </w:p>
  </w:footnote>
  <w:footnote w:id="8">
    <w:p w14:paraId="5D19A848" w14:textId="77777777" w:rsidR="008F71E8" w:rsidRPr="00655FC7" w:rsidRDefault="008F71E8" w:rsidP="00AA1001">
      <w:pPr>
        <w:pStyle w:val="Legenda"/>
      </w:pPr>
      <w:r w:rsidRPr="00655FC7">
        <w:rPr>
          <w:rStyle w:val="Odwoanieprzypisudolnego"/>
        </w:rPr>
        <w:footnoteRef/>
      </w:r>
      <w:r w:rsidRPr="00655FC7">
        <w:t>Źródło: M. K. Terlecka, Interdyscyplinarnie o zmianach klimatu, Krosno 2014</w:t>
      </w:r>
    </w:p>
  </w:footnote>
  <w:footnote w:id="9">
    <w:p w14:paraId="3C59CB3E" w14:textId="77777777" w:rsidR="008F71E8" w:rsidRPr="00655FC7" w:rsidRDefault="008F71E8" w:rsidP="00AA1001">
      <w:pPr>
        <w:pStyle w:val="Legenda"/>
      </w:pPr>
      <w:r w:rsidRPr="00655FC7">
        <w:rPr>
          <w:rStyle w:val="Odwoanieprzypisudolnego"/>
        </w:rPr>
        <w:footnoteRef/>
      </w:r>
      <w:r w:rsidRPr="00655FC7">
        <w:t>Źródło: Z. W. Kundzewicz, Zmiany klimatu, ich przyczyny i skutki, Poznań 2010, s. 206</w:t>
      </w:r>
    </w:p>
  </w:footnote>
  <w:footnote w:id="10">
    <w:p w14:paraId="5BD6D161" w14:textId="77777777" w:rsidR="008F71E8" w:rsidRPr="00655FC7" w:rsidRDefault="008F71E8" w:rsidP="00AA1001">
      <w:pPr>
        <w:pStyle w:val="Legenda"/>
      </w:pPr>
      <w:r w:rsidRPr="00655FC7">
        <w:rPr>
          <w:rStyle w:val="Odwoanieprzypisudolnego"/>
        </w:rPr>
        <w:footnoteRef/>
      </w:r>
      <w:r w:rsidRPr="00655FC7">
        <w:t>Źródło: https://ietu.pl/wp-content/uploads/2019/01/2018_Adaptacja_do_zmian_klimatu_Ekologia_nr_4_88_2018.pdf</w:t>
      </w:r>
    </w:p>
  </w:footnote>
  <w:footnote w:id="11">
    <w:p w14:paraId="5B2B577E" w14:textId="77777777" w:rsidR="008F71E8" w:rsidRPr="00655FC7" w:rsidRDefault="008F71E8" w:rsidP="00AA1001">
      <w:pPr>
        <w:pStyle w:val="Legenda"/>
      </w:pPr>
      <w:r w:rsidRPr="00655FC7">
        <w:rPr>
          <w:rStyle w:val="Odwoanieprzypisudolnego"/>
        </w:rPr>
        <w:footnoteRef/>
      </w:r>
      <w:r w:rsidRPr="00655FC7">
        <w:t>Źródło: https://ietu.pl/wp-content/uploads/2019/01/2018_Adaptacja_do_zmian_klimatu_Ekologia_nr_4_88_2018.pdf</w:t>
      </w:r>
    </w:p>
  </w:footnote>
  <w:footnote w:id="12">
    <w:p w14:paraId="28C87423" w14:textId="77777777" w:rsidR="008F71E8" w:rsidRPr="00655FC7" w:rsidRDefault="008F71E8" w:rsidP="00AA1001">
      <w:pPr>
        <w:pStyle w:val="Legenda"/>
      </w:pPr>
      <w:r w:rsidRPr="00655FC7">
        <w:rPr>
          <w:rStyle w:val="Odwoanieprzypisudolnego"/>
        </w:rPr>
        <w:footnoteRef/>
      </w:r>
      <w:r w:rsidRPr="00655FC7">
        <w:t>Źródło: Ocena wrażliwości terenów miejskich na możliwe zagrożenia wynikające ze zmian klimatu; opracowanie własne https://ietu.pl/wp-content/uploads/2019/01/2018_Adaptacja_do_zmian_klimatu_Ekologia_nr_4_88_2018.pdf</w:t>
      </w:r>
    </w:p>
  </w:footnote>
  <w:footnote w:id="13">
    <w:p w14:paraId="2D1C23C1" w14:textId="77777777" w:rsidR="008F71E8" w:rsidRPr="00655FC7" w:rsidRDefault="008F71E8" w:rsidP="00AA1001">
      <w:pPr>
        <w:pStyle w:val="Legenda"/>
      </w:pPr>
      <w:r w:rsidRPr="00655FC7">
        <w:rPr>
          <w:rStyle w:val="Odwoanieprzypisudolnego"/>
        </w:rPr>
        <w:footnoteRef/>
      </w:r>
      <w:r w:rsidRPr="00655FC7">
        <w:t>Źródło: https://ietu.pl/wp-content/uploads/2019/01/2018_Adaptacja_do_zmian_klimatu_Ekologia_nr_4_88_2018.pdf</w:t>
      </w:r>
    </w:p>
  </w:footnote>
  <w:footnote w:id="14">
    <w:p w14:paraId="2B947011" w14:textId="77777777" w:rsidR="008F71E8" w:rsidRPr="00655FC7" w:rsidRDefault="008F71E8" w:rsidP="00AA1001">
      <w:pPr>
        <w:pStyle w:val="Legenda"/>
      </w:pPr>
      <w:r w:rsidRPr="00655FC7">
        <w:rPr>
          <w:rStyle w:val="Odwoanieprzypisudolnego"/>
        </w:rPr>
        <w:footnoteRef/>
      </w:r>
      <w:r w:rsidRPr="00655FC7">
        <w:t>Źródło: Ocena wrażliwości terenów miejskich na możliwe zagrożenia wynikające ze zmian klimatu; opracowanie własne https://ietu.pl/wp-content/uploads/2019/01/2018_Adaptacja_do_zmian_klimatu_Ekologia_nr_4_88_2018.pdf</w:t>
      </w:r>
    </w:p>
  </w:footnote>
  <w:footnote w:id="15">
    <w:p w14:paraId="789C048E" w14:textId="77777777" w:rsidR="008F71E8" w:rsidRPr="00655FC7" w:rsidRDefault="008F71E8" w:rsidP="00AA1001">
      <w:pPr>
        <w:pStyle w:val="Legenda"/>
      </w:pPr>
      <w:r w:rsidRPr="00655FC7">
        <w:rPr>
          <w:rStyle w:val="Odwoanieprzypisudolnego"/>
        </w:rPr>
        <w:footnoteRef/>
      </w:r>
      <w:r w:rsidRPr="00655FC7">
        <w:t>Źródło: Ocena wrażliwości terenów miejskich na możliwe zagrożenia wynikające ze zmian klimatu; opracowanie własne https://ietu.pl/wp-content/uploads/2019/01/2018_Adaptacja_do_zmian_klimatu_Ekologia_nr_4_88_2018.pdf</w:t>
      </w:r>
    </w:p>
  </w:footnote>
  <w:footnote w:id="16">
    <w:p w14:paraId="67886990" w14:textId="77777777" w:rsidR="008F71E8" w:rsidRPr="00655FC7" w:rsidRDefault="008F71E8" w:rsidP="00AA1001">
      <w:pPr>
        <w:pStyle w:val="Legenda"/>
      </w:pPr>
      <w:r w:rsidRPr="00655FC7">
        <w:rPr>
          <w:rStyle w:val="Odwoanieprzypisudolnego"/>
        </w:rPr>
        <w:footnoteRef/>
      </w:r>
      <w:r w:rsidRPr="00655FC7">
        <w:t>Źródło: Ocena wrażliwości terenów miejskich na możliwe zagrożenia wynikające ze zmian klimatu; opracowanie własne https://ietu.pl/wp-content/uploads/2019/01/2018_Adaptacja_do_zmian_klimatu_Ekologia_nr_4_88_2018.pdf</w:t>
      </w:r>
    </w:p>
  </w:footnote>
  <w:footnote w:id="17">
    <w:p w14:paraId="7746AA4D" w14:textId="77777777" w:rsidR="008F71E8" w:rsidRPr="00655FC7" w:rsidRDefault="008F71E8" w:rsidP="00AA1001">
      <w:pPr>
        <w:pStyle w:val="Legenda"/>
      </w:pPr>
      <w:r w:rsidRPr="00655FC7">
        <w:rPr>
          <w:rStyle w:val="Odwoanieprzypisudolnego"/>
        </w:rPr>
        <w:footnoteRef/>
      </w:r>
      <w:r w:rsidRPr="00655FC7">
        <w:t>Źródło: Ocena wrażliwości terenów miejskich na możliwe zagrożenia wynikające ze zmian klimatu; opracowanie własne https://ietu.pl/wp-content/uploads/2019/01/2018_Adaptacja_do_zmian_klimatu_Ekologia_nr_4_88_2018.pdf</w:t>
      </w:r>
    </w:p>
  </w:footnote>
  <w:footnote w:id="18">
    <w:p w14:paraId="6D0048E0" w14:textId="77777777" w:rsidR="008F71E8" w:rsidRPr="00655FC7" w:rsidRDefault="008F71E8" w:rsidP="00AA1001">
      <w:pPr>
        <w:pStyle w:val="Legenda"/>
      </w:pPr>
      <w:r w:rsidRPr="00655FC7">
        <w:rPr>
          <w:rStyle w:val="Odwoanieprzypisudolnego"/>
        </w:rPr>
        <w:footnoteRef/>
      </w:r>
      <w:r w:rsidRPr="00655FC7">
        <w:t>Źródło: https://klimada2.ios.gov.pl/miejskie-wyspy-ciepla/</w:t>
      </w:r>
    </w:p>
  </w:footnote>
  <w:footnote w:id="19">
    <w:p w14:paraId="3EF8B1C9" w14:textId="4897783B" w:rsidR="008F71E8" w:rsidRPr="00655FC7" w:rsidRDefault="008F71E8" w:rsidP="00AA1001">
      <w:pPr>
        <w:pStyle w:val="Legenda"/>
      </w:pPr>
      <w:r w:rsidRPr="00655FC7">
        <w:rPr>
          <w:rStyle w:val="Odwoanieprzypisudolnego"/>
        </w:rPr>
        <w:footnoteRef/>
      </w:r>
      <w:r w:rsidRPr="00655FC7">
        <w:t>Zjawisko atmosferyczne polegające na wzroście temperatury powietrza wraz z wysokością (przeciwnie do normalnie obserwowanego spadku temperatury z wysokością). Inwersja blokuje pionowe mieszanie się powietrza w atmosferze.</w:t>
      </w:r>
    </w:p>
  </w:footnote>
  <w:footnote w:id="20">
    <w:p w14:paraId="65C941F6" w14:textId="77777777" w:rsidR="008F71E8" w:rsidRPr="00655FC7" w:rsidRDefault="008F71E8" w:rsidP="00AA1001">
      <w:pPr>
        <w:pStyle w:val="Legenda"/>
      </w:pPr>
      <w:r w:rsidRPr="00655FC7">
        <w:rPr>
          <w:rStyle w:val="Odwoanieprzypisudolnego"/>
        </w:rPr>
        <w:footnoteRef/>
      </w:r>
      <w:r w:rsidRPr="00655FC7">
        <w:t>Źródło: Ocena wrażliwości terenów miejskich na możliwe zagrożenia wynikające ze zmian klimatu; opracowanie własne https://ietu.pl/wp-content/uploads/2019/01/2018_Adaptacja_do_zmian_klimatu_Ekologia_nr_4_88_2018.pdf</w:t>
      </w:r>
    </w:p>
  </w:footnote>
  <w:footnote w:id="21">
    <w:p w14:paraId="74F46151" w14:textId="77777777" w:rsidR="008F71E8" w:rsidRPr="00655FC7" w:rsidRDefault="008F71E8" w:rsidP="00AA1001">
      <w:pPr>
        <w:pStyle w:val="Legenda"/>
      </w:pPr>
      <w:r w:rsidRPr="00655FC7">
        <w:rPr>
          <w:rStyle w:val="Odwoanieprzypisudolnego"/>
          <w:sz w:val="18"/>
          <w:szCs w:val="18"/>
        </w:rPr>
        <w:footnoteRef/>
      </w:r>
      <w:r w:rsidRPr="00655FC7">
        <w:t xml:space="preserve"> źródło: https://climate.ec.europa.eu/climate-change/consequences-climate-change_pl; https://klimada2.ios.gov.pl/skad-sie-biora-wichury/</w:t>
      </w:r>
    </w:p>
  </w:footnote>
  <w:footnote w:id="22">
    <w:p w14:paraId="5E46504B" w14:textId="77777777" w:rsidR="008F71E8" w:rsidRPr="00655FC7" w:rsidRDefault="008F71E8" w:rsidP="00AA1001">
      <w:pPr>
        <w:pStyle w:val="Legenda"/>
      </w:pPr>
      <w:r w:rsidRPr="00655FC7">
        <w:rPr>
          <w:rStyle w:val="Odwoanieprzypisudolnego"/>
          <w:vertAlign w:val="baseline"/>
        </w:rPr>
        <w:footnoteRef/>
      </w:r>
      <w:r w:rsidRPr="00655FC7">
        <w:t xml:space="preserve">źródło: </w:t>
      </w:r>
      <w:hyperlink w:history="1">
        <w:r w:rsidRPr="00655FC7">
          <w:rPr>
            <w:rStyle w:val="Hipercze"/>
            <w:color w:val="000000" w:themeColor="text1"/>
            <w:u w:val="none"/>
          </w:rPr>
          <w:t>https://climate.ec.europa.eu/climate-change/consequences-climate-change_pl</w:t>
        </w:r>
      </w:hyperlink>
      <w:r w:rsidRPr="00655FC7">
        <w:t>; https://klimada2.ios.gov.pl/skad-sie-biora-wichury/</w:t>
      </w:r>
    </w:p>
  </w:footnote>
  <w:footnote w:id="23">
    <w:p w14:paraId="4A832E6E" w14:textId="77777777" w:rsidR="008F71E8" w:rsidRPr="00655FC7" w:rsidRDefault="008F71E8" w:rsidP="00AA1001">
      <w:pPr>
        <w:pStyle w:val="Legenda"/>
      </w:pPr>
      <w:r w:rsidRPr="00655FC7">
        <w:rPr>
          <w:rStyle w:val="Odwoanieprzypisudolnego"/>
          <w:sz w:val="18"/>
          <w:szCs w:val="18"/>
        </w:rPr>
        <w:footnoteRef/>
      </w:r>
      <w:r w:rsidRPr="00655FC7">
        <w:t xml:space="preserve"> źródło: https://www.wwf.pl/sites/default/files/2020-02/WWF_PIGULKA_KLIMATYCZNA%20_2020.pdf</w:t>
      </w:r>
    </w:p>
  </w:footnote>
  <w:footnote w:id="24">
    <w:p w14:paraId="3C267BC4" w14:textId="77777777" w:rsidR="00D155AA" w:rsidRPr="00655FC7" w:rsidRDefault="00D155AA" w:rsidP="00AA1001">
      <w:pPr>
        <w:pStyle w:val="Legenda"/>
      </w:pPr>
      <w:r w:rsidRPr="00655FC7">
        <w:rPr>
          <w:rStyle w:val="Odwoanieprzypisudolnego"/>
        </w:rPr>
        <w:footnoteRef/>
      </w:r>
      <w:r w:rsidRPr="00655FC7">
        <w:t xml:space="preserve"> Źródło: Raport o stanie gminy Tarnogród za 2022 rok.</w:t>
      </w:r>
    </w:p>
  </w:footnote>
  <w:footnote w:id="25">
    <w:p w14:paraId="2B66E9FF" w14:textId="77777777" w:rsidR="00D155AA" w:rsidRPr="00655FC7" w:rsidRDefault="00D155AA" w:rsidP="00D155AA">
      <w:pPr>
        <w:pStyle w:val="Tekstprzypisudolnego"/>
      </w:pPr>
      <w:r w:rsidRPr="00655FC7">
        <w:rPr>
          <w:rStyle w:val="Odwoanieprzypisudolnego"/>
        </w:rPr>
        <w:footnoteRef/>
      </w:r>
      <w:r w:rsidRPr="00655FC7">
        <w:t>Źródło: Strategia Rozwoju Gminy Tarnogród na lata 2016-2022</w:t>
      </w:r>
    </w:p>
  </w:footnote>
  <w:footnote w:id="26">
    <w:p w14:paraId="262B934F" w14:textId="77777777" w:rsidR="00D155AA" w:rsidRPr="00655FC7" w:rsidRDefault="00D155AA" w:rsidP="00D155AA">
      <w:pPr>
        <w:pStyle w:val="Tekstprzypisudolnego"/>
      </w:pPr>
      <w:r w:rsidRPr="00655FC7">
        <w:rPr>
          <w:rStyle w:val="Odwoanieprzypisudolnego"/>
        </w:rPr>
        <w:footnoteRef/>
      </w:r>
      <w:r w:rsidRPr="00655FC7">
        <w:t xml:space="preserve"> Źródło: Strategia terytorialna Partnerstwa Gmin Powiatu Biłgorajskiego dla rozwoju gospodarczego</w:t>
      </w:r>
    </w:p>
  </w:footnote>
  <w:footnote w:id="27">
    <w:p w14:paraId="22CCC66E" w14:textId="08C29EDD" w:rsidR="00780325" w:rsidRDefault="00780325">
      <w:pPr>
        <w:pStyle w:val="Tekstprzypisudolnego"/>
      </w:pPr>
      <w:r>
        <w:rPr>
          <w:rStyle w:val="Odwoanieprzypisudolnego"/>
        </w:rPr>
        <w:footnoteRef/>
      </w:r>
      <w:r>
        <w:t xml:space="preserve"> Źródło: </w:t>
      </w:r>
      <w:r w:rsidRPr="00780325">
        <w:t>https://narodowekleszczobranie.pl/pl/artykuly/hyalomma-mapy</w:t>
      </w:r>
    </w:p>
  </w:footnote>
  <w:footnote w:id="28">
    <w:p w14:paraId="70BF15F6" w14:textId="77777777" w:rsidR="00D155AA" w:rsidRPr="00655FC7" w:rsidRDefault="00D155AA" w:rsidP="00D155AA">
      <w:pPr>
        <w:pStyle w:val="Tekstprzypisudolnego"/>
      </w:pPr>
      <w:r w:rsidRPr="00655FC7">
        <w:rPr>
          <w:rStyle w:val="Odwoanieprzypisudolnego"/>
        </w:rPr>
        <w:footnoteRef/>
      </w:r>
      <w:r w:rsidRPr="00655FC7">
        <w:t xml:space="preserve"> Źródło: https://tarnogrod.naszsds.pl/o-instytucji</w:t>
      </w:r>
    </w:p>
  </w:footnote>
  <w:footnote w:id="29">
    <w:p w14:paraId="6DBA7D85" w14:textId="77777777" w:rsidR="00D155AA" w:rsidRPr="00655FC7" w:rsidRDefault="00D155AA" w:rsidP="00AA1001">
      <w:pPr>
        <w:pStyle w:val="Legenda"/>
      </w:pPr>
      <w:r w:rsidRPr="00655FC7">
        <w:rPr>
          <w:rStyle w:val="Odwoanieprzypisudolnego"/>
        </w:rPr>
        <w:footnoteRef/>
      </w:r>
      <w:r w:rsidRPr="00655FC7">
        <w:t xml:space="preserve"> Źródło cyt. za: https://www.gov.pl/web/gdos/inwazyjne-gatunki-obce3</w:t>
      </w:r>
    </w:p>
  </w:footnote>
  <w:footnote w:id="30">
    <w:p w14:paraId="266E3A99" w14:textId="77777777" w:rsidR="00D155AA" w:rsidRPr="00655FC7" w:rsidRDefault="00D155AA" w:rsidP="00AA1001">
      <w:pPr>
        <w:pStyle w:val="Legenda"/>
      </w:pPr>
      <w:r w:rsidRPr="00655FC7">
        <w:rPr>
          <w:rStyle w:val="Odwoanieprzypisudolnego"/>
        </w:rPr>
        <w:footnoteRef/>
      </w:r>
      <w:r w:rsidRPr="00655FC7">
        <w:t xml:space="preserve"> Źródło cyt. za: https://klimada2.ios.gov.pl/mala-retencja-a-melioracje/</w:t>
      </w:r>
    </w:p>
  </w:footnote>
  <w:footnote w:id="31">
    <w:p w14:paraId="6DCACCFB" w14:textId="77777777" w:rsidR="00D155AA" w:rsidRPr="00655FC7" w:rsidRDefault="00D155AA" w:rsidP="00AA1001">
      <w:pPr>
        <w:pStyle w:val="Legenda"/>
      </w:pPr>
      <w:r w:rsidRPr="00655FC7">
        <w:rPr>
          <w:rStyle w:val="Odwoanieprzypisudolnego"/>
        </w:rPr>
        <w:footnoteRef/>
      </w:r>
      <w:r w:rsidRPr="00655FC7">
        <w:t xml:space="preserve"> Informacje przekazane przez Urząd Miejski w Tarnogrodzie</w:t>
      </w:r>
    </w:p>
  </w:footnote>
  <w:footnote w:id="32">
    <w:p w14:paraId="1826AB61" w14:textId="77777777" w:rsidR="00D155AA" w:rsidRPr="00655FC7" w:rsidRDefault="00D155AA" w:rsidP="00AA1001">
      <w:pPr>
        <w:pStyle w:val="Legenda"/>
      </w:pPr>
      <w:r w:rsidRPr="00655FC7">
        <w:rPr>
          <w:rStyle w:val="Odwoanieprzypisudolnego"/>
        </w:rPr>
        <w:footnoteRef/>
      </w:r>
      <w:r w:rsidRPr="00655FC7">
        <w:t xml:space="preserve"> Źródło: cyt. za: https://klimada2.ios.gov.pl/o-rcp/ </w:t>
      </w:r>
    </w:p>
  </w:footnote>
  <w:footnote w:id="33">
    <w:p w14:paraId="2CF3236E" w14:textId="77777777" w:rsidR="0099103F" w:rsidRPr="00655FC7" w:rsidRDefault="0099103F" w:rsidP="00AA1001">
      <w:pPr>
        <w:pStyle w:val="Legenda"/>
      </w:pPr>
      <w:r w:rsidRPr="00655FC7">
        <w:rPr>
          <w:rStyle w:val="Odwoanieprzypisudolnego"/>
        </w:rPr>
        <w:footnoteRef/>
      </w:r>
      <w:r w:rsidRPr="00655FC7">
        <w:t xml:space="preserve"> Uniwersytet Warszawski. Klimatyczne ABC. Interdyscyplinarne podstawy współczesnej wiedzy o zmianie klimatu, 2023, wydanie drugie</w:t>
      </w:r>
    </w:p>
  </w:footnote>
  <w:footnote w:id="34">
    <w:p w14:paraId="06A306E2" w14:textId="77777777" w:rsidR="0099103F" w:rsidRPr="00655FC7" w:rsidRDefault="0099103F" w:rsidP="00AA1001">
      <w:pPr>
        <w:pStyle w:val="Legenda"/>
      </w:pPr>
      <w:r w:rsidRPr="00655FC7">
        <w:rPr>
          <w:rStyle w:val="Odwoanieprzypisudolnego"/>
        </w:rPr>
        <w:footnoteRef/>
      </w:r>
      <w:r w:rsidRPr="00655FC7">
        <w:t xml:space="preserve"> Strategiczny plan adaptacji dla sektorów i obszarów wrażliwych na zmiany klimatu do roku 2020</w:t>
      </w:r>
    </w:p>
  </w:footnote>
  <w:footnote w:id="35">
    <w:p w14:paraId="61CC1484" w14:textId="77777777" w:rsidR="008A62D4" w:rsidRPr="00AA1001" w:rsidRDefault="008A62D4" w:rsidP="00AA1001">
      <w:pPr>
        <w:pStyle w:val="Legenda"/>
      </w:pPr>
      <w:r w:rsidRPr="00AA1001">
        <w:rPr>
          <w:rStyle w:val="Odwoanieprzypisudolnego"/>
        </w:rPr>
        <w:footnoteRef/>
      </w:r>
      <w:r w:rsidRPr="00AA1001">
        <w:t xml:space="preserve"> Źródło cyt. za: Czwarta Przyroda nową nadzieją dla miast, </w:t>
      </w:r>
      <w:hyperlink r:id="rId1" w:history="1">
        <w:r w:rsidRPr="00AA1001">
          <w:rPr>
            <w:rStyle w:val="Hipercze"/>
            <w:color w:val="auto"/>
          </w:rPr>
          <w:t>https://naukadlaprzyrody.pl/2020/08/13/czwarta-przyroda-nowa-nadzieja-dla-miast/</w:t>
        </w:r>
      </w:hyperlink>
      <w:r w:rsidRPr="00AA1001">
        <w:t xml:space="preserve"> dostęp 16.01.2023 r.</w:t>
      </w:r>
    </w:p>
  </w:footnote>
  <w:footnote w:id="36">
    <w:p w14:paraId="42B8AA70" w14:textId="77777777" w:rsidR="008F71E8" w:rsidRPr="00655FC7" w:rsidRDefault="008F71E8" w:rsidP="00AA1001">
      <w:pPr>
        <w:pStyle w:val="Legenda"/>
      </w:pPr>
      <w:r w:rsidRPr="00655FC7">
        <w:rPr>
          <w:rStyle w:val="Odwoanieprzypisudolnego"/>
        </w:rPr>
        <w:footnoteRef/>
      </w:r>
      <w:r w:rsidRPr="00655FC7">
        <w:t xml:space="preserve"> Źródło cyt. za: http://drzewa.org.pl/ dostęp 01.02.2023 r.</w:t>
      </w:r>
    </w:p>
  </w:footnote>
  <w:footnote w:id="37">
    <w:p w14:paraId="63B9F517" w14:textId="1836BC6B" w:rsidR="008F71E8" w:rsidRPr="00655FC7" w:rsidRDefault="008F71E8" w:rsidP="00AA1001">
      <w:pPr>
        <w:pStyle w:val="Legenda"/>
      </w:pPr>
      <w:r w:rsidRPr="00655FC7">
        <w:rPr>
          <w:rStyle w:val="Odwoanieprzypisudolnego"/>
        </w:rPr>
        <w:footnoteRef/>
      </w:r>
      <w:r w:rsidRPr="00655FC7">
        <w:t xml:space="preserve"> Źródło cyt. za: https://portalkomunalny.pl/plus/artykul/sposob-na-monitoring-drzew-miejskich/</w:t>
      </w:r>
    </w:p>
  </w:footnote>
  <w:footnote w:id="38">
    <w:p w14:paraId="124DEB30" w14:textId="27C48BA2" w:rsidR="00D52112" w:rsidRPr="00655FC7" w:rsidRDefault="00D52112" w:rsidP="00AA1001">
      <w:pPr>
        <w:pStyle w:val="Legenda"/>
      </w:pPr>
      <w:r w:rsidRPr="00655FC7">
        <w:rPr>
          <w:rStyle w:val="Odwoanieprzypisudolnego"/>
        </w:rPr>
        <w:footnoteRef/>
      </w:r>
      <w:r w:rsidRPr="00655FC7">
        <w:t xml:space="preserve"> Narodowy Fundusz Ochrony Środowiska i Gospodarki Wodnej, „Retencja wodna i jej znaczenie cz. 2” http://www.malaretencja.pl/.</w:t>
      </w:r>
    </w:p>
  </w:footnote>
  <w:footnote w:id="39">
    <w:p w14:paraId="35657253" w14:textId="77777777" w:rsidR="00FC4992" w:rsidRPr="00655FC7" w:rsidRDefault="00FC4992" w:rsidP="00AA1001">
      <w:pPr>
        <w:pStyle w:val="Legenda"/>
      </w:pPr>
      <w:r w:rsidRPr="00655FC7">
        <w:rPr>
          <w:rStyle w:val="Odwoanieprzypisudolnego"/>
        </w:rPr>
        <w:footnoteRef/>
      </w:r>
      <w:r w:rsidRPr="00655FC7">
        <w:t xml:space="preserve"> Źródło: https://aerisfuturo.pl/projekt/oto-sposoby-retencji-wody/</w:t>
      </w:r>
    </w:p>
  </w:footnote>
  <w:footnote w:id="40">
    <w:p w14:paraId="0FDFB126" w14:textId="77777777" w:rsidR="00FC4992" w:rsidRPr="00655FC7" w:rsidRDefault="00FC4992" w:rsidP="00AA1001">
      <w:pPr>
        <w:pStyle w:val="Legenda"/>
      </w:pPr>
      <w:r w:rsidRPr="00655FC7">
        <w:rPr>
          <w:rStyle w:val="Odwoanieprzypisudolnego"/>
        </w:rPr>
        <w:footnoteRef/>
      </w:r>
      <w:r w:rsidRPr="00655FC7">
        <w:t xml:space="preserve"> Źródło: https://woda.cdr.gov.pl/index.php/przydomowa-retencja</w:t>
      </w:r>
    </w:p>
  </w:footnote>
  <w:footnote w:id="41">
    <w:p w14:paraId="139BADDD" w14:textId="77777777" w:rsidR="00FC4992" w:rsidRPr="00655FC7" w:rsidRDefault="00FC4992" w:rsidP="00AA1001">
      <w:pPr>
        <w:pStyle w:val="Legenda"/>
      </w:pPr>
      <w:r w:rsidRPr="00655FC7">
        <w:rPr>
          <w:rStyle w:val="Odwoanieprzypisudolnego"/>
        </w:rPr>
        <w:footnoteRef/>
      </w:r>
      <w:r w:rsidRPr="00655FC7">
        <w:t xml:space="preserve"> Źródło: webcache.googleusercontent.com</w:t>
      </w:r>
    </w:p>
  </w:footnote>
  <w:footnote w:id="42">
    <w:p w14:paraId="4C2F3D4C" w14:textId="77777777" w:rsidR="00F717D2" w:rsidRPr="00655FC7" w:rsidRDefault="00F717D2" w:rsidP="00AA1001">
      <w:pPr>
        <w:pStyle w:val="Legenda"/>
      </w:pPr>
      <w:r w:rsidRPr="00655FC7">
        <w:rPr>
          <w:rStyle w:val="Odwoanieprzypisudolnego"/>
        </w:rPr>
        <w:footnoteRef/>
      </w:r>
      <w:r w:rsidRPr="00655FC7">
        <w:t>Źródło: https://powietrze.gios.gov.pl/pjp/documents/download/100652</w:t>
      </w:r>
    </w:p>
  </w:footnote>
  <w:footnote w:id="43">
    <w:p w14:paraId="2456331A" w14:textId="16C2B9D8" w:rsidR="006F1C77" w:rsidRDefault="006F1C77" w:rsidP="006F1C77">
      <w:pPr>
        <w:pStyle w:val="Tekstprzypisudolnego"/>
        <w:ind w:firstLine="0"/>
      </w:pPr>
      <w:r>
        <w:rPr>
          <w:rStyle w:val="Odwoanieprzypisudolnego"/>
        </w:rPr>
        <w:footnoteRef/>
      </w:r>
      <w:r>
        <w:t xml:space="preserve">Źródło: </w:t>
      </w:r>
      <w:r w:rsidRPr="006F1C77">
        <w:t>https://agupubs.onlinelibrary.wiley.com/doi/10.1029/2019GL086480</w:t>
      </w:r>
    </w:p>
  </w:footnote>
  <w:footnote w:id="44">
    <w:p w14:paraId="49620BC7" w14:textId="77777777" w:rsidR="00F717D2" w:rsidRPr="00655FC7" w:rsidRDefault="00F717D2" w:rsidP="00AA1001">
      <w:pPr>
        <w:pStyle w:val="Legenda"/>
      </w:pPr>
      <w:r w:rsidRPr="00655FC7">
        <w:rPr>
          <w:rStyle w:val="Odwoanieprzypisudolnego"/>
        </w:rPr>
        <w:footnoteRef/>
      </w:r>
      <w:r w:rsidRPr="00655FC7">
        <w:t>Źródło: http://webcache.googleusercontent.com/search?q=cache:k0REEPE6weEJ:yadda.icm.edu.pl/yadda/element/bwmeta1.element.ojs-issn-1231-8515-year-2010-issue-4-article-307/c/307-302.pdf+&amp;cd=8&amp;hl=pl&amp;ct=clnk&amp;gl=pl</w:t>
      </w:r>
    </w:p>
  </w:footnote>
  <w:footnote w:id="45">
    <w:p w14:paraId="516AB878" w14:textId="77777777" w:rsidR="00F717D2" w:rsidRPr="00655FC7" w:rsidRDefault="00F717D2" w:rsidP="00AA1001">
      <w:pPr>
        <w:pStyle w:val="Legenda"/>
      </w:pPr>
      <w:r w:rsidRPr="00655FC7">
        <w:rPr>
          <w:rStyle w:val="Odwoanieprzypisudolnego"/>
        </w:rPr>
        <w:footnoteRef/>
      </w:r>
      <w:r w:rsidRPr="00655FC7">
        <w:t>Parkingi „Parkuj i Jedź” (z ang. P+R – Park+Ride) to parkingi umożliwiające bezpłatne parkowanie pojazdów osobom, które w chwili wyjazdu z parkingu przedstawią ważny bilet (Źródło: https://warszawa19115.pl/-/parkingi-p-r)</w:t>
      </w:r>
    </w:p>
  </w:footnote>
  <w:footnote w:id="46">
    <w:p w14:paraId="1808B303" w14:textId="77777777" w:rsidR="00F717D2" w:rsidRPr="00655FC7" w:rsidRDefault="00F717D2" w:rsidP="00AA1001">
      <w:pPr>
        <w:pStyle w:val="Legenda"/>
      </w:pPr>
      <w:r w:rsidRPr="00655FC7">
        <w:rPr>
          <w:rStyle w:val="Odwoanieprzypisudolnego"/>
        </w:rPr>
        <w:footnoteRef/>
      </w:r>
      <w:r w:rsidRPr="00655FC7">
        <w:t>Źródło: http://webcache.googleusercontent.com/search?q=cache:k0REEPE6weEJ:yadda.icm.edu.pl/yadda/element/bwmeta1.element.ojs-issn-1231-8515-year-2010-issue-4-article-307/c/307-302.pdf+&amp;cd=8&amp;hl=pl&amp;ct=clnk&amp;gl=pl</w:t>
      </w:r>
    </w:p>
  </w:footnote>
  <w:footnote w:id="47">
    <w:p w14:paraId="148C5144" w14:textId="18A20C63" w:rsidR="00B62332" w:rsidRDefault="00B62332">
      <w:pPr>
        <w:pStyle w:val="Tekstprzypisudolnego"/>
      </w:pPr>
      <w:r>
        <w:rPr>
          <w:rStyle w:val="Odwoanieprzypisudolnego"/>
        </w:rPr>
        <w:footnoteRef/>
      </w:r>
      <w:r>
        <w:t xml:space="preserve"> Źródło: </w:t>
      </w:r>
      <w:r w:rsidRPr="00B62332">
        <w:t>https://www.greenfestival.pl/o-festiwalu/</w:t>
      </w:r>
    </w:p>
  </w:footnote>
  <w:footnote w:id="48">
    <w:p w14:paraId="44ED8928" w14:textId="77777777" w:rsidR="00E709CC" w:rsidRPr="006D4170" w:rsidRDefault="00E709CC" w:rsidP="00E709CC">
      <w:pPr>
        <w:pStyle w:val="Tekstprzypisudolnego"/>
        <w:rPr>
          <w:rFonts w:cstheme="minorHAnsi"/>
        </w:rPr>
      </w:pPr>
      <w:r w:rsidRPr="006D4170">
        <w:rPr>
          <w:rStyle w:val="Odwoanieprzypisudolnego"/>
          <w:rFonts w:cstheme="minorHAnsi"/>
        </w:rPr>
        <w:footnoteRef/>
      </w:r>
      <w:r w:rsidRPr="006D4170">
        <w:rPr>
          <w:rFonts w:cstheme="minorHAnsi"/>
        </w:rPr>
        <w:t xml:space="preserve"> zgodnie z Rozporządzenie Rady Ministrów z dnia 10 września 2019 r. w sprawie przedsięwzięć mogących znacząco oddziaływać na środowisko (Dz.U. 2019 poz. 1839)</w:t>
      </w:r>
    </w:p>
  </w:footnote>
  <w:footnote w:id="49">
    <w:p w14:paraId="588DAF63" w14:textId="61368689" w:rsidR="00707669" w:rsidRDefault="00707669" w:rsidP="00707669">
      <w:pPr>
        <w:pStyle w:val="Tekstprzypisudolnego"/>
      </w:pPr>
      <w:r>
        <w:rPr>
          <w:rStyle w:val="Odwoanieprzypisudolnego"/>
        </w:rPr>
        <w:footnoteRef/>
      </w:r>
      <w:r>
        <w:t xml:space="preserve"> Źródło: </w:t>
      </w:r>
      <w:r w:rsidRPr="00655FC7">
        <w:t>https://www.gov.pl/web/planodbudowy/o-kpo</w:t>
      </w:r>
    </w:p>
  </w:footnote>
  <w:footnote w:id="50">
    <w:p w14:paraId="4E8E4A39" w14:textId="0372C65A" w:rsidR="00707669" w:rsidRDefault="00707669" w:rsidP="00707669">
      <w:pPr>
        <w:pStyle w:val="Tekstprzypisudolnego"/>
      </w:pPr>
      <w:r>
        <w:rPr>
          <w:rStyle w:val="Odwoanieprzypisudolnego"/>
        </w:rPr>
        <w:footnoteRef/>
      </w:r>
      <w:r>
        <w:t xml:space="preserve">Źródło: </w:t>
      </w:r>
      <w:r w:rsidRPr="00655FC7">
        <w:t>https://przetargowa.pl/fundusze-europejskie-2021-2027-co-nas-czeka-w-nowej-perspektywie-finansowej/</w:t>
      </w:r>
    </w:p>
  </w:footnote>
  <w:footnote w:id="51">
    <w:p w14:paraId="43C23DB4" w14:textId="77777777" w:rsidR="00707669" w:rsidRDefault="00707669" w:rsidP="00707669">
      <w:pPr>
        <w:pStyle w:val="Tekstprzypisudolnego"/>
      </w:pPr>
      <w:r>
        <w:rPr>
          <w:rStyle w:val="Odwoanieprzypisudolnego"/>
        </w:rPr>
        <w:footnoteRef/>
      </w:r>
      <w:r>
        <w:t xml:space="preserve"> </w:t>
      </w:r>
      <w:r w:rsidRPr="00655FC7">
        <w:t>https://www.funduszeeuropejskie.gov.pl/strony/o-funduszach/fundusze-na-lata-2021-2027/dowiedz-sie-wiecej-o-funduszach-europejskich-na-lata-2021-2027/</w:t>
      </w:r>
    </w:p>
  </w:footnote>
  <w:footnote w:id="52">
    <w:p w14:paraId="0DC609CC" w14:textId="77777777" w:rsidR="00707669" w:rsidRDefault="00707669" w:rsidP="00707669">
      <w:pPr>
        <w:pStyle w:val="Tekstprzypisudolnego"/>
      </w:pPr>
      <w:r>
        <w:rPr>
          <w:rStyle w:val="Odwoanieprzypisudolnego"/>
        </w:rPr>
        <w:footnoteRef/>
      </w:r>
      <w:r>
        <w:t xml:space="preserve"> </w:t>
      </w:r>
      <w:r w:rsidRPr="007C7BA5">
        <w:t>https://www.gov.pl/web/nfosigw/informacje-o-programie</w:t>
      </w:r>
    </w:p>
  </w:footnote>
  <w:footnote w:id="53">
    <w:p w14:paraId="01727DB4" w14:textId="77777777" w:rsidR="00707669" w:rsidRDefault="00707669" w:rsidP="00707669">
      <w:pPr>
        <w:pStyle w:val="Tekstprzypisudolnego"/>
      </w:pPr>
      <w:r>
        <w:rPr>
          <w:rStyle w:val="Odwoanieprzypisudolnego"/>
        </w:rPr>
        <w:footnoteRef/>
      </w:r>
      <w:r>
        <w:t xml:space="preserve"> </w:t>
      </w:r>
      <w:r w:rsidRPr="007C7BA5">
        <w:t>https://www.consilium.europa.eu/pl/policies/horizon-europe/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4DA8B49" w14:textId="77777777" w:rsidR="008F71E8" w:rsidRPr="00655FC7" w:rsidRDefault="008F71E8" w:rsidP="00967718">
    <w:pPr>
      <w:tabs>
        <w:tab w:val="left" w:pos="5349"/>
      </w:tabs>
      <w:spacing w:line="240" w:lineRule="auto"/>
      <w:ind w:firstLine="0"/>
      <w:jc w:val="left"/>
      <w:rPr>
        <w:rFonts w:ascii="Calibri" w:eastAsia="Calibri" w:hAnsi="Calibri" w:cs="Times New Roman"/>
        <w:b/>
        <w:color w:val="538135"/>
        <w:sz w:val="20"/>
        <w:szCs w:val="23"/>
      </w:rPr>
    </w:pPr>
    <w:r w:rsidRPr="00655FC7">
      <w:rPr>
        <w:noProof/>
        <w:lang w:eastAsia="en-GB"/>
      </w:rPr>
      <w:drawing>
        <wp:anchor distT="0" distB="0" distL="114300" distR="114300" simplePos="0" relativeHeight="251649536" behindDoc="0" locked="0" layoutInCell="1" allowOverlap="1" wp14:anchorId="61725089" wp14:editId="3EF3999A">
          <wp:simplePos x="0" y="0"/>
          <wp:positionH relativeFrom="column">
            <wp:posOffset>648335</wp:posOffset>
          </wp:positionH>
          <wp:positionV relativeFrom="paragraph">
            <wp:posOffset>-78740</wp:posOffset>
          </wp:positionV>
          <wp:extent cx="643255" cy="397510"/>
          <wp:effectExtent l="0" t="0" r="0" b="2540"/>
          <wp:wrapSquare wrapText="bothSides"/>
          <wp:docPr id="1546230211" name="Obraz 154623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clrChange>
                      <a:clrFrom>
                        <a:srgbClr val="FBFEFB"/>
                      </a:clrFrom>
                      <a:clrTo>
                        <a:srgbClr val="FBFEFB">
                          <a:alpha val="0"/>
                        </a:srgbClr>
                      </a:clrTo>
                    </a:clrChange>
                    <a:extLst>
                      <a:ext uri="{28A0092B-C50C-407E-A947-70E740481C1C}">
                        <a14:useLocalDpi xmlns:a14="http://schemas.microsoft.com/office/drawing/2010/main" val="0"/>
                      </a:ext>
                    </a:extLst>
                  </a:blip>
                  <a:stretch>
                    <a:fillRect/>
                  </a:stretch>
                </pic:blipFill>
                <pic:spPr>
                  <a:xfrm>
                    <a:off x="0" y="0"/>
                    <a:ext cx="643255" cy="397510"/>
                  </a:xfrm>
                  <a:prstGeom prst="rect">
                    <a:avLst/>
                  </a:prstGeom>
                </pic:spPr>
              </pic:pic>
            </a:graphicData>
          </a:graphic>
          <wp14:sizeRelH relativeFrom="page">
            <wp14:pctWidth>0</wp14:pctWidth>
          </wp14:sizeRelH>
          <wp14:sizeRelV relativeFrom="page">
            <wp14:pctHeight>0</wp14:pctHeight>
          </wp14:sizeRelV>
        </wp:anchor>
      </w:drawing>
    </w:r>
    <w:r w:rsidRPr="00655FC7">
      <w:rPr>
        <w:rFonts w:ascii="Calibri" w:eastAsia="Calibri" w:hAnsi="Calibri" w:cs="Times New Roman"/>
        <w:b/>
        <w:color w:val="808080"/>
        <w:sz w:val="20"/>
        <w:szCs w:val="23"/>
      </w:rPr>
      <w:t xml:space="preserve">                    Busko-Zdrój</w:t>
    </w:r>
    <w:r w:rsidRPr="00655FC7">
      <w:rPr>
        <w:rFonts w:ascii="Calibri" w:eastAsia="Calibri" w:hAnsi="Calibri" w:cs="Times New Roman"/>
        <w:b/>
        <w:color w:val="808080"/>
        <w:sz w:val="20"/>
        <w:szCs w:val="23"/>
      </w:rPr>
      <w:tab/>
    </w:r>
  </w:p>
  <w:p w14:paraId="3F1E308F" w14:textId="77777777" w:rsidR="008F71E8" w:rsidRPr="00655FC7" w:rsidRDefault="00000000" w:rsidP="00115C74">
    <w:pPr>
      <w:pStyle w:val="Nagwek"/>
      <w:ind w:firstLine="0"/>
    </w:pPr>
    <w:r>
      <w:rPr>
        <w:rFonts w:ascii="Calibri" w:eastAsia="Calibri" w:hAnsi="Calibri" w:cs="Times New Roman"/>
        <w:color w:val="538135"/>
      </w:rPr>
      <w:pict w14:anchorId="5B404776">
        <v:rect id="_x0000_i1025" style="width:453.5pt;height:1pt" o:hralign="center" o:hrstd="t" o:hrnoshade="t" o:hr="t" fillcolor="#9da321 [3206]" stroked="f"/>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2A6CFA" w14:textId="77777777" w:rsidR="00D155AA" w:rsidRPr="00655FC7" w:rsidRDefault="00D155AA" w:rsidP="00132F41">
    <w:pPr>
      <w:pStyle w:val="Nagwek"/>
      <w:spacing w:after="240"/>
      <w:jc w:val="center"/>
    </w:pPr>
    <w:r w:rsidRPr="00655FC7">
      <w:rPr>
        <w:noProof/>
        <w:color w:val="auto"/>
      </w:rPr>
      <w:drawing>
        <wp:inline distT="0" distB="0" distL="0" distR="0" wp14:anchorId="35443F93" wp14:editId="1647CC56">
          <wp:extent cx="5759450" cy="610870"/>
          <wp:effectExtent l="0" t="0" r="0" b="0"/>
          <wp:docPr id="146588672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610870"/>
                  </a:xfrm>
                  <a:prstGeom prst="rect">
                    <a:avLst/>
                  </a:prstGeom>
                  <a:noFill/>
                  <a:ln>
                    <a:noFill/>
                  </a:ln>
                </pic:spPr>
              </pic:pic>
            </a:graphicData>
          </a:graphic>
        </wp:inline>
      </w:drawing>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9F4007" w14:textId="77777777" w:rsidR="00D155AA" w:rsidRPr="00655FC7" w:rsidRDefault="00D155AA" w:rsidP="003902C5">
    <w:pPr>
      <w:pStyle w:val="Nagwek"/>
      <w:ind w:left="1247" w:firstLine="0"/>
      <w:jc w:val="left"/>
      <w:rPr>
        <w:rFonts w:ascii="Calibri" w:eastAsia="Calibri" w:hAnsi="Calibri" w:cs="Times New Roman"/>
        <w:b/>
        <w:bCs/>
        <w:color w:val="638A29"/>
        <w:sz w:val="24"/>
        <w:szCs w:val="24"/>
      </w:rPr>
    </w:pPr>
    <w:r w:rsidRPr="00655FC7">
      <w:rPr>
        <w:b/>
        <w:bCs/>
        <w:noProof/>
        <w:color w:val="638A29"/>
        <w:sz w:val="28"/>
        <w:szCs w:val="28"/>
      </w:rPr>
      <w:drawing>
        <wp:anchor distT="0" distB="0" distL="114300" distR="114300" simplePos="0" relativeHeight="251662848" behindDoc="1" locked="0" layoutInCell="1" allowOverlap="1" wp14:anchorId="623056B5" wp14:editId="67EAACE0">
          <wp:simplePos x="0" y="0"/>
          <wp:positionH relativeFrom="margin">
            <wp:align>left</wp:align>
          </wp:positionH>
          <wp:positionV relativeFrom="paragraph">
            <wp:posOffset>-198172</wp:posOffset>
          </wp:positionV>
          <wp:extent cx="720000" cy="502304"/>
          <wp:effectExtent l="0" t="0" r="4445" b="0"/>
          <wp:wrapNone/>
          <wp:docPr id="577070460" name="Obraz 4" descr="Obraz zawierający design&#10;&#10;Opis wygenerowany automatycznie przy nis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231268" name="Obraz 4" descr="Obraz zawierający design&#10;&#10;Opis wygenerowany automatycznie przy niskim poziomie pewności"/>
                  <pic:cNvPicPr/>
                </pic:nvPicPr>
                <pic:blipFill>
                  <a:blip r:embed="rId1">
                    <a:extLst>
                      <a:ext uri="{28A0092B-C50C-407E-A947-70E740481C1C}">
                        <a14:useLocalDpi xmlns:a14="http://schemas.microsoft.com/office/drawing/2010/main" val="0"/>
                      </a:ext>
                    </a:extLst>
                  </a:blip>
                  <a:stretch>
                    <a:fillRect/>
                  </a:stretch>
                </pic:blipFill>
                <pic:spPr>
                  <a:xfrm flipH="1">
                    <a:off x="0" y="0"/>
                    <a:ext cx="720000" cy="502304"/>
                  </a:xfrm>
                  <a:prstGeom prst="rect">
                    <a:avLst/>
                  </a:prstGeom>
                </pic:spPr>
              </pic:pic>
            </a:graphicData>
          </a:graphic>
          <wp14:sizeRelH relativeFrom="margin">
            <wp14:pctWidth>0</wp14:pctWidth>
          </wp14:sizeRelH>
          <wp14:sizeRelV relativeFrom="margin">
            <wp14:pctHeight>0</wp14:pctHeight>
          </wp14:sizeRelV>
        </wp:anchor>
      </w:drawing>
    </w:r>
    <w:r w:rsidRPr="00655FC7">
      <w:rPr>
        <w:rFonts w:ascii="Calibri" w:eastAsia="Calibri" w:hAnsi="Calibri" w:cs="Times New Roman"/>
        <w:b/>
        <w:bCs/>
        <w:color w:val="638A29"/>
        <w:sz w:val="24"/>
        <w:szCs w:val="24"/>
      </w:rPr>
      <w:t>dla Miasta Pińczów</w:t>
    </w:r>
  </w:p>
  <w:p w14:paraId="4E682868" w14:textId="77777777" w:rsidR="00D155AA" w:rsidRPr="00655FC7" w:rsidRDefault="00D155AA" w:rsidP="003902C5">
    <w:pPr>
      <w:pStyle w:val="Nagwek"/>
      <w:ind w:firstLine="0"/>
      <w:jc w:val="left"/>
      <w:rPr>
        <w:rFonts w:ascii="Calibri" w:eastAsia="Calibri" w:hAnsi="Calibri" w:cs="Times New Roman"/>
        <w:color w:val="auto"/>
      </w:rPr>
    </w:pPr>
    <w:r w:rsidRPr="00655FC7">
      <w:rPr>
        <w:noProof/>
        <w:color w:val="auto"/>
      </w:rPr>
      <mc:AlternateContent>
        <mc:Choice Requires="wps">
          <w:drawing>
            <wp:inline distT="0" distB="0" distL="0" distR="0" wp14:anchorId="5D32644C" wp14:editId="713EA321">
              <wp:extent cx="5760000" cy="0"/>
              <wp:effectExtent l="0" t="0" r="0" b="0"/>
              <wp:docPr id="243579418" name="Łącznik prosty 3"/>
              <wp:cNvGraphicFramePr/>
              <a:graphic xmlns:a="http://schemas.openxmlformats.org/drawingml/2006/main">
                <a:graphicData uri="http://schemas.microsoft.com/office/word/2010/wordprocessingShape">
                  <wps:wsp>
                    <wps:cNvCnPr/>
                    <wps:spPr>
                      <a:xfrm>
                        <a:off x="0" y="0"/>
                        <a:ext cx="576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645FAF51"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" strokecolor="#638a29">
              <w10:anchorlock/>
            </v:lin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7C34DD" w14:textId="77777777" w:rsidR="00D155AA" w:rsidRPr="00655FC7" w:rsidRDefault="00D155AA" w:rsidP="00650EE6">
    <w:pPr>
      <w:pStyle w:val="Nagwek"/>
      <w:tabs>
        <w:tab w:val="clear" w:pos="9072"/>
        <w:tab w:val="right" w:pos="7938"/>
      </w:tabs>
      <w:spacing w:after="240"/>
      <w:ind w:firstLine="0"/>
      <w:jc w:val="right"/>
      <w:rPr>
        <w:color w:val="auto"/>
      </w:rPr>
    </w:pPr>
    <w:r w:rsidRPr="00655FC7">
      <w:rPr>
        <w:noProof/>
        <w:color w:val="auto"/>
      </w:rPr>
      <w:drawing>
        <wp:inline distT="0" distB="0" distL="0" distR="0" wp14:anchorId="0B051BEF" wp14:editId="5E0D4583">
          <wp:extent cx="5759450" cy="610870"/>
          <wp:effectExtent l="0" t="0" r="0" b="0"/>
          <wp:docPr id="47617723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610870"/>
                  </a:xfrm>
                  <a:prstGeom prst="rect">
                    <a:avLst/>
                  </a:prstGeom>
                  <a:noFill/>
                  <a:ln>
                    <a:noFill/>
                  </a:ln>
                </pic:spPr>
              </pic:pic>
            </a:graphicData>
          </a:graphic>
        </wp:inline>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A6B6AD" w14:textId="77777777" w:rsidR="00D155AA" w:rsidRPr="00655FC7" w:rsidRDefault="00D155AA" w:rsidP="00184D9F">
    <w:pPr>
      <w:pStyle w:val="Nagwek"/>
      <w:tabs>
        <w:tab w:val="clear" w:pos="9072"/>
        <w:tab w:val="right" w:pos="7938"/>
      </w:tabs>
      <w:spacing w:after="240"/>
      <w:ind w:firstLine="0"/>
      <w:jc w:val="center"/>
      <w:rPr>
        <w:color w:val="auto"/>
      </w:rPr>
    </w:pPr>
    <w:r w:rsidRPr="00655FC7">
      <w:rPr>
        <w:noProof/>
        <w:color w:val="auto"/>
      </w:rPr>
      <w:drawing>
        <wp:inline distT="0" distB="0" distL="0" distR="0" wp14:anchorId="7B215ECB" wp14:editId="4A3E7FAA">
          <wp:extent cx="5759450" cy="610870"/>
          <wp:effectExtent l="0" t="0" r="0" b="0"/>
          <wp:docPr id="27074803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610870"/>
                  </a:xfrm>
                  <a:prstGeom prst="rect">
                    <a:avLst/>
                  </a:prstGeom>
                  <a:noFill/>
                  <a:ln>
                    <a:noFill/>
                  </a:ln>
                </pic:spPr>
              </pic:pic>
            </a:graphicData>
          </a:graphic>
        </wp:inline>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3E2961" w14:textId="77777777" w:rsidR="00D155AA" w:rsidRPr="00655FC7" w:rsidRDefault="00D155AA" w:rsidP="00184D9F">
    <w:pPr>
      <w:pStyle w:val="Nagwek"/>
      <w:spacing w:after="240"/>
      <w:ind w:firstLine="0"/>
      <w:jc w:val="center"/>
      <w:rPr>
        <w:rFonts w:ascii="Calibri" w:eastAsia="Calibri" w:hAnsi="Calibri" w:cs="Times New Roman"/>
        <w:color w:val="auto"/>
      </w:rPr>
    </w:pPr>
    <w:r w:rsidRPr="00655FC7">
      <w:rPr>
        <w:noProof/>
        <w:color w:val="auto"/>
      </w:rPr>
      <w:drawing>
        <wp:inline distT="0" distB="0" distL="0" distR="0" wp14:anchorId="5AB48894" wp14:editId="5AE87E37">
          <wp:extent cx="5759450" cy="610870"/>
          <wp:effectExtent l="0" t="0" r="0" b="0"/>
          <wp:docPr id="41881484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610870"/>
                  </a:xfrm>
                  <a:prstGeom prst="rect">
                    <a:avLst/>
                  </a:prstGeom>
                  <a:noFill/>
                  <a:ln>
                    <a:noFill/>
                  </a:ln>
                </pic:spPr>
              </pic:pic>
            </a:graphicData>
          </a:graphic>
        </wp:inline>
      </w:drawing>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7AAEA2" w14:textId="67A1BD33" w:rsidR="008F71E8" w:rsidRPr="00655FC7" w:rsidRDefault="008F71E8" w:rsidP="00E65AB1">
    <w:pPr>
      <w:pStyle w:val="Nagwek"/>
      <w:ind w:firstLine="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075C31" w14:textId="77777777" w:rsidR="00EC446B" w:rsidRPr="00655FC7" w:rsidRDefault="00EC446B" w:rsidP="003902C5">
    <w:pPr>
      <w:pStyle w:val="Nagwek"/>
      <w:ind w:left="1247" w:firstLine="0"/>
      <w:jc w:val="left"/>
      <w:rPr>
        <w:rFonts w:ascii="Calibri" w:eastAsia="Calibri" w:hAnsi="Calibri" w:cs="Times New Roman"/>
        <w:b/>
        <w:bCs/>
        <w:color w:val="638A29"/>
        <w:sz w:val="24"/>
        <w:szCs w:val="24"/>
      </w:rPr>
    </w:pPr>
    <w:r w:rsidRPr="00655FC7">
      <w:rPr>
        <w:b/>
        <w:bCs/>
        <w:noProof/>
        <w:color w:val="638A29"/>
        <w:sz w:val="28"/>
        <w:szCs w:val="28"/>
      </w:rPr>
      <w:drawing>
        <wp:anchor distT="0" distB="0" distL="114300" distR="114300" simplePos="0" relativeHeight="251664896" behindDoc="1" locked="0" layoutInCell="1" allowOverlap="1" wp14:anchorId="71DC97A2" wp14:editId="0D72D81A">
          <wp:simplePos x="0" y="0"/>
          <wp:positionH relativeFrom="margin">
            <wp:align>left</wp:align>
          </wp:positionH>
          <wp:positionV relativeFrom="paragraph">
            <wp:posOffset>-198172</wp:posOffset>
          </wp:positionV>
          <wp:extent cx="720000" cy="502304"/>
          <wp:effectExtent l="0" t="0" r="4445" b="0"/>
          <wp:wrapNone/>
          <wp:docPr id="1048036866" name="Obraz 4" descr="Obraz zawierający design&#10;&#10;Opis wygenerowany automatycznie przy nis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231268" name="Obraz 4" descr="Obraz zawierający design&#10;&#10;Opis wygenerowany automatycznie przy niskim poziomie pewności"/>
                  <pic:cNvPicPr/>
                </pic:nvPicPr>
                <pic:blipFill>
                  <a:blip r:embed="rId1">
                    <a:extLst>
                      <a:ext uri="{28A0092B-C50C-407E-A947-70E740481C1C}">
                        <a14:useLocalDpi xmlns:a14="http://schemas.microsoft.com/office/drawing/2010/main" val="0"/>
                      </a:ext>
                    </a:extLst>
                  </a:blip>
                  <a:stretch>
                    <a:fillRect/>
                  </a:stretch>
                </pic:blipFill>
                <pic:spPr>
                  <a:xfrm flipH="1">
                    <a:off x="0" y="0"/>
                    <a:ext cx="720000" cy="502304"/>
                  </a:xfrm>
                  <a:prstGeom prst="rect">
                    <a:avLst/>
                  </a:prstGeom>
                </pic:spPr>
              </pic:pic>
            </a:graphicData>
          </a:graphic>
          <wp14:sizeRelH relativeFrom="margin">
            <wp14:pctWidth>0</wp14:pctWidth>
          </wp14:sizeRelH>
          <wp14:sizeRelV relativeFrom="margin">
            <wp14:pctHeight>0</wp14:pctHeight>
          </wp14:sizeRelV>
        </wp:anchor>
      </w:drawing>
    </w:r>
    <w:r w:rsidRPr="00655FC7">
      <w:rPr>
        <w:rFonts w:ascii="Calibri" w:eastAsia="Calibri" w:hAnsi="Calibri" w:cs="Times New Roman"/>
        <w:b/>
        <w:bCs/>
        <w:color w:val="638A29"/>
        <w:sz w:val="24"/>
        <w:szCs w:val="24"/>
      </w:rPr>
      <w:t>dla Miasta Pińczów</w:t>
    </w:r>
  </w:p>
  <w:p w14:paraId="116885AA" w14:textId="77777777" w:rsidR="00EC446B" w:rsidRPr="00655FC7" w:rsidRDefault="00EC446B" w:rsidP="003902C5">
    <w:pPr>
      <w:pStyle w:val="Nagwek"/>
      <w:ind w:firstLine="0"/>
      <w:jc w:val="left"/>
      <w:rPr>
        <w:rFonts w:ascii="Calibri" w:eastAsia="Calibri" w:hAnsi="Calibri" w:cs="Times New Roman"/>
        <w:color w:val="auto"/>
      </w:rPr>
    </w:pPr>
    <w:r w:rsidRPr="00655FC7">
      <w:rPr>
        <w:noProof/>
        <w:color w:val="auto"/>
      </w:rPr>
      <mc:AlternateContent>
        <mc:Choice Requires="wps">
          <w:drawing>
            <wp:inline distT="0" distB="0" distL="0" distR="0" wp14:anchorId="67282EFE" wp14:editId="1EAFCC0A">
              <wp:extent cx="9000000" cy="0"/>
              <wp:effectExtent l="0" t="0" r="0" b="0"/>
              <wp:docPr id="56159463" name="Łącznik prosty 3"/>
              <wp:cNvGraphicFramePr/>
              <a:graphic xmlns:a="http://schemas.openxmlformats.org/drawingml/2006/main">
                <a:graphicData uri="http://schemas.microsoft.com/office/word/2010/wordprocessingShape">
                  <wps:wsp>
                    <wps:cNvCnPr/>
                    <wps:spPr>
                      <a:xfrm>
                        <a:off x="0" y="0"/>
                        <a:ext cx="900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32FE0AB0"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70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" strokecolor="#638a29">
              <w10:anchorlock/>
            </v:lin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B3B964" w14:textId="7B3B4878" w:rsidR="00EC446B" w:rsidRPr="00655FC7" w:rsidRDefault="00F71C55" w:rsidP="00F71C55">
    <w:pPr>
      <w:pStyle w:val="Nagwek"/>
      <w:tabs>
        <w:tab w:val="clear" w:pos="9072"/>
        <w:tab w:val="right" w:pos="7938"/>
      </w:tabs>
      <w:ind w:firstLine="0"/>
      <w:jc w:val="center"/>
      <w:rPr>
        <w:color w:val="auto"/>
      </w:rPr>
    </w:pPr>
    <w:r w:rsidRPr="00655FC7">
      <w:rPr>
        <w:noProof/>
        <w:color w:val="auto"/>
      </w:rPr>
      <w:drawing>
        <wp:inline distT="0" distB="0" distL="0" distR="0" wp14:anchorId="2C582EE3" wp14:editId="4E0B87B7">
          <wp:extent cx="5759450" cy="610870"/>
          <wp:effectExtent l="0" t="0" r="0" b="0"/>
          <wp:docPr id="174419222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610870"/>
                  </a:xfrm>
                  <a:prstGeom prst="rect">
                    <a:avLst/>
                  </a:prstGeom>
                  <a:noFill/>
                  <a:ln>
                    <a:noFill/>
                  </a:ln>
                </pic:spPr>
              </pic:pic>
            </a:graphicData>
          </a:graphic>
        </wp:inline>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F5E51C" w14:textId="77777777" w:rsidR="003F3E5A" w:rsidRPr="00655FC7" w:rsidRDefault="003F3E5A" w:rsidP="003902C5">
    <w:pPr>
      <w:pStyle w:val="Nagwek"/>
      <w:ind w:left="1247" w:firstLine="0"/>
      <w:jc w:val="left"/>
      <w:rPr>
        <w:rFonts w:ascii="Calibri" w:eastAsia="Calibri" w:hAnsi="Calibri" w:cs="Times New Roman"/>
        <w:b/>
        <w:bCs/>
        <w:color w:val="638A29"/>
        <w:sz w:val="24"/>
        <w:szCs w:val="24"/>
      </w:rPr>
    </w:pPr>
    <w:r w:rsidRPr="00655FC7">
      <w:rPr>
        <w:b/>
        <w:bCs/>
        <w:noProof/>
        <w:color w:val="638A29"/>
        <w:sz w:val="28"/>
        <w:szCs w:val="28"/>
      </w:rPr>
      <w:drawing>
        <wp:anchor distT="0" distB="0" distL="114300" distR="114300" simplePos="0" relativeHeight="251665920" behindDoc="1" locked="0" layoutInCell="1" allowOverlap="1" wp14:anchorId="628C7833" wp14:editId="4E5F443D">
          <wp:simplePos x="0" y="0"/>
          <wp:positionH relativeFrom="margin">
            <wp:align>left</wp:align>
          </wp:positionH>
          <wp:positionV relativeFrom="paragraph">
            <wp:posOffset>-198172</wp:posOffset>
          </wp:positionV>
          <wp:extent cx="720000" cy="502304"/>
          <wp:effectExtent l="0" t="0" r="4445" b="0"/>
          <wp:wrapNone/>
          <wp:docPr id="1567340738" name="Obraz 4" descr="Obraz zawierający design&#10;&#10;Opis wygenerowany automatycznie przy nis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231268" name="Obraz 4" descr="Obraz zawierający design&#10;&#10;Opis wygenerowany automatycznie przy niskim poziomie pewności"/>
                  <pic:cNvPicPr/>
                </pic:nvPicPr>
                <pic:blipFill>
                  <a:blip r:embed="rId1">
                    <a:extLst>
                      <a:ext uri="{28A0092B-C50C-407E-A947-70E740481C1C}">
                        <a14:useLocalDpi xmlns:a14="http://schemas.microsoft.com/office/drawing/2010/main" val="0"/>
                      </a:ext>
                    </a:extLst>
                  </a:blip>
                  <a:stretch>
                    <a:fillRect/>
                  </a:stretch>
                </pic:blipFill>
                <pic:spPr>
                  <a:xfrm flipH="1">
                    <a:off x="0" y="0"/>
                    <a:ext cx="720000" cy="502304"/>
                  </a:xfrm>
                  <a:prstGeom prst="rect">
                    <a:avLst/>
                  </a:prstGeom>
                </pic:spPr>
              </pic:pic>
            </a:graphicData>
          </a:graphic>
          <wp14:sizeRelH relativeFrom="margin">
            <wp14:pctWidth>0</wp14:pctWidth>
          </wp14:sizeRelH>
          <wp14:sizeRelV relativeFrom="margin">
            <wp14:pctHeight>0</wp14:pctHeight>
          </wp14:sizeRelV>
        </wp:anchor>
      </w:drawing>
    </w:r>
    <w:r w:rsidRPr="00655FC7">
      <w:rPr>
        <w:rFonts w:ascii="Calibri" w:eastAsia="Calibri" w:hAnsi="Calibri" w:cs="Times New Roman"/>
        <w:b/>
        <w:bCs/>
        <w:color w:val="638A29"/>
        <w:sz w:val="24"/>
        <w:szCs w:val="24"/>
      </w:rPr>
      <w:t>dla Miasta Pińczów</w:t>
    </w:r>
  </w:p>
  <w:p w14:paraId="70632747" w14:textId="77777777" w:rsidR="003F3E5A" w:rsidRPr="00655FC7" w:rsidRDefault="003F3E5A" w:rsidP="003902C5">
    <w:pPr>
      <w:pStyle w:val="Nagwek"/>
      <w:ind w:firstLine="0"/>
      <w:jc w:val="left"/>
      <w:rPr>
        <w:rFonts w:ascii="Calibri" w:eastAsia="Calibri" w:hAnsi="Calibri" w:cs="Times New Roman"/>
        <w:color w:val="auto"/>
      </w:rPr>
    </w:pPr>
    <w:r w:rsidRPr="00655FC7">
      <w:rPr>
        <w:noProof/>
        <w:color w:val="auto"/>
      </w:rPr>
      <mc:AlternateContent>
        <mc:Choice Requires="wps">
          <w:drawing>
            <wp:inline distT="0" distB="0" distL="0" distR="0" wp14:anchorId="1E196CA9" wp14:editId="506A565A">
              <wp:extent cx="5760000" cy="0"/>
              <wp:effectExtent l="0" t="0" r="0" b="0"/>
              <wp:docPr id="790429533" name="Łącznik prosty 3"/>
              <wp:cNvGraphicFramePr/>
              <a:graphic xmlns:a="http://schemas.openxmlformats.org/drawingml/2006/main">
                <a:graphicData uri="http://schemas.microsoft.com/office/word/2010/wordprocessingShape">
                  <wps:wsp>
                    <wps:cNvCnPr/>
                    <wps:spPr>
                      <a:xfrm>
                        <a:off x="0" y="0"/>
                        <a:ext cx="576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3AAF3EB3"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" strokecolor="#638a29">
              <w10:anchorlock/>
            </v:lin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43B6F1" w14:textId="77777777" w:rsidR="003F3E5A" w:rsidRPr="00655FC7" w:rsidRDefault="003F3E5A" w:rsidP="00F71C55">
    <w:pPr>
      <w:pStyle w:val="Nagwek"/>
      <w:tabs>
        <w:tab w:val="clear" w:pos="9072"/>
        <w:tab w:val="right" w:pos="7938"/>
      </w:tabs>
      <w:ind w:firstLine="0"/>
      <w:jc w:val="center"/>
      <w:rPr>
        <w:color w:val="auto"/>
      </w:rPr>
    </w:pPr>
    <w:r w:rsidRPr="00655FC7">
      <w:rPr>
        <w:noProof/>
        <w:color w:val="auto"/>
      </w:rPr>
      <w:drawing>
        <wp:inline distT="0" distB="0" distL="0" distR="0" wp14:anchorId="1A7F9510" wp14:editId="2B863C8A">
          <wp:extent cx="5759450" cy="610870"/>
          <wp:effectExtent l="0" t="0" r="0" b="0"/>
          <wp:docPr id="193109162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61087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7283D4" w14:textId="7156764E" w:rsidR="006F526E" w:rsidRPr="00655FC7" w:rsidRDefault="004058D7" w:rsidP="004058D7">
    <w:pPr>
      <w:pStyle w:val="Nagwek"/>
      <w:tabs>
        <w:tab w:val="clear" w:pos="9072"/>
        <w:tab w:val="right" w:pos="7938"/>
      </w:tabs>
      <w:spacing w:after="240"/>
      <w:ind w:firstLine="0"/>
      <w:jc w:val="right"/>
      <w:rPr>
        <w:color w:val="auto"/>
      </w:rPr>
    </w:pPr>
    <w:r w:rsidRPr="00655FC7">
      <w:rPr>
        <w:noProof/>
        <w:color w:val="auto"/>
      </w:rPr>
      <w:drawing>
        <wp:inline distT="0" distB="0" distL="0" distR="0" wp14:anchorId="1D059163" wp14:editId="316EDA92">
          <wp:extent cx="5759450" cy="610870"/>
          <wp:effectExtent l="0" t="0" r="0" b="0"/>
          <wp:docPr id="738752151"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610870"/>
                  </a:xfrm>
                  <a:prstGeom prst="rect">
                    <a:avLst/>
                  </a:prstGeom>
                  <a:noFill/>
                  <a:ln>
                    <a:noFill/>
                  </a:ln>
                </pic:spPr>
              </pic:pic>
            </a:graphicData>
          </a:graphic>
        </wp:inline>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FC73E6" w14:textId="77777777" w:rsidR="00EC446B" w:rsidRPr="00655FC7" w:rsidRDefault="00EC446B" w:rsidP="003902C5">
    <w:pPr>
      <w:pStyle w:val="Nagwek"/>
      <w:ind w:left="1247" w:firstLine="0"/>
      <w:jc w:val="left"/>
      <w:rPr>
        <w:rFonts w:ascii="Calibri" w:eastAsia="Calibri" w:hAnsi="Calibri" w:cs="Times New Roman"/>
        <w:b/>
        <w:bCs/>
        <w:color w:val="638A29"/>
        <w:sz w:val="24"/>
        <w:szCs w:val="24"/>
      </w:rPr>
    </w:pPr>
    <w:r w:rsidRPr="00655FC7">
      <w:rPr>
        <w:b/>
        <w:bCs/>
        <w:noProof/>
        <w:color w:val="638A29"/>
        <w:sz w:val="28"/>
        <w:szCs w:val="28"/>
      </w:rPr>
      <w:drawing>
        <wp:anchor distT="0" distB="0" distL="114300" distR="114300" simplePos="0" relativeHeight="251655680" behindDoc="1" locked="0" layoutInCell="1" allowOverlap="1" wp14:anchorId="33F6F1CC" wp14:editId="1C28E520">
          <wp:simplePos x="0" y="0"/>
          <wp:positionH relativeFrom="margin">
            <wp:align>left</wp:align>
          </wp:positionH>
          <wp:positionV relativeFrom="paragraph">
            <wp:posOffset>-198172</wp:posOffset>
          </wp:positionV>
          <wp:extent cx="720000" cy="502304"/>
          <wp:effectExtent l="0" t="0" r="4445" b="0"/>
          <wp:wrapNone/>
          <wp:docPr id="349680591" name="Obraz 4" descr="Obraz zawierający design&#10;&#10;Opis wygenerowany automatycznie przy nis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231268" name="Obraz 4" descr="Obraz zawierający design&#10;&#10;Opis wygenerowany automatycznie przy niskim poziomie pewności"/>
                  <pic:cNvPicPr/>
                </pic:nvPicPr>
                <pic:blipFill>
                  <a:blip r:embed="rId1">
                    <a:extLst>
                      <a:ext uri="{28A0092B-C50C-407E-A947-70E740481C1C}">
                        <a14:useLocalDpi xmlns:a14="http://schemas.microsoft.com/office/drawing/2010/main" val="0"/>
                      </a:ext>
                    </a:extLst>
                  </a:blip>
                  <a:stretch>
                    <a:fillRect/>
                  </a:stretch>
                </pic:blipFill>
                <pic:spPr>
                  <a:xfrm flipH="1">
                    <a:off x="0" y="0"/>
                    <a:ext cx="720000" cy="502304"/>
                  </a:xfrm>
                  <a:prstGeom prst="rect">
                    <a:avLst/>
                  </a:prstGeom>
                </pic:spPr>
              </pic:pic>
            </a:graphicData>
          </a:graphic>
          <wp14:sizeRelH relativeFrom="margin">
            <wp14:pctWidth>0</wp14:pctWidth>
          </wp14:sizeRelH>
          <wp14:sizeRelV relativeFrom="margin">
            <wp14:pctHeight>0</wp14:pctHeight>
          </wp14:sizeRelV>
        </wp:anchor>
      </w:drawing>
    </w:r>
    <w:r w:rsidRPr="00655FC7">
      <w:rPr>
        <w:rFonts w:ascii="Calibri" w:eastAsia="Calibri" w:hAnsi="Calibri" w:cs="Times New Roman"/>
        <w:b/>
        <w:bCs/>
        <w:color w:val="638A29"/>
        <w:sz w:val="24"/>
        <w:szCs w:val="24"/>
      </w:rPr>
      <w:t>dla Miasta Pińczów</w:t>
    </w:r>
  </w:p>
  <w:p w14:paraId="3AF7153F" w14:textId="77777777" w:rsidR="00EC446B" w:rsidRPr="00655FC7" w:rsidRDefault="00EC446B" w:rsidP="003902C5">
    <w:pPr>
      <w:pStyle w:val="Nagwek"/>
      <w:ind w:firstLine="0"/>
      <w:jc w:val="left"/>
      <w:rPr>
        <w:rFonts w:ascii="Calibri" w:eastAsia="Calibri" w:hAnsi="Calibri" w:cs="Times New Roman"/>
        <w:color w:val="auto"/>
      </w:rPr>
    </w:pPr>
    <w:r w:rsidRPr="00655FC7">
      <w:rPr>
        <w:noProof/>
        <w:color w:val="auto"/>
      </w:rPr>
      <mc:AlternateContent>
        <mc:Choice Requires="wps">
          <w:drawing>
            <wp:inline distT="0" distB="0" distL="0" distR="0" wp14:anchorId="54C9750E" wp14:editId="28D7F3A0">
              <wp:extent cx="5760000" cy="0"/>
              <wp:effectExtent l="0" t="0" r="0" b="0"/>
              <wp:docPr id="673576815" name="Łącznik prosty 3"/>
              <wp:cNvGraphicFramePr/>
              <a:graphic xmlns:a="http://schemas.openxmlformats.org/drawingml/2006/main">
                <a:graphicData uri="http://schemas.microsoft.com/office/word/2010/wordprocessingShape">
                  <wps:wsp>
                    <wps:cNvCnPr/>
                    <wps:spPr>
                      <a:xfrm>
                        <a:off x="0" y="0"/>
                        <a:ext cx="576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526D3D44"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" strokecolor="#638a29">
              <w10:anchorlock/>
            </v:lin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B20514" w14:textId="50E1E7CC" w:rsidR="00EC446B" w:rsidRPr="00655FC7" w:rsidRDefault="00F71C55" w:rsidP="00F71C55">
    <w:pPr>
      <w:pStyle w:val="Nagwek"/>
      <w:tabs>
        <w:tab w:val="clear" w:pos="9072"/>
        <w:tab w:val="right" w:pos="7938"/>
      </w:tabs>
      <w:ind w:firstLine="0"/>
      <w:jc w:val="center"/>
      <w:rPr>
        <w:color w:val="auto"/>
      </w:rPr>
    </w:pPr>
    <w:r w:rsidRPr="00655FC7">
      <w:rPr>
        <w:noProof/>
        <w:color w:val="auto"/>
      </w:rPr>
      <w:drawing>
        <wp:inline distT="0" distB="0" distL="0" distR="0" wp14:anchorId="05866D35" wp14:editId="57CA1904">
          <wp:extent cx="5759450" cy="610870"/>
          <wp:effectExtent l="0" t="0" r="0" b="0"/>
          <wp:docPr id="1482913103"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610870"/>
                  </a:xfrm>
                  <a:prstGeom prst="rect">
                    <a:avLst/>
                  </a:prstGeom>
                  <a:noFill/>
                  <a:ln>
                    <a:noFill/>
                  </a:ln>
                </pic:spPr>
              </pic:pic>
            </a:graphicData>
          </a:graphic>
        </wp:inline>
      </w:drawing>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40A9AA" w14:textId="77777777" w:rsidR="000B551F" w:rsidRPr="00655FC7" w:rsidRDefault="000B551F" w:rsidP="003902C5">
    <w:pPr>
      <w:pStyle w:val="Nagwek"/>
      <w:ind w:left="1247" w:firstLine="0"/>
      <w:jc w:val="left"/>
      <w:rPr>
        <w:rFonts w:ascii="Calibri" w:eastAsia="Calibri" w:hAnsi="Calibri" w:cs="Times New Roman"/>
        <w:b/>
        <w:bCs/>
        <w:color w:val="638A29"/>
        <w:sz w:val="24"/>
        <w:szCs w:val="24"/>
      </w:rPr>
    </w:pPr>
    <w:r w:rsidRPr="00655FC7">
      <w:rPr>
        <w:b/>
        <w:bCs/>
        <w:noProof/>
        <w:color w:val="638A29"/>
        <w:sz w:val="28"/>
        <w:szCs w:val="28"/>
      </w:rPr>
      <w:drawing>
        <wp:anchor distT="0" distB="0" distL="114300" distR="114300" simplePos="0" relativeHeight="251652608" behindDoc="1" locked="0" layoutInCell="1" allowOverlap="1" wp14:anchorId="46A5C0CF" wp14:editId="30D78A70">
          <wp:simplePos x="0" y="0"/>
          <wp:positionH relativeFrom="margin">
            <wp:align>left</wp:align>
          </wp:positionH>
          <wp:positionV relativeFrom="paragraph">
            <wp:posOffset>-198172</wp:posOffset>
          </wp:positionV>
          <wp:extent cx="720000" cy="502304"/>
          <wp:effectExtent l="0" t="0" r="4445" b="0"/>
          <wp:wrapNone/>
          <wp:docPr id="82198702" name="Obraz 4" descr="Obraz zawierający design&#10;&#10;Opis wygenerowany automatycznie przy nis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231268" name="Obraz 4" descr="Obraz zawierający design&#10;&#10;Opis wygenerowany automatycznie przy niskim poziomie pewności"/>
                  <pic:cNvPicPr/>
                </pic:nvPicPr>
                <pic:blipFill>
                  <a:blip r:embed="rId1">
                    <a:extLst>
                      <a:ext uri="{28A0092B-C50C-407E-A947-70E740481C1C}">
                        <a14:useLocalDpi xmlns:a14="http://schemas.microsoft.com/office/drawing/2010/main" val="0"/>
                      </a:ext>
                    </a:extLst>
                  </a:blip>
                  <a:stretch>
                    <a:fillRect/>
                  </a:stretch>
                </pic:blipFill>
                <pic:spPr>
                  <a:xfrm flipH="1">
                    <a:off x="0" y="0"/>
                    <a:ext cx="720000" cy="502304"/>
                  </a:xfrm>
                  <a:prstGeom prst="rect">
                    <a:avLst/>
                  </a:prstGeom>
                </pic:spPr>
              </pic:pic>
            </a:graphicData>
          </a:graphic>
          <wp14:sizeRelH relativeFrom="margin">
            <wp14:pctWidth>0</wp14:pctWidth>
          </wp14:sizeRelH>
          <wp14:sizeRelV relativeFrom="margin">
            <wp14:pctHeight>0</wp14:pctHeight>
          </wp14:sizeRelV>
        </wp:anchor>
      </w:drawing>
    </w:r>
    <w:r w:rsidRPr="00655FC7">
      <w:rPr>
        <w:rFonts w:ascii="Calibri" w:eastAsia="Calibri" w:hAnsi="Calibri" w:cs="Times New Roman"/>
        <w:b/>
        <w:bCs/>
        <w:color w:val="638A29"/>
        <w:sz w:val="24"/>
        <w:szCs w:val="24"/>
      </w:rPr>
      <w:t>dla Miasta Pińczów</w:t>
    </w:r>
  </w:p>
  <w:p w14:paraId="7AB9D823" w14:textId="77777777" w:rsidR="000B551F" w:rsidRPr="00655FC7" w:rsidRDefault="000B551F" w:rsidP="003902C5">
    <w:pPr>
      <w:pStyle w:val="Nagwek"/>
      <w:ind w:firstLine="0"/>
      <w:jc w:val="left"/>
      <w:rPr>
        <w:rFonts w:ascii="Calibri" w:eastAsia="Calibri" w:hAnsi="Calibri" w:cs="Times New Roman"/>
        <w:color w:val="auto"/>
      </w:rPr>
    </w:pPr>
    <w:r w:rsidRPr="00655FC7">
      <w:rPr>
        <w:noProof/>
        <w:color w:val="auto"/>
      </w:rPr>
      <mc:AlternateContent>
        <mc:Choice Requires="wps">
          <w:drawing>
            <wp:inline distT="0" distB="0" distL="0" distR="0" wp14:anchorId="12A323D4" wp14:editId="51303795">
              <wp:extent cx="9000000" cy="0"/>
              <wp:effectExtent l="0" t="0" r="0" b="0"/>
              <wp:docPr id="535137795" name="Łącznik prosty 3"/>
              <wp:cNvGraphicFramePr/>
              <a:graphic xmlns:a="http://schemas.openxmlformats.org/drawingml/2006/main">
                <a:graphicData uri="http://schemas.microsoft.com/office/word/2010/wordprocessingShape">
                  <wps:wsp>
                    <wps:cNvCnPr/>
                    <wps:spPr>
                      <a:xfrm>
                        <a:off x="0" y="0"/>
                        <a:ext cx="900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5FB2D0B2"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70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" strokecolor="#638a29">
              <w10:anchorlock/>
            </v:lin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173E9B" w14:textId="339C463E" w:rsidR="000B551F" w:rsidRPr="00880211" w:rsidRDefault="00880211" w:rsidP="00880211">
    <w:pPr>
      <w:pStyle w:val="Nagwek"/>
      <w:jc w:val="center"/>
    </w:pPr>
    <w:r>
      <w:rPr>
        <w:noProof/>
      </w:rPr>
      <w:drawing>
        <wp:inline distT="0" distB="0" distL="0" distR="0" wp14:anchorId="5A8B77E4" wp14:editId="5B785D33">
          <wp:extent cx="5761355" cy="609600"/>
          <wp:effectExtent l="0" t="0" r="0" b="0"/>
          <wp:docPr id="1058571222"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1355" cy="609600"/>
                  </a:xfrm>
                  <a:prstGeom prst="rect">
                    <a:avLst/>
                  </a:prstGeom>
                  <a:noFill/>
                </pic:spPr>
              </pic:pic>
            </a:graphicData>
          </a:graphic>
        </wp:inline>
      </w:drawing>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364AE0" w14:textId="77777777" w:rsidR="000B551F" w:rsidRPr="00655FC7" w:rsidRDefault="000B551F" w:rsidP="003902C5">
    <w:pPr>
      <w:pStyle w:val="Nagwek"/>
      <w:ind w:left="1247" w:firstLine="0"/>
      <w:jc w:val="left"/>
      <w:rPr>
        <w:rFonts w:ascii="Calibri" w:eastAsia="Calibri" w:hAnsi="Calibri" w:cs="Times New Roman"/>
        <w:b/>
        <w:bCs/>
        <w:color w:val="638A29"/>
        <w:sz w:val="24"/>
        <w:szCs w:val="24"/>
      </w:rPr>
    </w:pPr>
    <w:r w:rsidRPr="00655FC7">
      <w:rPr>
        <w:b/>
        <w:bCs/>
        <w:noProof/>
        <w:color w:val="638A29"/>
        <w:sz w:val="28"/>
        <w:szCs w:val="28"/>
      </w:rPr>
      <w:drawing>
        <wp:anchor distT="0" distB="0" distL="114300" distR="114300" simplePos="0" relativeHeight="251656704" behindDoc="1" locked="0" layoutInCell="1" allowOverlap="1" wp14:anchorId="7DF6130D" wp14:editId="7701BC92">
          <wp:simplePos x="0" y="0"/>
          <wp:positionH relativeFrom="margin">
            <wp:align>left</wp:align>
          </wp:positionH>
          <wp:positionV relativeFrom="paragraph">
            <wp:posOffset>-198172</wp:posOffset>
          </wp:positionV>
          <wp:extent cx="720000" cy="502304"/>
          <wp:effectExtent l="0" t="0" r="4445" b="0"/>
          <wp:wrapNone/>
          <wp:docPr id="987576856" name="Obraz 4" descr="Obraz zawierający design&#10;&#10;Opis wygenerowany automatycznie przy nis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231268" name="Obraz 4" descr="Obraz zawierający design&#10;&#10;Opis wygenerowany automatycznie przy niskim poziomie pewności"/>
                  <pic:cNvPicPr/>
                </pic:nvPicPr>
                <pic:blipFill>
                  <a:blip r:embed="rId1">
                    <a:extLst>
                      <a:ext uri="{28A0092B-C50C-407E-A947-70E740481C1C}">
                        <a14:useLocalDpi xmlns:a14="http://schemas.microsoft.com/office/drawing/2010/main" val="0"/>
                      </a:ext>
                    </a:extLst>
                  </a:blip>
                  <a:stretch>
                    <a:fillRect/>
                  </a:stretch>
                </pic:blipFill>
                <pic:spPr>
                  <a:xfrm flipH="1">
                    <a:off x="0" y="0"/>
                    <a:ext cx="720000" cy="502304"/>
                  </a:xfrm>
                  <a:prstGeom prst="rect">
                    <a:avLst/>
                  </a:prstGeom>
                </pic:spPr>
              </pic:pic>
            </a:graphicData>
          </a:graphic>
          <wp14:sizeRelH relativeFrom="margin">
            <wp14:pctWidth>0</wp14:pctWidth>
          </wp14:sizeRelH>
          <wp14:sizeRelV relativeFrom="margin">
            <wp14:pctHeight>0</wp14:pctHeight>
          </wp14:sizeRelV>
        </wp:anchor>
      </w:drawing>
    </w:r>
    <w:r w:rsidRPr="00655FC7">
      <w:rPr>
        <w:rFonts w:ascii="Calibri" w:eastAsia="Calibri" w:hAnsi="Calibri" w:cs="Times New Roman"/>
        <w:b/>
        <w:bCs/>
        <w:color w:val="638A29"/>
        <w:sz w:val="24"/>
        <w:szCs w:val="24"/>
      </w:rPr>
      <w:t>dla Miasta Pińczów</w:t>
    </w:r>
  </w:p>
  <w:p w14:paraId="05E359BB" w14:textId="77777777" w:rsidR="000B551F" w:rsidRPr="00655FC7" w:rsidRDefault="000B551F" w:rsidP="003902C5">
    <w:pPr>
      <w:pStyle w:val="Nagwek"/>
      <w:ind w:firstLine="0"/>
      <w:jc w:val="left"/>
      <w:rPr>
        <w:rFonts w:ascii="Calibri" w:eastAsia="Calibri" w:hAnsi="Calibri" w:cs="Times New Roman"/>
        <w:color w:val="auto"/>
      </w:rPr>
    </w:pPr>
    <w:r w:rsidRPr="00655FC7">
      <w:rPr>
        <w:noProof/>
        <w:color w:val="auto"/>
      </w:rPr>
      <mc:AlternateContent>
        <mc:Choice Requires="wps">
          <w:drawing>
            <wp:inline distT="0" distB="0" distL="0" distR="0" wp14:anchorId="670E0789" wp14:editId="47EA5078">
              <wp:extent cx="5760000" cy="0"/>
              <wp:effectExtent l="0" t="0" r="0" b="0"/>
              <wp:docPr id="1309783303" name="Łącznik prosty 3"/>
              <wp:cNvGraphicFramePr/>
              <a:graphic xmlns:a="http://schemas.openxmlformats.org/drawingml/2006/main">
                <a:graphicData uri="http://schemas.microsoft.com/office/word/2010/wordprocessingShape">
                  <wps:wsp>
                    <wps:cNvCnPr/>
                    <wps:spPr>
                      <a:xfrm>
                        <a:off x="0" y="0"/>
                        <a:ext cx="576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3DD5E36A"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" strokecolor="#638a29">
              <w10:anchorlock/>
            </v:lin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8E4A89" w14:textId="5A1AE3FD" w:rsidR="000B551F" w:rsidRPr="00253BAD" w:rsidRDefault="00253BAD" w:rsidP="00186062">
    <w:pPr>
      <w:pStyle w:val="Nagwek"/>
      <w:jc w:val="center"/>
    </w:pPr>
    <w:r>
      <w:rPr>
        <w:noProof/>
      </w:rPr>
      <w:drawing>
        <wp:inline distT="0" distB="0" distL="0" distR="0" wp14:anchorId="54A93966" wp14:editId="5F6E89CF">
          <wp:extent cx="5759450" cy="609398"/>
          <wp:effectExtent l="0" t="0" r="0" b="635"/>
          <wp:docPr id="1854764032"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609398"/>
                  </a:xfrm>
                  <a:prstGeom prst="rect">
                    <a:avLst/>
                  </a:prstGeom>
                  <a:noFill/>
                </pic:spPr>
              </pic:pic>
            </a:graphicData>
          </a:graphic>
        </wp:inline>
      </w:drawing>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3E98C80" w14:textId="77777777" w:rsidR="000B551F" w:rsidRPr="00655FC7" w:rsidRDefault="000B551F" w:rsidP="003902C5">
    <w:pPr>
      <w:pStyle w:val="Nagwek"/>
      <w:ind w:left="1247" w:firstLine="0"/>
      <w:jc w:val="left"/>
      <w:rPr>
        <w:rFonts w:ascii="Calibri" w:eastAsia="Calibri" w:hAnsi="Calibri" w:cs="Times New Roman"/>
        <w:b/>
        <w:bCs/>
        <w:color w:val="638A29"/>
        <w:sz w:val="24"/>
        <w:szCs w:val="24"/>
      </w:rPr>
    </w:pPr>
    <w:r w:rsidRPr="00655FC7">
      <w:rPr>
        <w:b/>
        <w:bCs/>
        <w:noProof/>
        <w:color w:val="638A29"/>
        <w:sz w:val="28"/>
        <w:szCs w:val="28"/>
      </w:rPr>
      <w:drawing>
        <wp:anchor distT="0" distB="0" distL="114300" distR="114300" simplePos="0" relativeHeight="251657728" behindDoc="1" locked="0" layoutInCell="1" allowOverlap="1" wp14:anchorId="1D1467D6" wp14:editId="30F70CAE">
          <wp:simplePos x="0" y="0"/>
          <wp:positionH relativeFrom="margin">
            <wp:align>left</wp:align>
          </wp:positionH>
          <wp:positionV relativeFrom="paragraph">
            <wp:posOffset>-198172</wp:posOffset>
          </wp:positionV>
          <wp:extent cx="720000" cy="502304"/>
          <wp:effectExtent l="0" t="0" r="4445" b="0"/>
          <wp:wrapNone/>
          <wp:docPr id="791349903" name="Obraz 4" descr="Obraz zawierający design&#10;&#10;Opis wygenerowany automatycznie przy nis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231268" name="Obraz 4" descr="Obraz zawierający design&#10;&#10;Opis wygenerowany automatycznie przy niskim poziomie pewności"/>
                  <pic:cNvPicPr/>
                </pic:nvPicPr>
                <pic:blipFill>
                  <a:blip r:embed="rId1">
                    <a:extLst>
                      <a:ext uri="{28A0092B-C50C-407E-A947-70E740481C1C}">
                        <a14:useLocalDpi xmlns:a14="http://schemas.microsoft.com/office/drawing/2010/main" val="0"/>
                      </a:ext>
                    </a:extLst>
                  </a:blip>
                  <a:stretch>
                    <a:fillRect/>
                  </a:stretch>
                </pic:blipFill>
                <pic:spPr>
                  <a:xfrm flipH="1">
                    <a:off x="0" y="0"/>
                    <a:ext cx="720000" cy="502304"/>
                  </a:xfrm>
                  <a:prstGeom prst="rect">
                    <a:avLst/>
                  </a:prstGeom>
                </pic:spPr>
              </pic:pic>
            </a:graphicData>
          </a:graphic>
          <wp14:sizeRelH relativeFrom="margin">
            <wp14:pctWidth>0</wp14:pctWidth>
          </wp14:sizeRelH>
          <wp14:sizeRelV relativeFrom="margin">
            <wp14:pctHeight>0</wp14:pctHeight>
          </wp14:sizeRelV>
        </wp:anchor>
      </w:drawing>
    </w:r>
    <w:r w:rsidRPr="00655FC7">
      <w:rPr>
        <w:rFonts w:ascii="Calibri" w:eastAsia="Calibri" w:hAnsi="Calibri" w:cs="Times New Roman"/>
        <w:b/>
        <w:bCs/>
        <w:color w:val="638A29"/>
        <w:sz w:val="24"/>
        <w:szCs w:val="24"/>
      </w:rPr>
      <w:t>dla Miasta Pińczów</w:t>
    </w:r>
  </w:p>
  <w:p w14:paraId="61BFFB31" w14:textId="77777777" w:rsidR="000B551F" w:rsidRPr="00655FC7" w:rsidRDefault="000B551F" w:rsidP="003902C5">
    <w:pPr>
      <w:pStyle w:val="Nagwek"/>
      <w:ind w:firstLine="0"/>
      <w:jc w:val="left"/>
      <w:rPr>
        <w:rFonts w:ascii="Calibri" w:eastAsia="Calibri" w:hAnsi="Calibri" w:cs="Times New Roman"/>
        <w:color w:val="auto"/>
      </w:rPr>
    </w:pPr>
    <w:r w:rsidRPr="00655FC7">
      <w:rPr>
        <w:noProof/>
        <w:color w:val="auto"/>
      </w:rPr>
      <mc:AlternateContent>
        <mc:Choice Requires="wps">
          <w:drawing>
            <wp:inline distT="0" distB="0" distL="0" distR="0" wp14:anchorId="5EF13724" wp14:editId="3ED0F7A2">
              <wp:extent cx="9000000" cy="0"/>
              <wp:effectExtent l="0" t="0" r="0" b="0"/>
              <wp:docPr id="1769033692" name="Łącznik prosty 3"/>
              <wp:cNvGraphicFramePr/>
              <a:graphic xmlns:a="http://schemas.openxmlformats.org/drawingml/2006/main">
                <a:graphicData uri="http://schemas.microsoft.com/office/word/2010/wordprocessingShape">
                  <wps:wsp>
                    <wps:cNvCnPr/>
                    <wps:spPr>
                      <a:xfrm>
                        <a:off x="0" y="0"/>
                        <a:ext cx="900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1839C9FE"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70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" strokecolor="#638a29">
              <w10:anchorlock/>
            </v:lin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99DA6A" w14:textId="77777777" w:rsidR="00D36597" w:rsidRPr="00655FC7" w:rsidRDefault="00D36597" w:rsidP="003902C5">
    <w:pPr>
      <w:pStyle w:val="Nagwek"/>
      <w:ind w:left="1247" w:firstLine="0"/>
      <w:jc w:val="left"/>
      <w:rPr>
        <w:rFonts w:ascii="Calibri" w:eastAsia="Calibri" w:hAnsi="Calibri" w:cs="Times New Roman"/>
        <w:b/>
        <w:bCs/>
        <w:color w:val="638A29"/>
        <w:sz w:val="24"/>
        <w:szCs w:val="24"/>
      </w:rPr>
    </w:pPr>
    <w:r w:rsidRPr="00655FC7">
      <w:rPr>
        <w:b/>
        <w:bCs/>
        <w:noProof/>
        <w:color w:val="638A29"/>
        <w:sz w:val="28"/>
        <w:szCs w:val="28"/>
      </w:rPr>
      <w:drawing>
        <wp:anchor distT="0" distB="0" distL="114300" distR="114300" simplePos="0" relativeHeight="251659776" behindDoc="1" locked="0" layoutInCell="1" allowOverlap="1" wp14:anchorId="05418636" wp14:editId="06F38365">
          <wp:simplePos x="0" y="0"/>
          <wp:positionH relativeFrom="margin">
            <wp:align>left</wp:align>
          </wp:positionH>
          <wp:positionV relativeFrom="paragraph">
            <wp:posOffset>-198172</wp:posOffset>
          </wp:positionV>
          <wp:extent cx="720000" cy="502304"/>
          <wp:effectExtent l="0" t="0" r="4445" b="0"/>
          <wp:wrapNone/>
          <wp:docPr id="1703041952" name="Obraz 4" descr="Obraz zawierający design&#10;&#10;Opis wygenerowany automatycznie przy nis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231268" name="Obraz 4" descr="Obraz zawierający design&#10;&#10;Opis wygenerowany automatycznie przy niskim poziomie pewności"/>
                  <pic:cNvPicPr/>
                </pic:nvPicPr>
                <pic:blipFill>
                  <a:blip r:embed="rId1">
                    <a:extLst>
                      <a:ext uri="{28A0092B-C50C-407E-A947-70E740481C1C}">
                        <a14:useLocalDpi xmlns:a14="http://schemas.microsoft.com/office/drawing/2010/main" val="0"/>
                      </a:ext>
                    </a:extLst>
                  </a:blip>
                  <a:stretch>
                    <a:fillRect/>
                  </a:stretch>
                </pic:blipFill>
                <pic:spPr>
                  <a:xfrm flipH="1">
                    <a:off x="0" y="0"/>
                    <a:ext cx="720000" cy="502304"/>
                  </a:xfrm>
                  <a:prstGeom prst="rect">
                    <a:avLst/>
                  </a:prstGeom>
                </pic:spPr>
              </pic:pic>
            </a:graphicData>
          </a:graphic>
          <wp14:sizeRelH relativeFrom="margin">
            <wp14:pctWidth>0</wp14:pctWidth>
          </wp14:sizeRelH>
          <wp14:sizeRelV relativeFrom="margin">
            <wp14:pctHeight>0</wp14:pctHeight>
          </wp14:sizeRelV>
        </wp:anchor>
      </w:drawing>
    </w:r>
    <w:r w:rsidRPr="00655FC7">
      <w:rPr>
        <w:rFonts w:ascii="Calibri" w:eastAsia="Calibri" w:hAnsi="Calibri" w:cs="Times New Roman"/>
        <w:b/>
        <w:bCs/>
        <w:color w:val="638A29"/>
        <w:sz w:val="24"/>
        <w:szCs w:val="24"/>
      </w:rPr>
      <w:t>dla Miasta Pińczów</w:t>
    </w:r>
  </w:p>
  <w:p w14:paraId="375CFC22" w14:textId="77777777" w:rsidR="00D36597" w:rsidRPr="00655FC7" w:rsidRDefault="00D36597" w:rsidP="003902C5">
    <w:pPr>
      <w:pStyle w:val="Nagwek"/>
      <w:ind w:firstLine="0"/>
      <w:jc w:val="left"/>
      <w:rPr>
        <w:rFonts w:ascii="Calibri" w:eastAsia="Calibri" w:hAnsi="Calibri" w:cs="Times New Roman"/>
        <w:color w:val="auto"/>
      </w:rPr>
    </w:pPr>
    <w:r w:rsidRPr="00655FC7">
      <w:rPr>
        <w:noProof/>
        <w:color w:val="auto"/>
      </w:rPr>
      <mc:AlternateContent>
        <mc:Choice Requires="wps">
          <w:drawing>
            <wp:inline distT="0" distB="0" distL="0" distR="0" wp14:anchorId="036810A7" wp14:editId="4CB5BB5B">
              <wp:extent cx="5760000" cy="0"/>
              <wp:effectExtent l="0" t="0" r="0" b="0"/>
              <wp:docPr id="565539328" name="Łącznik prosty 3"/>
              <wp:cNvGraphicFramePr/>
              <a:graphic xmlns:a="http://schemas.openxmlformats.org/drawingml/2006/main">
                <a:graphicData uri="http://schemas.microsoft.com/office/word/2010/wordprocessingShape">
                  <wps:wsp>
                    <wps:cNvCnPr/>
                    <wps:spPr>
                      <a:xfrm>
                        <a:off x="0" y="0"/>
                        <a:ext cx="576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074FAF5B"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" strokecolor="#638a29">
              <w10:anchorlock/>
            </v:lin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76CF3C" w14:textId="77777777" w:rsidR="00D36597" w:rsidRPr="00655FC7" w:rsidRDefault="00D36597" w:rsidP="00D36597">
    <w:pPr>
      <w:pStyle w:val="Nagwek"/>
      <w:ind w:left="1247" w:firstLine="0"/>
      <w:jc w:val="left"/>
      <w:rPr>
        <w:rFonts w:ascii="Calibri" w:eastAsia="Calibri" w:hAnsi="Calibri" w:cs="Times New Roman"/>
        <w:b/>
        <w:bCs/>
        <w:color w:val="638A29"/>
        <w:sz w:val="24"/>
        <w:szCs w:val="24"/>
      </w:rPr>
    </w:pPr>
    <w:r w:rsidRPr="00655FC7">
      <w:rPr>
        <w:b/>
        <w:bCs/>
        <w:noProof/>
        <w:color w:val="638A29"/>
        <w:sz w:val="28"/>
        <w:szCs w:val="28"/>
      </w:rPr>
      <w:drawing>
        <wp:anchor distT="0" distB="0" distL="114300" distR="114300" simplePos="0" relativeHeight="251661824" behindDoc="1" locked="0" layoutInCell="1" allowOverlap="1" wp14:anchorId="730B8188" wp14:editId="553787BD">
          <wp:simplePos x="0" y="0"/>
          <wp:positionH relativeFrom="margin">
            <wp:align>left</wp:align>
          </wp:positionH>
          <wp:positionV relativeFrom="paragraph">
            <wp:posOffset>-198172</wp:posOffset>
          </wp:positionV>
          <wp:extent cx="720000" cy="502304"/>
          <wp:effectExtent l="0" t="0" r="4445" b="0"/>
          <wp:wrapNone/>
          <wp:docPr id="1690035425" name="Obraz 4" descr="Obraz zawierający design&#10;&#10;Opis wygenerowany automatycznie przy nis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231268" name="Obraz 4" descr="Obraz zawierający design&#10;&#10;Opis wygenerowany automatycznie przy niskim poziomie pewności"/>
                  <pic:cNvPicPr/>
                </pic:nvPicPr>
                <pic:blipFill>
                  <a:blip r:embed="rId1">
                    <a:extLst>
                      <a:ext uri="{28A0092B-C50C-407E-A947-70E740481C1C}">
                        <a14:useLocalDpi xmlns:a14="http://schemas.microsoft.com/office/drawing/2010/main" val="0"/>
                      </a:ext>
                    </a:extLst>
                  </a:blip>
                  <a:stretch>
                    <a:fillRect/>
                  </a:stretch>
                </pic:blipFill>
                <pic:spPr>
                  <a:xfrm flipH="1">
                    <a:off x="0" y="0"/>
                    <a:ext cx="720000" cy="502304"/>
                  </a:xfrm>
                  <a:prstGeom prst="rect">
                    <a:avLst/>
                  </a:prstGeom>
                </pic:spPr>
              </pic:pic>
            </a:graphicData>
          </a:graphic>
          <wp14:sizeRelH relativeFrom="margin">
            <wp14:pctWidth>0</wp14:pctWidth>
          </wp14:sizeRelH>
          <wp14:sizeRelV relativeFrom="margin">
            <wp14:pctHeight>0</wp14:pctHeight>
          </wp14:sizeRelV>
        </wp:anchor>
      </w:drawing>
    </w:r>
    <w:r w:rsidRPr="00655FC7">
      <w:rPr>
        <w:rFonts w:ascii="Calibri" w:eastAsia="Calibri" w:hAnsi="Calibri" w:cs="Times New Roman"/>
        <w:b/>
        <w:bCs/>
        <w:color w:val="638A29"/>
        <w:sz w:val="24"/>
        <w:szCs w:val="24"/>
      </w:rPr>
      <w:t>dla Miasta Pińczów</w:t>
    </w:r>
  </w:p>
  <w:p w14:paraId="68A62E6C" w14:textId="02C93115" w:rsidR="00D36597" w:rsidRPr="00655FC7" w:rsidRDefault="00D36597" w:rsidP="00D36597">
    <w:pPr>
      <w:pStyle w:val="Nagwek"/>
      <w:ind w:firstLine="0"/>
      <w:jc w:val="left"/>
      <w:rPr>
        <w:rFonts w:ascii="Calibri" w:eastAsia="Calibri" w:hAnsi="Calibri" w:cs="Times New Roman"/>
        <w:color w:val="auto"/>
      </w:rPr>
    </w:pPr>
    <w:r w:rsidRPr="00655FC7">
      <w:rPr>
        <w:noProof/>
        <w:color w:val="auto"/>
      </w:rPr>
      <mc:AlternateContent>
        <mc:Choice Requires="wps">
          <w:drawing>
            <wp:inline distT="0" distB="0" distL="0" distR="0" wp14:anchorId="793537C4" wp14:editId="09A95DEE">
              <wp:extent cx="5760000" cy="0"/>
              <wp:effectExtent l="0" t="0" r="0" b="0"/>
              <wp:docPr id="1047849560" name="Łącznik prosty 3"/>
              <wp:cNvGraphicFramePr/>
              <a:graphic xmlns:a="http://schemas.openxmlformats.org/drawingml/2006/main">
                <a:graphicData uri="http://schemas.microsoft.com/office/word/2010/wordprocessingShape">
                  <wps:wsp>
                    <wps:cNvCnPr/>
                    <wps:spPr>
                      <a:xfrm>
                        <a:off x="0" y="0"/>
                        <a:ext cx="576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0DF86C01"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" strokecolor="#638a29">
              <w10:anchorlock/>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8954D3" w14:textId="77777777" w:rsidR="00D155AA" w:rsidRPr="00655FC7" w:rsidRDefault="00D155AA" w:rsidP="003902C5">
    <w:pPr>
      <w:pStyle w:val="Nagwek"/>
      <w:ind w:left="1247" w:firstLine="0"/>
      <w:jc w:val="left"/>
      <w:rPr>
        <w:rFonts w:ascii="Calibri" w:eastAsia="Calibri" w:hAnsi="Calibri" w:cs="Times New Roman"/>
        <w:b/>
        <w:bCs/>
        <w:color w:val="638A29"/>
        <w:sz w:val="24"/>
        <w:szCs w:val="24"/>
      </w:rPr>
    </w:pPr>
    <w:r w:rsidRPr="00655FC7">
      <w:rPr>
        <w:b/>
        <w:bCs/>
        <w:noProof/>
        <w:color w:val="638A29"/>
        <w:sz w:val="28"/>
        <w:szCs w:val="28"/>
      </w:rPr>
      <w:drawing>
        <wp:anchor distT="0" distB="0" distL="114300" distR="114300" simplePos="0" relativeHeight="251653632" behindDoc="1" locked="0" layoutInCell="1" allowOverlap="1" wp14:anchorId="4587AAE7" wp14:editId="4A92A647">
          <wp:simplePos x="0" y="0"/>
          <wp:positionH relativeFrom="margin">
            <wp:align>left</wp:align>
          </wp:positionH>
          <wp:positionV relativeFrom="paragraph">
            <wp:posOffset>-198172</wp:posOffset>
          </wp:positionV>
          <wp:extent cx="720000" cy="502304"/>
          <wp:effectExtent l="0" t="0" r="4445" b="0"/>
          <wp:wrapNone/>
          <wp:docPr id="382583496" name="Obraz 4" descr="Obraz zawierający design&#10;&#10;Opis wygenerowany automatycznie przy nis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231268" name="Obraz 4" descr="Obraz zawierający design&#10;&#10;Opis wygenerowany automatycznie przy niskim poziomie pewności"/>
                  <pic:cNvPicPr/>
                </pic:nvPicPr>
                <pic:blipFill>
                  <a:blip r:embed="rId1">
                    <a:extLst>
                      <a:ext uri="{28A0092B-C50C-407E-A947-70E740481C1C}">
                        <a14:useLocalDpi xmlns:a14="http://schemas.microsoft.com/office/drawing/2010/main" val="0"/>
                      </a:ext>
                    </a:extLst>
                  </a:blip>
                  <a:stretch>
                    <a:fillRect/>
                  </a:stretch>
                </pic:blipFill>
                <pic:spPr>
                  <a:xfrm flipH="1">
                    <a:off x="0" y="0"/>
                    <a:ext cx="720000" cy="502304"/>
                  </a:xfrm>
                  <a:prstGeom prst="rect">
                    <a:avLst/>
                  </a:prstGeom>
                </pic:spPr>
              </pic:pic>
            </a:graphicData>
          </a:graphic>
          <wp14:sizeRelH relativeFrom="margin">
            <wp14:pctWidth>0</wp14:pctWidth>
          </wp14:sizeRelH>
          <wp14:sizeRelV relativeFrom="margin">
            <wp14:pctHeight>0</wp14:pctHeight>
          </wp14:sizeRelV>
        </wp:anchor>
      </w:drawing>
    </w:r>
    <w:r w:rsidRPr="00655FC7">
      <w:rPr>
        <w:rFonts w:ascii="Calibri" w:eastAsia="Calibri" w:hAnsi="Calibri" w:cs="Times New Roman"/>
        <w:b/>
        <w:bCs/>
        <w:color w:val="638A29"/>
        <w:sz w:val="24"/>
        <w:szCs w:val="24"/>
      </w:rPr>
      <w:t>dla Miasta Pińczów</w:t>
    </w:r>
  </w:p>
  <w:p w14:paraId="1587D90E" w14:textId="77777777" w:rsidR="00D155AA" w:rsidRPr="00655FC7" w:rsidRDefault="00D155AA" w:rsidP="003902C5">
    <w:pPr>
      <w:pStyle w:val="Nagwek"/>
      <w:ind w:firstLine="0"/>
      <w:jc w:val="left"/>
      <w:rPr>
        <w:rFonts w:ascii="Calibri" w:eastAsia="Calibri" w:hAnsi="Calibri" w:cs="Times New Roman"/>
        <w:color w:val="auto"/>
      </w:rPr>
    </w:pPr>
    <w:r w:rsidRPr="00655FC7">
      <w:rPr>
        <w:noProof/>
        <w:color w:val="auto"/>
      </w:rPr>
      <mc:AlternateContent>
        <mc:Choice Requires="wps">
          <w:drawing>
            <wp:inline distT="0" distB="0" distL="0" distR="0" wp14:anchorId="1E96E7F3" wp14:editId="1E4D23A8">
              <wp:extent cx="5760000" cy="0"/>
              <wp:effectExtent l="0" t="0" r="0" b="0"/>
              <wp:docPr id="1035770659" name="Łącznik prosty 3"/>
              <wp:cNvGraphicFramePr/>
              <a:graphic xmlns:a="http://schemas.openxmlformats.org/drawingml/2006/main">
                <a:graphicData uri="http://schemas.microsoft.com/office/word/2010/wordprocessingShape">
                  <wps:wsp>
                    <wps:cNvCnPr/>
                    <wps:spPr>
                      <a:xfrm>
                        <a:off x="0" y="0"/>
                        <a:ext cx="576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65884ECD"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" strokecolor="#638a29">
              <w10:anchorlock/>
            </v:lin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EB2B85" w14:textId="77777777" w:rsidR="00D155AA" w:rsidRPr="00655FC7" w:rsidRDefault="00D155AA" w:rsidP="004058D7">
    <w:pPr>
      <w:pStyle w:val="Nagwek"/>
      <w:tabs>
        <w:tab w:val="clear" w:pos="9072"/>
        <w:tab w:val="right" w:pos="7938"/>
      </w:tabs>
      <w:spacing w:after="240"/>
      <w:ind w:firstLine="0"/>
      <w:jc w:val="center"/>
      <w:rPr>
        <w:color w:val="auto"/>
      </w:rPr>
    </w:pPr>
    <w:r w:rsidRPr="00655FC7">
      <w:rPr>
        <w:noProof/>
        <w:color w:val="auto"/>
      </w:rPr>
      <w:drawing>
        <wp:inline distT="0" distB="0" distL="0" distR="0" wp14:anchorId="105DA2DD" wp14:editId="733DA44D">
          <wp:extent cx="5760000" cy="610899"/>
          <wp:effectExtent l="0" t="0" r="0" b="0"/>
          <wp:docPr id="211901749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000" cy="610899"/>
                  </a:xfrm>
                  <a:prstGeom prst="rect">
                    <a:avLst/>
                  </a:prstGeom>
                  <a:noFill/>
                  <a:ln>
                    <a:noFill/>
                  </a:ln>
                </pic:spPr>
              </pic:pic>
            </a:graphicData>
          </a:graphic>
        </wp:inline>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65C73B" w14:textId="77777777" w:rsidR="00D155AA" w:rsidRPr="00655FC7" w:rsidRDefault="00D155AA" w:rsidP="003902C5">
    <w:pPr>
      <w:pStyle w:val="Nagwek"/>
      <w:ind w:left="1247" w:firstLine="0"/>
      <w:jc w:val="left"/>
      <w:rPr>
        <w:rFonts w:ascii="Calibri" w:eastAsia="Calibri" w:hAnsi="Calibri" w:cs="Times New Roman"/>
        <w:b/>
        <w:bCs/>
        <w:color w:val="638A29"/>
        <w:sz w:val="24"/>
        <w:szCs w:val="24"/>
      </w:rPr>
    </w:pPr>
    <w:r w:rsidRPr="00655FC7">
      <w:rPr>
        <w:b/>
        <w:bCs/>
        <w:noProof/>
        <w:color w:val="638A29"/>
        <w:sz w:val="28"/>
        <w:szCs w:val="28"/>
      </w:rPr>
      <w:drawing>
        <wp:anchor distT="0" distB="0" distL="114300" distR="114300" simplePos="0" relativeHeight="251651584" behindDoc="1" locked="0" layoutInCell="1" allowOverlap="1" wp14:anchorId="1ED52662" wp14:editId="37B8350A">
          <wp:simplePos x="0" y="0"/>
          <wp:positionH relativeFrom="margin">
            <wp:align>left</wp:align>
          </wp:positionH>
          <wp:positionV relativeFrom="paragraph">
            <wp:posOffset>-198172</wp:posOffset>
          </wp:positionV>
          <wp:extent cx="720000" cy="502304"/>
          <wp:effectExtent l="0" t="0" r="4445" b="0"/>
          <wp:wrapNone/>
          <wp:docPr id="1035738469" name="Obraz 4" descr="Obraz zawierający design&#10;&#10;Opis wygenerowany automatycznie przy nis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231268" name="Obraz 4" descr="Obraz zawierający design&#10;&#10;Opis wygenerowany automatycznie przy niskim poziomie pewności"/>
                  <pic:cNvPicPr/>
                </pic:nvPicPr>
                <pic:blipFill>
                  <a:blip r:embed="rId1">
                    <a:extLst>
                      <a:ext uri="{28A0092B-C50C-407E-A947-70E740481C1C}">
                        <a14:useLocalDpi xmlns:a14="http://schemas.microsoft.com/office/drawing/2010/main" val="0"/>
                      </a:ext>
                    </a:extLst>
                  </a:blip>
                  <a:stretch>
                    <a:fillRect/>
                  </a:stretch>
                </pic:blipFill>
                <pic:spPr>
                  <a:xfrm flipH="1">
                    <a:off x="0" y="0"/>
                    <a:ext cx="720000" cy="502304"/>
                  </a:xfrm>
                  <a:prstGeom prst="rect">
                    <a:avLst/>
                  </a:prstGeom>
                </pic:spPr>
              </pic:pic>
            </a:graphicData>
          </a:graphic>
          <wp14:sizeRelH relativeFrom="margin">
            <wp14:pctWidth>0</wp14:pctWidth>
          </wp14:sizeRelH>
          <wp14:sizeRelV relativeFrom="margin">
            <wp14:pctHeight>0</wp14:pctHeight>
          </wp14:sizeRelV>
        </wp:anchor>
      </w:drawing>
    </w:r>
    <w:r w:rsidRPr="00655FC7">
      <w:rPr>
        <w:rFonts w:ascii="Calibri" w:eastAsia="Calibri" w:hAnsi="Calibri" w:cs="Times New Roman"/>
        <w:b/>
        <w:bCs/>
        <w:color w:val="638A29"/>
        <w:sz w:val="24"/>
        <w:szCs w:val="24"/>
      </w:rPr>
      <w:t>dla Miasta Pińczów</w:t>
    </w:r>
  </w:p>
  <w:p w14:paraId="2E9918E6" w14:textId="77777777" w:rsidR="00D155AA" w:rsidRPr="00655FC7" w:rsidRDefault="00D155AA" w:rsidP="003902C5">
    <w:pPr>
      <w:pStyle w:val="Nagwek"/>
      <w:ind w:firstLine="0"/>
      <w:jc w:val="left"/>
      <w:rPr>
        <w:rFonts w:ascii="Calibri" w:eastAsia="Calibri" w:hAnsi="Calibri" w:cs="Times New Roman"/>
        <w:color w:val="auto"/>
      </w:rPr>
    </w:pPr>
    <w:r w:rsidRPr="00655FC7">
      <w:rPr>
        <w:noProof/>
        <w:color w:val="auto"/>
      </w:rPr>
      <mc:AlternateContent>
        <mc:Choice Requires="wps">
          <w:drawing>
            <wp:inline distT="0" distB="0" distL="0" distR="0" wp14:anchorId="72261209" wp14:editId="398EE7AB">
              <wp:extent cx="5760000" cy="0"/>
              <wp:effectExtent l="0" t="0" r="0" b="0"/>
              <wp:docPr id="1754195516" name="Łącznik prosty 3"/>
              <wp:cNvGraphicFramePr/>
              <a:graphic xmlns:a="http://schemas.openxmlformats.org/drawingml/2006/main">
                <a:graphicData uri="http://schemas.microsoft.com/office/word/2010/wordprocessingShape">
                  <wps:wsp>
                    <wps:cNvCnPr/>
                    <wps:spPr>
                      <a:xfrm>
                        <a:off x="0" y="0"/>
                        <a:ext cx="576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587F23F8"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45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" strokecolor="#638a29">
              <w10:anchorlock/>
            </v:lin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A9171D" w14:textId="77777777" w:rsidR="00D155AA" w:rsidRPr="00655FC7" w:rsidRDefault="00D155AA" w:rsidP="002A3201">
    <w:pPr>
      <w:pStyle w:val="Nagwek"/>
      <w:tabs>
        <w:tab w:val="clear" w:pos="9072"/>
        <w:tab w:val="right" w:pos="7938"/>
      </w:tabs>
      <w:spacing w:after="240"/>
      <w:ind w:firstLine="0"/>
      <w:jc w:val="right"/>
      <w:rPr>
        <w:color w:val="auto"/>
      </w:rPr>
    </w:pPr>
    <w:r w:rsidRPr="00655FC7">
      <w:rPr>
        <w:noProof/>
        <w:color w:val="auto"/>
      </w:rPr>
      <w:drawing>
        <wp:inline distT="0" distB="0" distL="0" distR="0" wp14:anchorId="3A5A6376" wp14:editId="38A685A0">
          <wp:extent cx="5759450" cy="610870"/>
          <wp:effectExtent l="0" t="0" r="0" b="0"/>
          <wp:docPr id="163456066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610870"/>
                  </a:xfrm>
                  <a:prstGeom prst="rect">
                    <a:avLst/>
                  </a:prstGeom>
                  <a:noFill/>
                  <a:ln>
                    <a:noFill/>
                  </a:ln>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0443F0" w14:textId="77777777" w:rsidR="00D155AA" w:rsidRPr="00655FC7" w:rsidRDefault="00D155AA" w:rsidP="003902C5">
    <w:pPr>
      <w:pStyle w:val="Nagwek"/>
      <w:ind w:left="1247" w:firstLine="0"/>
      <w:jc w:val="left"/>
      <w:rPr>
        <w:rFonts w:ascii="Calibri" w:eastAsia="Calibri" w:hAnsi="Calibri" w:cs="Times New Roman"/>
        <w:b/>
        <w:bCs/>
        <w:color w:val="638A29"/>
        <w:sz w:val="24"/>
        <w:szCs w:val="24"/>
      </w:rPr>
    </w:pPr>
    <w:r w:rsidRPr="00655FC7">
      <w:rPr>
        <w:b/>
        <w:bCs/>
        <w:noProof/>
        <w:color w:val="638A29"/>
        <w:sz w:val="28"/>
        <w:szCs w:val="28"/>
      </w:rPr>
      <w:drawing>
        <wp:anchor distT="0" distB="0" distL="114300" distR="114300" simplePos="0" relativeHeight="251650560" behindDoc="1" locked="0" layoutInCell="1" allowOverlap="1" wp14:anchorId="67612A35" wp14:editId="22587CCB">
          <wp:simplePos x="0" y="0"/>
          <wp:positionH relativeFrom="margin">
            <wp:align>left</wp:align>
          </wp:positionH>
          <wp:positionV relativeFrom="paragraph">
            <wp:posOffset>-198172</wp:posOffset>
          </wp:positionV>
          <wp:extent cx="720000" cy="502304"/>
          <wp:effectExtent l="0" t="0" r="4445" b="0"/>
          <wp:wrapNone/>
          <wp:docPr id="1059109736" name="Obraz 4" descr="Obraz zawierający design&#10;&#10;Opis wygenerowany automatycznie przy niskim poziomie pewnoś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231268" name="Obraz 4" descr="Obraz zawierający design&#10;&#10;Opis wygenerowany automatycznie przy niskim poziomie pewności"/>
                  <pic:cNvPicPr/>
                </pic:nvPicPr>
                <pic:blipFill>
                  <a:blip r:embed="rId1">
                    <a:extLst>
                      <a:ext uri="{28A0092B-C50C-407E-A947-70E740481C1C}">
                        <a14:useLocalDpi xmlns:a14="http://schemas.microsoft.com/office/drawing/2010/main" val="0"/>
                      </a:ext>
                    </a:extLst>
                  </a:blip>
                  <a:stretch>
                    <a:fillRect/>
                  </a:stretch>
                </pic:blipFill>
                <pic:spPr>
                  <a:xfrm flipH="1">
                    <a:off x="0" y="0"/>
                    <a:ext cx="720000" cy="502304"/>
                  </a:xfrm>
                  <a:prstGeom prst="rect">
                    <a:avLst/>
                  </a:prstGeom>
                </pic:spPr>
              </pic:pic>
            </a:graphicData>
          </a:graphic>
          <wp14:sizeRelH relativeFrom="margin">
            <wp14:pctWidth>0</wp14:pctWidth>
          </wp14:sizeRelH>
          <wp14:sizeRelV relativeFrom="margin">
            <wp14:pctHeight>0</wp14:pctHeight>
          </wp14:sizeRelV>
        </wp:anchor>
      </w:drawing>
    </w:r>
    <w:r w:rsidRPr="00655FC7">
      <w:rPr>
        <w:rFonts w:ascii="Calibri" w:eastAsia="Calibri" w:hAnsi="Calibri" w:cs="Times New Roman"/>
        <w:b/>
        <w:bCs/>
        <w:color w:val="638A29"/>
        <w:sz w:val="24"/>
        <w:szCs w:val="24"/>
      </w:rPr>
      <w:t>dla Miasta Pińczów</w:t>
    </w:r>
  </w:p>
  <w:p w14:paraId="1FAF1E4A" w14:textId="77777777" w:rsidR="00D155AA" w:rsidRPr="00655FC7" w:rsidRDefault="00D155AA" w:rsidP="003902C5">
    <w:pPr>
      <w:pStyle w:val="Nagwek"/>
      <w:ind w:firstLine="0"/>
      <w:jc w:val="left"/>
      <w:rPr>
        <w:rFonts w:ascii="Calibri" w:eastAsia="Calibri" w:hAnsi="Calibri" w:cs="Times New Roman"/>
        <w:color w:val="auto"/>
      </w:rPr>
    </w:pPr>
    <w:r w:rsidRPr="00655FC7">
      <w:rPr>
        <w:noProof/>
        <w:color w:val="auto"/>
      </w:rPr>
      <mc:AlternateContent>
        <mc:Choice Requires="wps">
          <w:drawing>
            <wp:inline distT="0" distB="0" distL="0" distR="0" wp14:anchorId="47EEE227" wp14:editId="3266DA9F">
              <wp:extent cx="9000000" cy="0"/>
              <wp:effectExtent l="0" t="0" r="0" b="0"/>
              <wp:docPr id="541129265" name="Łącznik prosty 3"/>
              <wp:cNvGraphicFramePr/>
              <a:graphic xmlns:a="http://schemas.openxmlformats.org/drawingml/2006/main">
                <a:graphicData uri="http://schemas.microsoft.com/office/word/2010/wordprocessingShape">
                  <wps:wsp>
                    <wps:cNvCnPr/>
                    <wps:spPr>
                      <a:xfrm>
                        <a:off x="0" y="0"/>
                        <a:ext cx="9000000" cy="0"/>
                      </a:xfrm>
                      <a:prstGeom prst="line">
                        <a:avLst/>
                      </a:prstGeom>
                      <a:ln>
                        <a:solidFill>
                          <a:srgbClr val="638A29"/>
                        </a:solidFill>
                      </a:ln>
                    </wps:spPr>
                    <wps:style>
                      <a:lnRef idx="1">
                        <a:schemeClr val="accent3"/>
                      </a:lnRef>
                      <a:fillRef idx="0">
                        <a:schemeClr val="accent3"/>
                      </a:fillRef>
                      <a:effectRef idx="0">
                        <a:schemeClr val="accent3"/>
                      </a:effectRef>
                      <a:fontRef idx="minor">
                        <a:schemeClr val="tx1"/>
                      </a:fontRef>
                    </wps:style>
                    <wps:bodyPr/>
                  </wps:wsp>
                </a:graphicData>
              </a:graphic>
            </wp:inline>
          </w:drawing>
        </mc:Choice>
        <mc:Fallback>
          <w:pict>
            <v:line w14:anchorId="0926FE44" id="Łącznik prosty 3" o:spid="_x0000_s1026" style="visibility:visible;mso-wrap-style:square;mso-left-percent:-10001;mso-top-percent:-10001;mso-position-horizontal:absolute;mso-position-horizontal-relative:char;mso-position-vertical:absolute;mso-position-vertical-relative:line;mso-left-percent:-10001;mso-top-percent:-10001" from="0,0" to="708.6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" strokecolor="#638a29">
              <w10:anchorlock/>
            </v:lin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5F5F96" w14:textId="77777777" w:rsidR="00D155AA" w:rsidRPr="00655FC7" w:rsidRDefault="00D155AA" w:rsidP="000B4FB6">
    <w:pPr>
      <w:pStyle w:val="Nagwek"/>
      <w:tabs>
        <w:tab w:val="clear" w:pos="9072"/>
        <w:tab w:val="right" w:pos="7938"/>
      </w:tabs>
      <w:spacing w:after="240"/>
      <w:ind w:firstLine="0"/>
      <w:jc w:val="center"/>
      <w:rPr>
        <w:color w:val="auto"/>
      </w:rPr>
    </w:pPr>
    <w:r w:rsidRPr="00655FC7">
      <w:rPr>
        <w:noProof/>
        <w:color w:val="auto"/>
      </w:rPr>
      <w:drawing>
        <wp:inline distT="0" distB="0" distL="0" distR="0" wp14:anchorId="2EDDC12E" wp14:editId="0C48DD20">
          <wp:extent cx="5759450" cy="610870"/>
          <wp:effectExtent l="0" t="0" r="0" b="0"/>
          <wp:docPr id="1704333738"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610870"/>
                  </a:xfrm>
                  <a:prstGeom prst="rect">
                    <a:avLst/>
                  </a:prstGeom>
                  <a:noFill/>
                  <a:ln>
                    <a:noFill/>
                  </a:ln>
                </pic:spPr>
              </pic:pic>
            </a:graphicData>
          </a:graphic>
        </wp:inline>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FBE99B" w14:textId="77777777" w:rsidR="00D155AA" w:rsidRPr="00655FC7" w:rsidRDefault="00D155AA" w:rsidP="0069790A">
    <w:pPr>
      <w:pStyle w:val="Nagwek"/>
      <w:tabs>
        <w:tab w:val="clear" w:pos="9072"/>
        <w:tab w:val="right" w:pos="7938"/>
      </w:tabs>
      <w:spacing w:after="240"/>
      <w:ind w:firstLine="0"/>
      <w:jc w:val="right"/>
      <w:rPr>
        <w:color w:val="auto"/>
      </w:rPr>
    </w:pPr>
    <w:r w:rsidRPr="00655FC7">
      <w:rPr>
        <w:noProof/>
        <w:color w:val="auto"/>
      </w:rPr>
      <w:drawing>
        <wp:inline distT="0" distB="0" distL="0" distR="0" wp14:anchorId="5599419C" wp14:editId="7376F28F">
          <wp:extent cx="5759450" cy="610870"/>
          <wp:effectExtent l="0" t="0" r="0" b="0"/>
          <wp:docPr id="305401677"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61087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Symbol" w:hAnsi="Symbol" w:cs="Symbol" w:hint="default"/>
      </w:rPr>
    </w:lvl>
  </w:abstractNum>
  <w:abstractNum w:abstractNumId="1" w15:restartNumberingAfterBreak="0">
    <w:nsid w:val="00000005"/>
    <w:multiLevelType w:val="multilevel"/>
    <w:tmpl w:val="00000005"/>
    <w:name w:val="WW8Num5"/>
    <w:lvl w:ilvl="0">
      <w:start w:val="1"/>
      <w:numFmt w:val="lowerLetter"/>
      <w:lvlText w:val="%1)"/>
      <w:lvlJc w:val="left"/>
      <w:pPr>
        <w:tabs>
          <w:tab w:val="num" w:pos="720"/>
        </w:tabs>
        <w:ind w:left="720" w:hanging="360"/>
      </w:pPr>
      <w:rPr>
        <w:b/>
        <w:bCs/>
        <w:sz w:val="20"/>
        <w:szCs w:val="2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00000008"/>
    <w:multiLevelType w:val="singleLevel"/>
    <w:tmpl w:val="00000008"/>
    <w:name w:val="WW8Num10"/>
    <w:lvl w:ilvl="0">
      <w:start w:val="1"/>
      <w:numFmt w:val="bullet"/>
      <w:lvlText w:val=""/>
      <w:lvlJc w:val="left"/>
      <w:pPr>
        <w:tabs>
          <w:tab w:val="num" w:pos="1141"/>
        </w:tabs>
        <w:ind w:left="1141" w:hanging="360"/>
      </w:pPr>
      <w:rPr>
        <w:rFonts w:ascii="Symbol" w:hAnsi="Symbol" w:cs="Symbol" w:hint="default"/>
        <w:sz w:val="22"/>
        <w:szCs w:val="22"/>
      </w:rPr>
    </w:lvl>
  </w:abstractNum>
  <w:abstractNum w:abstractNumId="3" w15:restartNumberingAfterBreak="0">
    <w:nsid w:val="01BF1D3B"/>
    <w:multiLevelType w:val="hybridMultilevel"/>
    <w:tmpl w:val="A7C2658E"/>
    <w:lvl w:ilvl="0" w:tplc="7E40C1A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272093C"/>
    <w:multiLevelType w:val="hybridMultilevel"/>
    <w:tmpl w:val="EE003752"/>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5" w15:restartNumberingAfterBreak="0">
    <w:nsid w:val="02DF45E6"/>
    <w:multiLevelType w:val="hybridMultilevel"/>
    <w:tmpl w:val="71F434BC"/>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6" w15:restartNumberingAfterBreak="0">
    <w:nsid w:val="03F86DA2"/>
    <w:multiLevelType w:val="hybridMultilevel"/>
    <w:tmpl w:val="87F686CA"/>
    <w:lvl w:ilvl="0" w:tplc="88A474AC">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15:restartNumberingAfterBreak="0">
    <w:nsid w:val="041E244C"/>
    <w:multiLevelType w:val="multilevel"/>
    <w:tmpl w:val="4A0AC054"/>
    <w:lvl w:ilvl="0">
      <w:start w:val="1"/>
      <w:numFmt w:val="decimal"/>
      <w:lvlText w:val="%1"/>
      <w:lvlJc w:val="left"/>
      <w:pPr>
        <w:ind w:left="715" w:hanging="432"/>
      </w:pPr>
    </w:lvl>
    <w:lvl w:ilvl="1">
      <w:start w:val="1"/>
      <w:numFmt w:val="decimal"/>
      <w:lvlText w:val="%1.%2"/>
      <w:lvlJc w:val="left"/>
      <w:pPr>
        <w:ind w:left="718" w:hanging="576"/>
      </w:pPr>
    </w:lvl>
    <w:lvl w:ilvl="2">
      <w:start w:val="1"/>
      <w:numFmt w:val="decimal"/>
      <w:lvlText w:val="%1.%2.%3"/>
      <w:lvlJc w:val="left"/>
      <w:pPr>
        <w:ind w:left="4548" w:hanging="720"/>
      </w:pPr>
    </w:lvl>
    <w:lvl w:ilvl="3">
      <w:start w:val="1"/>
      <w:numFmt w:val="decimal"/>
      <w:lvlText w:val="%1.%2.%3.%4"/>
      <w:lvlJc w:val="left"/>
      <w:pPr>
        <w:ind w:left="864" w:hanging="864"/>
      </w:pPr>
      <w:rPr>
        <w:color w:val="auto"/>
      </w:r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8" w15:restartNumberingAfterBreak="0">
    <w:nsid w:val="05484A9C"/>
    <w:multiLevelType w:val="hybridMultilevel"/>
    <w:tmpl w:val="1FD24642"/>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 w15:restartNumberingAfterBreak="0">
    <w:nsid w:val="056F1B2E"/>
    <w:multiLevelType w:val="hybridMultilevel"/>
    <w:tmpl w:val="C7FE1550"/>
    <w:lvl w:ilvl="0" w:tplc="04150001">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10" w15:restartNumberingAfterBreak="0">
    <w:nsid w:val="05A40A08"/>
    <w:multiLevelType w:val="hybridMultilevel"/>
    <w:tmpl w:val="EB32927E"/>
    <w:lvl w:ilvl="0" w:tplc="7E40C1A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AAB7243"/>
    <w:multiLevelType w:val="hybridMultilevel"/>
    <w:tmpl w:val="391A0CEC"/>
    <w:lvl w:ilvl="0" w:tplc="7E40C1AA">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AD00899"/>
    <w:multiLevelType w:val="hybridMultilevel"/>
    <w:tmpl w:val="108E8542"/>
    <w:lvl w:ilvl="0" w:tplc="04150001">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13" w15:restartNumberingAfterBreak="0">
    <w:nsid w:val="0EEC1F38"/>
    <w:multiLevelType w:val="hybridMultilevel"/>
    <w:tmpl w:val="AB62633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4" w15:restartNumberingAfterBreak="0">
    <w:nsid w:val="1096720C"/>
    <w:multiLevelType w:val="multilevel"/>
    <w:tmpl w:val="A964F166"/>
    <w:lvl w:ilvl="0">
      <w:start w:val="4"/>
      <w:numFmt w:val="decimal"/>
      <w:lvlText w:val="%1."/>
      <w:lvlJc w:val="left"/>
      <w:pPr>
        <w:ind w:left="450" w:hanging="450"/>
      </w:pPr>
      <w:rPr>
        <w:rFonts w:eastAsiaTheme="majorEastAsia" w:hint="default"/>
        <w:sz w:val="44"/>
        <w:szCs w:val="44"/>
      </w:rPr>
    </w:lvl>
    <w:lvl w:ilvl="1">
      <w:start w:val="1"/>
      <w:numFmt w:val="decimal"/>
      <w:lvlText w:val="%1.%2."/>
      <w:lvlJc w:val="left"/>
      <w:pPr>
        <w:ind w:left="720" w:hanging="720"/>
      </w:pPr>
      <w:rPr>
        <w:rFonts w:eastAsiaTheme="majorEastAsia" w:hint="default"/>
      </w:rPr>
    </w:lvl>
    <w:lvl w:ilvl="2">
      <w:start w:val="1"/>
      <w:numFmt w:val="decimal"/>
      <w:lvlText w:val="%1.%2.%3."/>
      <w:lvlJc w:val="left"/>
      <w:pPr>
        <w:ind w:left="720" w:hanging="720"/>
      </w:pPr>
      <w:rPr>
        <w:rFonts w:eastAsiaTheme="majorEastAsia" w:hint="default"/>
        <w:color w:val="auto"/>
      </w:rPr>
    </w:lvl>
    <w:lvl w:ilvl="3">
      <w:start w:val="1"/>
      <w:numFmt w:val="decimal"/>
      <w:lvlText w:val="%1.%2.%3.%4."/>
      <w:lvlJc w:val="left"/>
      <w:pPr>
        <w:ind w:left="1080" w:hanging="1080"/>
      </w:pPr>
      <w:rPr>
        <w:rFonts w:eastAsiaTheme="majorEastAsia" w:hint="default"/>
      </w:rPr>
    </w:lvl>
    <w:lvl w:ilvl="4">
      <w:start w:val="1"/>
      <w:numFmt w:val="decimal"/>
      <w:lvlText w:val="%1.%2.%3.%4.%5."/>
      <w:lvlJc w:val="left"/>
      <w:pPr>
        <w:ind w:left="1080" w:hanging="1080"/>
      </w:pPr>
      <w:rPr>
        <w:rFonts w:eastAsiaTheme="majorEastAsia" w:hint="default"/>
      </w:rPr>
    </w:lvl>
    <w:lvl w:ilvl="5">
      <w:start w:val="1"/>
      <w:numFmt w:val="decimal"/>
      <w:lvlText w:val="%1.%2.%3.%4.%5.%6."/>
      <w:lvlJc w:val="left"/>
      <w:pPr>
        <w:ind w:left="1440" w:hanging="1440"/>
      </w:pPr>
      <w:rPr>
        <w:rFonts w:eastAsiaTheme="majorEastAsia" w:hint="default"/>
      </w:rPr>
    </w:lvl>
    <w:lvl w:ilvl="6">
      <w:start w:val="1"/>
      <w:numFmt w:val="decimal"/>
      <w:lvlText w:val="%1.%2.%3.%4.%5.%6.%7."/>
      <w:lvlJc w:val="left"/>
      <w:pPr>
        <w:ind w:left="1800" w:hanging="1800"/>
      </w:pPr>
      <w:rPr>
        <w:rFonts w:eastAsiaTheme="majorEastAsia" w:hint="default"/>
      </w:rPr>
    </w:lvl>
    <w:lvl w:ilvl="7">
      <w:start w:val="1"/>
      <w:numFmt w:val="decimal"/>
      <w:lvlText w:val="%1.%2.%3.%4.%5.%6.%7.%8."/>
      <w:lvlJc w:val="left"/>
      <w:pPr>
        <w:ind w:left="1800" w:hanging="1800"/>
      </w:pPr>
      <w:rPr>
        <w:rFonts w:eastAsiaTheme="majorEastAsia" w:hint="default"/>
      </w:rPr>
    </w:lvl>
    <w:lvl w:ilvl="8">
      <w:start w:val="1"/>
      <w:numFmt w:val="decimal"/>
      <w:lvlText w:val="%1.%2.%3.%4.%5.%6.%7.%8.%9."/>
      <w:lvlJc w:val="left"/>
      <w:pPr>
        <w:ind w:left="2160" w:hanging="2160"/>
      </w:pPr>
      <w:rPr>
        <w:rFonts w:eastAsiaTheme="majorEastAsia" w:hint="default"/>
      </w:rPr>
    </w:lvl>
  </w:abstractNum>
  <w:abstractNum w:abstractNumId="15" w15:restartNumberingAfterBreak="0">
    <w:nsid w:val="10E67536"/>
    <w:multiLevelType w:val="hybridMultilevel"/>
    <w:tmpl w:val="FA2C3162"/>
    <w:lvl w:ilvl="0" w:tplc="04150011">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16" w15:restartNumberingAfterBreak="0">
    <w:nsid w:val="11A525AE"/>
    <w:multiLevelType w:val="hybridMultilevel"/>
    <w:tmpl w:val="B03A5886"/>
    <w:lvl w:ilvl="0" w:tplc="88A474AC">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129D429A"/>
    <w:multiLevelType w:val="hybridMultilevel"/>
    <w:tmpl w:val="953A5212"/>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18" w15:restartNumberingAfterBreak="0">
    <w:nsid w:val="130E3202"/>
    <w:multiLevelType w:val="hybridMultilevel"/>
    <w:tmpl w:val="C8F042A0"/>
    <w:lvl w:ilvl="0" w:tplc="AB2E8E6C">
      <w:start w:val="1"/>
      <w:numFmt w:val="bullet"/>
      <w:lvlText w:val=""/>
      <w:lvlJc w:val="left"/>
      <w:pPr>
        <w:ind w:left="720" w:hanging="360"/>
      </w:pPr>
      <w:rPr>
        <w:rFonts w:ascii="SymbolPS" w:hAnsi="SymbolPS"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9" w15:restartNumberingAfterBreak="0">
    <w:nsid w:val="131A1357"/>
    <w:multiLevelType w:val="hybridMultilevel"/>
    <w:tmpl w:val="71B001FA"/>
    <w:lvl w:ilvl="0" w:tplc="7E40C1AA">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14A65F73"/>
    <w:multiLevelType w:val="hybridMultilevel"/>
    <w:tmpl w:val="0F6AC6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5B61F00"/>
    <w:multiLevelType w:val="hybridMultilevel"/>
    <w:tmpl w:val="F0B284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5E538B4"/>
    <w:multiLevelType w:val="hybridMultilevel"/>
    <w:tmpl w:val="056EA820"/>
    <w:lvl w:ilvl="0" w:tplc="04150001">
      <w:start w:val="1"/>
      <w:numFmt w:val="bullet"/>
      <w:lvlText w:val=""/>
      <w:lvlJc w:val="left"/>
      <w:pPr>
        <w:ind w:left="1440" w:hanging="360"/>
      </w:pPr>
      <w:rPr>
        <w:rFonts w:ascii="Symbol" w:hAnsi="Symbol" w:hint="default"/>
      </w:rPr>
    </w:lvl>
    <w:lvl w:ilvl="1" w:tplc="04150003">
      <w:start w:val="1"/>
      <w:numFmt w:val="bullet"/>
      <w:lvlText w:val="o"/>
      <w:lvlJc w:val="left"/>
      <w:pPr>
        <w:ind w:left="1353"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3" w15:restartNumberingAfterBreak="0">
    <w:nsid w:val="16207392"/>
    <w:multiLevelType w:val="hybridMultilevel"/>
    <w:tmpl w:val="178EE212"/>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4" w15:restartNumberingAfterBreak="0">
    <w:nsid w:val="18F93A93"/>
    <w:multiLevelType w:val="hybridMultilevel"/>
    <w:tmpl w:val="6A6E683C"/>
    <w:lvl w:ilvl="0" w:tplc="0415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1C273973"/>
    <w:multiLevelType w:val="hybridMultilevel"/>
    <w:tmpl w:val="9968C7C8"/>
    <w:lvl w:ilvl="0" w:tplc="04150001">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F68150C"/>
    <w:multiLevelType w:val="hybridMultilevel"/>
    <w:tmpl w:val="6A6E683C"/>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21487E8F"/>
    <w:multiLevelType w:val="hybridMultilevel"/>
    <w:tmpl w:val="EC9E17F6"/>
    <w:lvl w:ilvl="0" w:tplc="0415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8" w15:restartNumberingAfterBreak="0">
    <w:nsid w:val="24812803"/>
    <w:multiLevelType w:val="multilevel"/>
    <w:tmpl w:val="8CDC44E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9" w15:restartNumberingAfterBreak="0">
    <w:nsid w:val="2560114A"/>
    <w:multiLevelType w:val="hybridMultilevel"/>
    <w:tmpl w:val="33441556"/>
    <w:lvl w:ilvl="0" w:tplc="06BA8892">
      <w:start w:val="1"/>
      <w:numFmt w:val="decimal"/>
      <w:lvlText w:val="%1."/>
      <w:lvlJc w:val="lef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 w15:restartNumberingAfterBreak="0">
    <w:nsid w:val="25A44C5F"/>
    <w:multiLevelType w:val="hybridMultilevel"/>
    <w:tmpl w:val="3ED2703C"/>
    <w:lvl w:ilvl="0" w:tplc="04150001">
      <w:start w:val="1"/>
      <w:numFmt w:val="bullet"/>
      <w:lvlText w:val=""/>
      <w:lvlJc w:val="left"/>
      <w:pPr>
        <w:ind w:left="1069" w:hanging="360"/>
      </w:pPr>
      <w:rPr>
        <w:rFonts w:ascii="Symbol" w:hAnsi="Symbol" w:hint="default"/>
      </w:rPr>
    </w:lvl>
    <w:lvl w:ilvl="1" w:tplc="04150003" w:tentative="1">
      <w:start w:val="1"/>
      <w:numFmt w:val="bullet"/>
      <w:lvlText w:val="o"/>
      <w:lvlJc w:val="left"/>
      <w:pPr>
        <w:ind w:left="1789" w:hanging="360"/>
      </w:pPr>
      <w:rPr>
        <w:rFonts w:ascii="Courier New" w:hAnsi="Courier New" w:cs="Courier New" w:hint="default"/>
      </w:rPr>
    </w:lvl>
    <w:lvl w:ilvl="2" w:tplc="04150005" w:tentative="1">
      <w:start w:val="1"/>
      <w:numFmt w:val="bullet"/>
      <w:lvlText w:val=""/>
      <w:lvlJc w:val="left"/>
      <w:pPr>
        <w:ind w:left="2509" w:hanging="360"/>
      </w:pPr>
      <w:rPr>
        <w:rFonts w:ascii="Wingdings" w:hAnsi="Wingdings" w:hint="default"/>
      </w:rPr>
    </w:lvl>
    <w:lvl w:ilvl="3" w:tplc="04150001" w:tentative="1">
      <w:start w:val="1"/>
      <w:numFmt w:val="bullet"/>
      <w:lvlText w:val=""/>
      <w:lvlJc w:val="left"/>
      <w:pPr>
        <w:ind w:left="3229" w:hanging="360"/>
      </w:pPr>
      <w:rPr>
        <w:rFonts w:ascii="Symbol" w:hAnsi="Symbol" w:hint="default"/>
      </w:rPr>
    </w:lvl>
    <w:lvl w:ilvl="4" w:tplc="04150003" w:tentative="1">
      <w:start w:val="1"/>
      <w:numFmt w:val="bullet"/>
      <w:lvlText w:val="o"/>
      <w:lvlJc w:val="left"/>
      <w:pPr>
        <w:ind w:left="3949" w:hanging="360"/>
      </w:pPr>
      <w:rPr>
        <w:rFonts w:ascii="Courier New" w:hAnsi="Courier New" w:cs="Courier New" w:hint="default"/>
      </w:rPr>
    </w:lvl>
    <w:lvl w:ilvl="5" w:tplc="04150005" w:tentative="1">
      <w:start w:val="1"/>
      <w:numFmt w:val="bullet"/>
      <w:lvlText w:val=""/>
      <w:lvlJc w:val="left"/>
      <w:pPr>
        <w:ind w:left="4669" w:hanging="360"/>
      </w:pPr>
      <w:rPr>
        <w:rFonts w:ascii="Wingdings" w:hAnsi="Wingdings" w:hint="default"/>
      </w:rPr>
    </w:lvl>
    <w:lvl w:ilvl="6" w:tplc="04150001" w:tentative="1">
      <w:start w:val="1"/>
      <w:numFmt w:val="bullet"/>
      <w:lvlText w:val=""/>
      <w:lvlJc w:val="left"/>
      <w:pPr>
        <w:ind w:left="5389" w:hanging="360"/>
      </w:pPr>
      <w:rPr>
        <w:rFonts w:ascii="Symbol" w:hAnsi="Symbol" w:hint="default"/>
      </w:rPr>
    </w:lvl>
    <w:lvl w:ilvl="7" w:tplc="04150003" w:tentative="1">
      <w:start w:val="1"/>
      <w:numFmt w:val="bullet"/>
      <w:lvlText w:val="o"/>
      <w:lvlJc w:val="left"/>
      <w:pPr>
        <w:ind w:left="6109" w:hanging="360"/>
      </w:pPr>
      <w:rPr>
        <w:rFonts w:ascii="Courier New" w:hAnsi="Courier New" w:cs="Courier New" w:hint="default"/>
      </w:rPr>
    </w:lvl>
    <w:lvl w:ilvl="8" w:tplc="04150005" w:tentative="1">
      <w:start w:val="1"/>
      <w:numFmt w:val="bullet"/>
      <w:lvlText w:val=""/>
      <w:lvlJc w:val="left"/>
      <w:pPr>
        <w:ind w:left="6829" w:hanging="360"/>
      </w:pPr>
      <w:rPr>
        <w:rFonts w:ascii="Wingdings" w:hAnsi="Wingdings" w:hint="default"/>
      </w:rPr>
    </w:lvl>
  </w:abstractNum>
  <w:abstractNum w:abstractNumId="31" w15:restartNumberingAfterBreak="0">
    <w:nsid w:val="25CD5958"/>
    <w:multiLevelType w:val="hybridMultilevel"/>
    <w:tmpl w:val="3824100E"/>
    <w:lvl w:ilvl="0" w:tplc="04150001">
      <w:start w:val="1"/>
      <w:numFmt w:val="bullet"/>
      <w:lvlText w:val=""/>
      <w:lvlJc w:val="left"/>
      <w:pPr>
        <w:ind w:left="1431" w:hanging="360"/>
      </w:pPr>
      <w:rPr>
        <w:rFonts w:ascii="Symbol" w:hAnsi="Symbol" w:hint="default"/>
      </w:rPr>
    </w:lvl>
    <w:lvl w:ilvl="1" w:tplc="04150003" w:tentative="1">
      <w:start w:val="1"/>
      <w:numFmt w:val="bullet"/>
      <w:lvlText w:val="o"/>
      <w:lvlJc w:val="left"/>
      <w:pPr>
        <w:ind w:left="2151" w:hanging="360"/>
      </w:pPr>
      <w:rPr>
        <w:rFonts w:ascii="Courier New" w:hAnsi="Courier New" w:cs="Courier New" w:hint="default"/>
      </w:rPr>
    </w:lvl>
    <w:lvl w:ilvl="2" w:tplc="04150005" w:tentative="1">
      <w:start w:val="1"/>
      <w:numFmt w:val="bullet"/>
      <w:lvlText w:val=""/>
      <w:lvlJc w:val="left"/>
      <w:pPr>
        <w:ind w:left="2871" w:hanging="360"/>
      </w:pPr>
      <w:rPr>
        <w:rFonts w:ascii="Wingdings" w:hAnsi="Wingdings" w:hint="default"/>
      </w:rPr>
    </w:lvl>
    <w:lvl w:ilvl="3" w:tplc="04150001" w:tentative="1">
      <w:start w:val="1"/>
      <w:numFmt w:val="bullet"/>
      <w:lvlText w:val=""/>
      <w:lvlJc w:val="left"/>
      <w:pPr>
        <w:ind w:left="3591" w:hanging="360"/>
      </w:pPr>
      <w:rPr>
        <w:rFonts w:ascii="Symbol" w:hAnsi="Symbol" w:hint="default"/>
      </w:rPr>
    </w:lvl>
    <w:lvl w:ilvl="4" w:tplc="04150003" w:tentative="1">
      <w:start w:val="1"/>
      <w:numFmt w:val="bullet"/>
      <w:lvlText w:val="o"/>
      <w:lvlJc w:val="left"/>
      <w:pPr>
        <w:ind w:left="4311" w:hanging="360"/>
      </w:pPr>
      <w:rPr>
        <w:rFonts w:ascii="Courier New" w:hAnsi="Courier New" w:cs="Courier New" w:hint="default"/>
      </w:rPr>
    </w:lvl>
    <w:lvl w:ilvl="5" w:tplc="04150005" w:tentative="1">
      <w:start w:val="1"/>
      <w:numFmt w:val="bullet"/>
      <w:lvlText w:val=""/>
      <w:lvlJc w:val="left"/>
      <w:pPr>
        <w:ind w:left="5031" w:hanging="360"/>
      </w:pPr>
      <w:rPr>
        <w:rFonts w:ascii="Wingdings" w:hAnsi="Wingdings" w:hint="default"/>
      </w:rPr>
    </w:lvl>
    <w:lvl w:ilvl="6" w:tplc="04150001" w:tentative="1">
      <w:start w:val="1"/>
      <w:numFmt w:val="bullet"/>
      <w:lvlText w:val=""/>
      <w:lvlJc w:val="left"/>
      <w:pPr>
        <w:ind w:left="5751" w:hanging="360"/>
      </w:pPr>
      <w:rPr>
        <w:rFonts w:ascii="Symbol" w:hAnsi="Symbol" w:hint="default"/>
      </w:rPr>
    </w:lvl>
    <w:lvl w:ilvl="7" w:tplc="04150003" w:tentative="1">
      <w:start w:val="1"/>
      <w:numFmt w:val="bullet"/>
      <w:lvlText w:val="o"/>
      <w:lvlJc w:val="left"/>
      <w:pPr>
        <w:ind w:left="6471" w:hanging="360"/>
      </w:pPr>
      <w:rPr>
        <w:rFonts w:ascii="Courier New" w:hAnsi="Courier New" w:cs="Courier New" w:hint="default"/>
      </w:rPr>
    </w:lvl>
    <w:lvl w:ilvl="8" w:tplc="04150005" w:tentative="1">
      <w:start w:val="1"/>
      <w:numFmt w:val="bullet"/>
      <w:lvlText w:val=""/>
      <w:lvlJc w:val="left"/>
      <w:pPr>
        <w:ind w:left="7191" w:hanging="360"/>
      </w:pPr>
      <w:rPr>
        <w:rFonts w:ascii="Wingdings" w:hAnsi="Wingdings" w:hint="default"/>
      </w:rPr>
    </w:lvl>
  </w:abstractNum>
  <w:abstractNum w:abstractNumId="32" w15:restartNumberingAfterBreak="0">
    <w:nsid w:val="26CA544F"/>
    <w:multiLevelType w:val="hybridMultilevel"/>
    <w:tmpl w:val="4340555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7DF4FB5"/>
    <w:multiLevelType w:val="hybridMultilevel"/>
    <w:tmpl w:val="45C85F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9A85177"/>
    <w:multiLevelType w:val="hybridMultilevel"/>
    <w:tmpl w:val="37F044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B407538"/>
    <w:multiLevelType w:val="hybridMultilevel"/>
    <w:tmpl w:val="7EEE0FEA"/>
    <w:lvl w:ilvl="0" w:tplc="E536DF76">
      <w:start w:val="1"/>
      <w:numFmt w:val="bullet"/>
      <w:lvlText w:val=""/>
      <w:lvlJc w:val="left"/>
      <w:pPr>
        <w:ind w:left="720" w:hanging="360"/>
      </w:pPr>
      <w:rPr>
        <w:rFonts w:ascii="Symbol" w:hAnsi="Symbol" w:hint="default"/>
        <w:b/>
        <w:color w:val="auto"/>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B6F008E"/>
    <w:multiLevelType w:val="hybridMultilevel"/>
    <w:tmpl w:val="016AA2F8"/>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37" w15:restartNumberingAfterBreak="0">
    <w:nsid w:val="2CE45E03"/>
    <w:multiLevelType w:val="hybridMultilevel"/>
    <w:tmpl w:val="6A6E683C"/>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2E7A30A1"/>
    <w:multiLevelType w:val="hybridMultilevel"/>
    <w:tmpl w:val="A134DD70"/>
    <w:lvl w:ilvl="0" w:tplc="7E40C1A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29E16B9"/>
    <w:multiLevelType w:val="hybridMultilevel"/>
    <w:tmpl w:val="7148733C"/>
    <w:lvl w:ilvl="0" w:tplc="88A474AC">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33CF53C1"/>
    <w:multiLevelType w:val="hybridMultilevel"/>
    <w:tmpl w:val="F87C32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34640F3B"/>
    <w:multiLevelType w:val="hybridMultilevel"/>
    <w:tmpl w:val="F7F4FB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7980BA1"/>
    <w:multiLevelType w:val="hybridMultilevel"/>
    <w:tmpl w:val="373A2B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82A5533"/>
    <w:multiLevelType w:val="hybridMultilevel"/>
    <w:tmpl w:val="4C00254A"/>
    <w:lvl w:ilvl="0" w:tplc="F2A40C4C">
      <w:start w:val="1"/>
      <w:numFmt w:val="decimal"/>
      <w:lvlText w:val="%1."/>
      <w:lvlJc w:val="left"/>
      <w:pPr>
        <w:ind w:left="644" w:hanging="360"/>
      </w:pPr>
      <w:rPr>
        <w:rFonts w:asciiTheme="minorHAnsi" w:hAnsiTheme="minorHAnsi" w:cs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384605D7"/>
    <w:multiLevelType w:val="hybridMultilevel"/>
    <w:tmpl w:val="6E647634"/>
    <w:lvl w:ilvl="0" w:tplc="7E40C1A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38695068"/>
    <w:multiLevelType w:val="hybridMultilevel"/>
    <w:tmpl w:val="F48E8A7C"/>
    <w:lvl w:ilvl="0" w:tplc="08090001">
      <w:start w:val="1"/>
      <w:numFmt w:val="bullet"/>
      <w:lvlText w:val=""/>
      <w:lvlJc w:val="left"/>
      <w:pPr>
        <w:ind w:left="1050" w:hanging="360"/>
      </w:pPr>
      <w:rPr>
        <w:rFonts w:ascii="Symbol" w:hAnsi="Symbol" w:hint="default"/>
      </w:rPr>
    </w:lvl>
    <w:lvl w:ilvl="1" w:tplc="08090003">
      <w:start w:val="1"/>
      <w:numFmt w:val="bullet"/>
      <w:lvlText w:val="o"/>
      <w:lvlJc w:val="left"/>
      <w:pPr>
        <w:ind w:left="1770" w:hanging="360"/>
      </w:pPr>
      <w:rPr>
        <w:rFonts w:ascii="Courier New" w:hAnsi="Courier New" w:cs="Courier New" w:hint="default"/>
      </w:rPr>
    </w:lvl>
    <w:lvl w:ilvl="2" w:tplc="08090005" w:tentative="1">
      <w:start w:val="1"/>
      <w:numFmt w:val="bullet"/>
      <w:lvlText w:val=""/>
      <w:lvlJc w:val="left"/>
      <w:pPr>
        <w:ind w:left="2490" w:hanging="360"/>
      </w:pPr>
      <w:rPr>
        <w:rFonts w:ascii="Wingdings" w:hAnsi="Wingdings" w:hint="default"/>
      </w:rPr>
    </w:lvl>
    <w:lvl w:ilvl="3" w:tplc="08090001" w:tentative="1">
      <w:start w:val="1"/>
      <w:numFmt w:val="bullet"/>
      <w:lvlText w:val=""/>
      <w:lvlJc w:val="left"/>
      <w:pPr>
        <w:ind w:left="3210" w:hanging="360"/>
      </w:pPr>
      <w:rPr>
        <w:rFonts w:ascii="Symbol" w:hAnsi="Symbol" w:hint="default"/>
      </w:rPr>
    </w:lvl>
    <w:lvl w:ilvl="4" w:tplc="08090003" w:tentative="1">
      <w:start w:val="1"/>
      <w:numFmt w:val="bullet"/>
      <w:lvlText w:val="o"/>
      <w:lvlJc w:val="left"/>
      <w:pPr>
        <w:ind w:left="3930" w:hanging="360"/>
      </w:pPr>
      <w:rPr>
        <w:rFonts w:ascii="Courier New" w:hAnsi="Courier New" w:cs="Courier New" w:hint="default"/>
      </w:rPr>
    </w:lvl>
    <w:lvl w:ilvl="5" w:tplc="08090005" w:tentative="1">
      <w:start w:val="1"/>
      <w:numFmt w:val="bullet"/>
      <w:lvlText w:val=""/>
      <w:lvlJc w:val="left"/>
      <w:pPr>
        <w:ind w:left="4650" w:hanging="360"/>
      </w:pPr>
      <w:rPr>
        <w:rFonts w:ascii="Wingdings" w:hAnsi="Wingdings" w:hint="default"/>
      </w:rPr>
    </w:lvl>
    <w:lvl w:ilvl="6" w:tplc="08090001" w:tentative="1">
      <w:start w:val="1"/>
      <w:numFmt w:val="bullet"/>
      <w:lvlText w:val=""/>
      <w:lvlJc w:val="left"/>
      <w:pPr>
        <w:ind w:left="5370" w:hanging="360"/>
      </w:pPr>
      <w:rPr>
        <w:rFonts w:ascii="Symbol" w:hAnsi="Symbol" w:hint="default"/>
      </w:rPr>
    </w:lvl>
    <w:lvl w:ilvl="7" w:tplc="08090003" w:tentative="1">
      <w:start w:val="1"/>
      <w:numFmt w:val="bullet"/>
      <w:lvlText w:val="o"/>
      <w:lvlJc w:val="left"/>
      <w:pPr>
        <w:ind w:left="6090" w:hanging="360"/>
      </w:pPr>
      <w:rPr>
        <w:rFonts w:ascii="Courier New" w:hAnsi="Courier New" w:cs="Courier New" w:hint="default"/>
      </w:rPr>
    </w:lvl>
    <w:lvl w:ilvl="8" w:tplc="08090005" w:tentative="1">
      <w:start w:val="1"/>
      <w:numFmt w:val="bullet"/>
      <w:lvlText w:val=""/>
      <w:lvlJc w:val="left"/>
      <w:pPr>
        <w:ind w:left="6810" w:hanging="360"/>
      </w:pPr>
      <w:rPr>
        <w:rFonts w:ascii="Wingdings" w:hAnsi="Wingdings" w:hint="default"/>
      </w:rPr>
    </w:lvl>
  </w:abstractNum>
  <w:abstractNum w:abstractNumId="46" w15:restartNumberingAfterBreak="0">
    <w:nsid w:val="38817DF2"/>
    <w:multiLevelType w:val="hybridMultilevel"/>
    <w:tmpl w:val="91B0ABDE"/>
    <w:lvl w:ilvl="0" w:tplc="04150003">
      <w:start w:val="1"/>
      <w:numFmt w:val="bullet"/>
      <w:lvlText w:val="o"/>
      <w:lvlJc w:val="left"/>
      <w:pPr>
        <w:ind w:left="1077" w:hanging="360"/>
      </w:pPr>
      <w:rPr>
        <w:rFonts w:ascii="Courier New" w:hAnsi="Courier New" w:cs="Courier New"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47" w15:restartNumberingAfterBreak="0">
    <w:nsid w:val="398B58F2"/>
    <w:multiLevelType w:val="hybridMultilevel"/>
    <w:tmpl w:val="6A6E683C"/>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3AAA4172"/>
    <w:multiLevelType w:val="hybridMultilevel"/>
    <w:tmpl w:val="67EE705C"/>
    <w:lvl w:ilvl="0" w:tplc="7E40C1AA">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3AC71600"/>
    <w:multiLevelType w:val="multilevel"/>
    <w:tmpl w:val="DC8A3B60"/>
    <w:lvl w:ilvl="0">
      <w:start w:val="1"/>
      <w:numFmt w:val="decimal"/>
      <w:lvlText w:val="%1."/>
      <w:lvlJc w:val="left"/>
      <w:pPr>
        <w:ind w:left="717" w:hanging="360"/>
      </w:pPr>
      <w:rPr>
        <w:rFonts w:hint="default"/>
      </w:rPr>
    </w:lvl>
    <w:lvl w:ilvl="1">
      <w:start w:val="1"/>
      <w:numFmt w:val="decimal"/>
      <w:lvlText w:val="%2."/>
      <w:lvlJc w:val="left"/>
      <w:pPr>
        <w:ind w:left="1077" w:hanging="360"/>
      </w:pPr>
    </w:lvl>
    <w:lvl w:ilvl="2">
      <w:start w:val="1"/>
      <w:numFmt w:val="decimal"/>
      <w:lvlText w:val="%1.%2.%3."/>
      <w:lvlJc w:val="left"/>
      <w:pPr>
        <w:ind w:left="1581" w:hanging="504"/>
      </w:pPr>
      <w:rPr>
        <w:rFonts w:hint="default"/>
      </w:rPr>
    </w:lvl>
    <w:lvl w:ilvl="3">
      <w:start w:val="1"/>
      <w:numFmt w:val="decimal"/>
      <w:lvlText w:val="%1.%2.%3.%4."/>
      <w:lvlJc w:val="left"/>
      <w:pPr>
        <w:ind w:left="2085" w:hanging="648"/>
      </w:pPr>
      <w:rPr>
        <w:rFonts w:hint="default"/>
      </w:rPr>
    </w:lvl>
    <w:lvl w:ilvl="4">
      <w:start w:val="1"/>
      <w:numFmt w:val="decimal"/>
      <w:lvlText w:val="%1.%2.%3.%4.%5."/>
      <w:lvlJc w:val="left"/>
      <w:pPr>
        <w:ind w:left="2589" w:hanging="792"/>
      </w:pPr>
      <w:rPr>
        <w:rFonts w:hint="default"/>
      </w:rPr>
    </w:lvl>
    <w:lvl w:ilvl="5">
      <w:start w:val="1"/>
      <w:numFmt w:val="decimal"/>
      <w:lvlText w:val="%1.%2.%3.%4.%5.%6."/>
      <w:lvlJc w:val="left"/>
      <w:pPr>
        <w:ind w:left="3093" w:hanging="936"/>
      </w:pPr>
      <w:rPr>
        <w:rFonts w:hint="default"/>
      </w:rPr>
    </w:lvl>
    <w:lvl w:ilvl="6">
      <w:start w:val="1"/>
      <w:numFmt w:val="decimal"/>
      <w:lvlText w:val="%1.%2.%3.%4.%5.%6.%7."/>
      <w:lvlJc w:val="left"/>
      <w:pPr>
        <w:ind w:left="3597" w:hanging="1080"/>
      </w:pPr>
      <w:rPr>
        <w:rFonts w:hint="default"/>
      </w:rPr>
    </w:lvl>
    <w:lvl w:ilvl="7">
      <w:start w:val="1"/>
      <w:numFmt w:val="decimal"/>
      <w:lvlText w:val="%1.%2.%3.%4.%5.%6.%7.%8."/>
      <w:lvlJc w:val="left"/>
      <w:pPr>
        <w:ind w:left="4101" w:hanging="1224"/>
      </w:pPr>
      <w:rPr>
        <w:rFonts w:hint="default"/>
      </w:rPr>
    </w:lvl>
    <w:lvl w:ilvl="8">
      <w:start w:val="1"/>
      <w:numFmt w:val="decimal"/>
      <w:lvlText w:val="%1.%2.%3.%4.%5.%6.%7.%8.%9."/>
      <w:lvlJc w:val="left"/>
      <w:pPr>
        <w:ind w:left="4677" w:hanging="1440"/>
      </w:pPr>
      <w:rPr>
        <w:rFonts w:hint="default"/>
      </w:rPr>
    </w:lvl>
  </w:abstractNum>
  <w:abstractNum w:abstractNumId="50" w15:restartNumberingAfterBreak="0">
    <w:nsid w:val="3C7C1D80"/>
    <w:multiLevelType w:val="hybridMultilevel"/>
    <w:tmpl w:val="B9C2B9F6"/>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51" w15:restartNumberingAfterBreak="0">
    <w:nsid w:val="3C8506F3"/>
    <w:multiLevelType w:val="hybridMultilevel"/>
    <w:tmpl w:val="ACD61846"/>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52" w15:restartNumberingAfterBreak="0">
    <w:nsid w:val="3E0A3CB6"/>
    <w:multiLevelType w:val="hybridMultilevel"/>
    <w:tmpl w:val="1D84D9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3E200614"/>
    <w:multiLevelType w:val="hybridMultilevel"/>
    <w:tmpl w:val="36D4F5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3EBA14C7"/>
    <w:multiLevelType w:val="hybridMultilevel"/>
    <w:tmpl w:val="95CE9EA6"/>
    <w:lvl w:ilvl="0" w:tplc="04150003">
      <w:start w:val="1"/>
      <w:numFmt w:val="bullet"/>
      <w:lvlText w:val="o"/>
      <w:lvlJc w:val="left"/>
      <w:pPr>
        <w:ind w:left="1434" w:hanging="360"/>
      </w:pPr>
      <w:rPr>
        <w:rFonts w:ascii="Courier New" w:hAnsi="Courier New" w:cs="Courier New" w:hint="default"/>
      </w:rPr>
    </w:lvl>
    <w:lvl w:ilvl="1" w:tplc="04150003" w:tentative="1">
      <w:start w:val="1"/>
      <w:numFmt w:val="bullet"/>
      <w:lvlText w:val="o"/>
      <w:lvlJc w:val="left"/>
      <w:pPr>
        <w:ind w:left="2154" w:hanging="360"/>
      </w:pPr>
      <w:rPr>
        <w:rFonts w:ascii="Courier New" w:hAnsi="Courier New" w:cs="Courier New" w:hint="default"/>
      </w:rPr>
    </w:lvl>
    <w:lvl w:ilvl="2" w:tplc="04150005" w:tentative="1">
      <w:start w:val="1"/>
      <w:numFmt w:val="bullet"/>
      <w:lvlText w:val=""/>
      <w:lvlJc w:val="left"/>
      <w:pPr>
        <w:ind w:left="2874" w:hanging="360"/>
      </w:pPr>
      <w:rPr>
        <w:rFonts w:ascii="Wingdings" w:hAnsi="Wingdings" w:hint="default"/>
      </w:rPr>
    </w:lvl>
    <w:lvl w:ilvl="3" w:tplc="04150001" w:tentative="1">
      <w:start w:val="1"/>
      <w:numFmt w:val="bullet"/>
      <w:lvlText w:val=""/>
      <w:lvlJc w:val="left"/>
      <w:pPr>
        <w:ind w:left="3594" w:hanging="360"/>
      </w:pPr>
      <w:rPr>
        <w:rFonts w:ascii="Symbol" w:hAnsi="Symbol" w:hint="default"/>
      </w:rPr>
    </w:lvl>
    <w:lvl w:ilvl="4" w:tplc="04150003" w:tentative="1">
      <w:start w:val="1"/>
      <w:numFmt w:val="bullet"/>
      <w:lvlText w:val="o"/>
      <w:lvlJc w:val="left"/>
      <w:pPr>
        <w:ind w:left="4314" w:hanging="360"/>
      </w:pPr>
      <w:rPr>
        <w:rFonts w:ascii="Courier New" w:hAnsi="Courier New" w:cs="Courier New" w:hint="default"/>
      </w:rPr>
    </w:lvl>
    <w:lvl w:ilvl="5" w:tplc="04150005" w:tentative="1">
      <w:start w:val="1"/>
      <w:numFmt w:val="bullet"/>
      <w:lvlText w:val=""/>
      <w:lvlJc w:val="left"/>
      <w:pPr>
        <w:ind w:left="5034" w:hanging="360"/>
      </w:pPr>
      <w:rPr>
        <w:rFonts w:ascii="Wingdings" w:hAnsi="Wingdings" w:hint="default"/>
      </w:rPr>
    </w:lvl>
    <w:lvl w:ilvl="6" w:tplc="04150001" w:tentative="1">
      <w:start w:val="1"/>
      <w:numFmt w:val="bullet"/>
      <w:lvlText w:val=""/>
      <w:lvlJc w:val="left"/>
      <w:pPr>
        <w:ind w:left="5754" w:hanging="360"/>
      </w:pPr>
      <w:rPr>
        <w:rFonts w:ascii="Symbol" w:hAnsi="Symbol" w:hint="default"/>
      </w:rPr>
    </w:lvl>
    <w:lvl w:ilvl="7" w:tplc="04150003" w:tentative="1">
      <w:start w:val="1"/>
      <w:numFmt w:val="bullet"/>
      <w:lvlText w:val="o"/>
      <w:lvlJc w:val="left"/>
      <w:pPr>
        <w:ind w:left="6474" w:hanging="360"/>
      </w:pPr>
      <w:rPr>
        <w:rFonts w:ascii="Courier New" w:hAnsi="Courier New" w:cs="Courier New" w:hint="default"/>
      </w:rPr>
    </w:lvl>
    <w:lvl w:ilvl="8" w:tplc="04150005" w:tentative="1">
      <w:start w:val="1"/>
      <w:numFmt w:val="bullet"/>
      <w:lvlText w:val=""/>
      <w:lvlJc w:val="left"/>
      <w:pPr>
        <w:ind w:left="7194" w:hanging="360"/>
      </w:pPr>
      <w:rPr>
        <w:rFonts w:ascii="Wingdings" w:hAnsi="Wingdings" w:hint="default"/>
      </w:rPr>
    </w:lvl>
  </w:abstractNum>
  <w:abstractNum w:abstractNumId="55" w15:restartNumberingAfterBreak="0">
    <w:nsid w:val="3EE17108"/>
    <w:multiLevelType w:val="hybridMultilevel"/>
    <w:tmpl w:val="062C0B72"/>
    <w:lvl w:ilvl="0" w:tplc="04150003">
      <w:start w:val="1"/>
      <w:numFmt w:val="bullet"/>
      <w:lvlText w:val="o"/>
      <w:lvlJc w:val="left"/>
      <w:pPr>
        <w:ind w:left="1077" w:hanging="360"/>
      </w:pPr>
      <w:rPr>
        <w:rFonts w:ascii="Courier New" w:hAnsi="Courier New" w:cs="Courier New"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56" w15:restartNumberingAfterBreak="0">
    <w:nsid w:val="3F1018CE"/>
    <w:multiLevelType w:val="hybridMultilevel"/>
    <w:tmpl w:val="DC0E800A"/>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96106696">
      <w:start w:val="1"/>
      <w:numFmt w:val="decimal"/>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3F2D5916"/>
    <w:multiLevelType w:val="hybridMultilevel"/>
    <w:tmpl w:val="7792AE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40596637"/>
    <w:multiLevelType w:val="hybridMultilevel"/>
    <w:tmpl w:val="DE561508"/>
    <w:lvl w:ilvl="0" w:tplc="A7C256FA">
      <w:start w:val="1"/>
      <w:numFmt w:val="decimal"/>
      <w:lvlText w:val="%1)"/>
      <w:lvlJc w:val="left"/>
      <w:pPr>
        <w:ind w:left="644" w:hanging="360"/>
      </w:pPr>
      <w:rPr>
        <w:rFonts w:hint="default"/>
        <w:b/>
      </w:rPr>
    </w:lvl>
    <w:lvl w:ilvl="1" w:tplc="04150019">
      <w:start w:val="1"/>
      <w:numFmt w:val="lowerLetter"/>
      <w:lvlText w:val="%2."/>
      <w:lvlJc w:val="left"/>
      <w:pPr>
        <w:ind w:left="1364" w:hanging="360"/>
      </w:pPr>
    </w:lvl>
    <w:lvl w:ilvl="2" w:tplc="48F6761A">
      <w:numFmt w:val="bullet"/>
      <w:lvlText w:val="•"/>
      <w:lvlJc w:val="left"/>
      <w:pPr>
        <w:ind w:left="2264" w:hanging="360"/>
      </w:pPr>
      <w:rPr>
        <w:rFonts w:ascii="Arial" w:eastAsiaTheme="minorHAnsi" w:hAnsi="Arial" w:cs="Arial" w:hint="default"/>
      </w:rPr>
    </w:lvl>
    <w:lvl w:ilvl="3" w:tplc="4C9C8926">
      <w:start w:val="1"/>
      <w:numFmt w:val="lowerLetter"/>
      <w:lvlText w:val="%4)"/>
      <w:lvlJc w:val="left"/>
      <w:pPr>
        <w:ind w:left="5564" w:hanging="3120"/>
      </w:pPr>
      <w:rPr>
        <w:rFonts w:hint="default"/>
      </w:rPr>
    </w:lvl>
    <w:lvl w:ilvl="4" w:tplc="3AFC2BD4">
      <w:start w:val="6"/>
      <w:numFmt w:val="decimal"/>
      <w:lvlText w:val="%5"/>
      <w:lvlJc w:val="left"/>
      <w:pPr>
        <w:ind w:left="3524" w:hanging="360"/>
      </w:pPr>
      <w:rPr>
        <w:rFonts w:hint="default"/>
      </w:r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9" w15:restartNumberingAfterBreak="0">
    <w:nsid w:val="40622F07"/>
    <w:multiLevelType w:val="hybridMultilevel"/>
    <w:tmpl w:val="C47A2468"/>
    <w:lvl w:ilvl="0" w:tplc="FFFFFFFF">
      <w:start w:val="1"/>
      <w:numFmt w:val="bullet"/>
      <w:lvlText w:val="•"/>
      <w:lvlJc w:val="left"/>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60" w15:restartNumberingAfterBreak="0">
    <w:nsid w:val="421303B7"/>
    <w:multiLevelType w:val="hybridMultilevel"/>
    <w:tmpl w:val="E402D436"/>
    <w:lvl w:ilvl="0" w:tplc="0415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 w15:restartNumberingAfterBreak="0">
    <w:nsid w:val="438F199B"/>
    <w:multiLevelType w:val="hybridMultilevel"/>
    <w:tmpl w:val="9BDE0486"/>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62" w15:restartNumberingAfterBreak="0">
    <w:nsid w:val="43DA396D"/>
    <w:multiLevelType w:val="hybridMultilevel"/>
    <w:tmpl w:val="55FAE446"/>
    <w:lvl w:ilvl="0" w:tplc="88A474AC">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 w15:restartNumberingAfterBreak="0">
    <w:nsid w:val="43E02F0A"/>
    <w:multiLevelType w:val="hybridMultilevel"/>
    <w:tmpl w:val="B93E3350"/>
    <w:lvl w:ilvl="0" w:tplc="88A474AC">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64" w15:restartNumberingAfterBreak="0">
    <w:nsid w:val="440F36E2"/>
    <w:multiLevelType w:val="hybridMultilevel"/>
    <w:tmpl w:val="1472A370"/>
    <w:lvl w:ilvl="0" w:tplc="7E40C1A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46A03676"/>
    <w:multiLevelType w:val="hybridMultilevel"/>
    <w:tmpl w:val="13226A96"/>
    <w:lvl w:ilvl="0" w:tplc="0415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46E73F40"/>
    <w:multiLevelType w:val="hybridMultilevel"/>
    <w:tmpl w:val="7E60CD8C"/>
    <w:lvl w:ilvl="0" w:tplc="04150003">
      <w:start w:val="1"/>
      <w:numFmt w:val="bullet"/>
      <w:lvlText w:val="o"/>
      <w:lvlJc w:val="left"/>
      <w:pPr>
        <w:ind w:left="1077" w:hanging="360"/>
      </w:pPr>
      <w:rPr>
        <w:rFonts w:ascii="Courier New" w:hAnsi="Courier New" w:cs="Courier New"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67" w15:restartNumberingAfterBreak="0">
    <w:nsid w:val="474E352D"/>
    <w:multiLevelType w:val="hybridMultilevel"/>
    <w:tmpl w:val="7E60A4FA"/>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68" w15:restartNumberingAfterBreak="0">
    <w:nsid w:val="4761283B"/>
    <w:multiLevelType w:val="multilevel"/>
    <w:tmpl w:val="89BEAAE6"/>
    <w:lvl w:ilvl="0">
      <w:start w:val="1"/>
      <w:numFmt w:val="bullet"/>
      <w:lvlText w:val=""/>
      <w:lvlJc w:val="left"/>
      <w:pPr>
        <w:tabs>
          <w:tab w:val="num" w:pos="720"/>
        </w:tabs>
        <w:ind w:left="720" w:hanging="360"/>
      </w:pPr>
      <w:rPr>
        <w:rFonts w:ascii="Symbol" w:hAnsi="Symbol" w:hint="default"/>
        <w:sz w:val="22"/>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489F4F5E"/>
    <w:multiLevelType w:val="hybridMultilevel"/>
    <w:tmpl w:val="0B66CC6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70" w15:restartNumberingAfterBreak="0">
    <w:nsid w:val="49C55259"/>
    <w:multiLevelType w:val="hybridMultilevel"/>
    <w:tmpl w:val="F31AC7B0"/>
    <w:lvl w:ilvl="0" w:tplc="88A474AC">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1" w15:restartNumberingAfterBreak="0">
    <w:nsid w:val="4B6A6358"/>
    <w:multiLevelType w:val="hybridMultilevel"/>
    <w:tmpl w:val="FE1ABE54"/>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72" w15:restartNumberingAfterBreak="0">
    <w:nsid w:val="4BC8006A"/>
    <w:multiLevelType w:val="hybridMultilevel"/>
    <w:tmpl w:val="840E7896"/>
    <w:lvl w:ilvl="0" w:tplc="FFFFFFFF">
      <w:start w:val="1"/>
      <w:numFmt w:val="bullet"/>
      <w:lvlText w:val="•"/>
      <w:lvlJc w:val="left"/>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73" w15:restartNumberingAfterBreak="0">
    <w:nsid w:val="4BD6086B"/>
    <w:multiLevelType w:val="hybridMultilevel"/>
    <w:tmpl w:val="607E3BC2"/>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74" w15:restartNumberingAfterBreak="0">
    <w:nsid w:val="4BF401A1"/>
    <w:multiLevelType w:val="hybridMultilevel"/>
    <w:tmpl w:val="40D4945A"/>
    <w:lvl w:ilvl="0" w:tplc="04150001">
      <w:start w:val="1"/>
      <w:numFmt w:val="bullet"/>
      <w:lvlText w:val=""/>
      <w:lvlJc w:val="left"/>
      <w:pPr>
        <w:ind w:left="1077" w:hanging="360"/>
      </w:pPr>
      <w:rPr>
        <w:rFonts w:ascii="Symbol" w:hAnsi="Symbol" w:hint="default"/>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75" w15:restartNumberingAfterBreak="0">
    <w:nsid w:val="4DBE4236"/>
    <w:multiLevelType w:val="hybridMultilevel"/>
    <w:tmpl w:val="A964E2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4E002A47"/>
    <w:multiLevelType w:val="multilevel"/>
    <w:tmpl w:val="BCFA45F8"/>
    <w:lvl w:ilvl="0">
      <w:start w:val="1"/>
      <w:numFmt w:val="decimal"/>
      <w:pStyle w:val="Nagwek1"/>
      <w:lvlText w:val="%1."/>
      <w:lvlJc w:val="left"/>
      <w:pPr>
        <w:ind w:left="502" w:hanging="360"/>
      </w:pPr>
    </w:lvl>
    <w:lvl w:ilvl="1">
      <w:start w:val="1"/>
      <w:numFmt w:val="decimal"/>
      <w:pStyle w:val="Nagwek2"/>
      <w:isLgl/>
      <w:lvlText w:val="%1.%2."/>
      <w:lvlJc w:val="left"/>
      <w:pPr>
        <w:ind w:left="1287" w:hanging="720"/>
      </w:pPr>
      <w:rPr>
        <w:rFonts w:hint="default"/>
      </w:rPr>
    </w:lvl>
    <w:lvl w:ilvl="2">
      <w:start w:val="1"/>
      <w:numFmt w:val="decimal"/>
      <w:pStyle w:val="Nagwek3"/>
      <w:isLgl/>
      <w:lvlText w:val="%1.%2.%3."/>
      <w:lvlJc w:val="left"/>
      <w:pPr>
        <w:ind w:left="1647" w:hanging="1080"/>
      </w:pPr>
      <w:rPr>
        <w:rFonts w:hint="default"/>
      </w:rPr>
    </w:lvl>
    <w:lvl w:ilvl="3">
      <w:start w:val="1"/>
      <w:numFmt w:val="decimal"/>
      <w:pStyle w:val="Nagwek4"/>
      <w:isLgl/>
      <w:lvlText w:val="%1.%2.%3.%4."/>
      <w:lvlJc w:val="left"/>
      <w:pPr>
        <w:ind w:left="4200" w:hanging="1080"/>
      </w:pPr>
      <w:rPr>
        <w:strike w:val="0"/>
      </w:rPr>
    </w:lvl>
    <w:lvl w:ilvl="4">
      <w:start w:val="1"/>
      <w:numFmt w:val="decimal"/>
      <w:isLgl/>
      <w:lvlText w:val="%1.%2.%3.%4.%5."/>
      <w:lvlJc w:val="left"/>
      <w:pPr>
        <w:ind w:left="2007" w:hanging="1440"/>
      </w:pPr>
      <w:rPr>
        <w:rFonts w:hint="default"/>
      </w:rPr>
    </w:lvl>
    <w:lvl w:ilvl="5">
      <w:start w:val="1"/>
      <w:numFmt w:val="decimal"/>
      <w:isLgl/>
      <w:lvlText w:val="%1.%2.%3.%4.%5.%6."/>
      <w:lvlJc w:val="left"/>
      <w:pPr>
        <w:ind w:left="2367" w:hanging="180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727" w:hanging="2160"/>
      </w:pPr>
      <w:rPr>
        <w:rFonts w:hint="default"/>
      </w:rPr>
    </w:lvl>
    <w:lvl w:ilvl="8">
      <w:start w:val="1"/>
      <w:numFmt w:val="decimal"/>
      <w:isLgl/>
      <w:lvlText w:val="%1.%2.%3.%4.%5.%6.%7.%8.%9."/>
      <w:lvlJc w:val="left"/>
      <w:pPr>
        <w:ind w:left="3087" w:hanging="2520"/>
      </w:pPr>
      <w:rPr>
        <w:rFonts w:hint="default"/>
      </w:rPr>
    </w:lvl>
  </w:abstractNum>
  <w:abstractNum w:abstractNumId="77" w15:restartNumberingAfterBreak="0">
    <w:nsid w:val="4F8278CC"/>
    <w:multiLevelType w:val="multilevel"/>
    <w:tmpl w:val="CCAA2262"/>
    <w:lvl w:ilvl="0">
      <w:start w:val="1"/>
      <w:numFmt w:val="decimal"/>
      <w:lvlText w:val="%1."/>
      <w:lvlJc w:val="left"/>
      <w:pPr>
        <w:ind w:left="644" w:hanging="360"/>
      </w:pPr>
      <w:rPr>
        <w:sz w:val="22"/>
        <w:szCs w:val="22"/>
      </w:r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8" w15:restartNumberingAfterBreak="0">
    <w:nsid w:val="503249F9"/>
    <w:multiLevelType w:val="hybridMultilevel"/>
    <w:tmpl w:val="1EA2B1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50545C73"/>
    <w:multiLevelType w:val="hybridMultilevel"/>
    <w:tmpl w:val="D5406E6C"/>
    <w:lvl w:ilvl="0" w:tplc="04150001">
      <w:start w:val="1"/>
      <w:numFmt w:val="bullet"/>
      <w:lvlText w:val=""/>
      <w:lvlJc w:val="left"/>
      <w:pPr>
        <w:ind w:left="927" w:hanging="360"/>
      </w:pPr>
      <w:rPr>
        <w:rFonts w:ascii="Symbol" w:hAnsi="Symbol" w:hint="default"/>
      </w:rPr>
    </w:lvl>
    <w:lvl w:ilvl="1" w:tplc="04150003" w:tentative="1">
      <w:start w:val="1"/>
      <w:numFmt w:val="bullet"/>
      <w:lvlText w:val="o"/>
      <w:lvlJc w:val="left"/>
      <w:pPr>
        <w:ind w:left="1647" w:hanging="360"/>
      </w:pPr>
      <w:rPr>
        <w:rFonts w:ascii="Courier New" w:hAnsi="Courier New" w:cs="Courier New" w:hint="default"/>
      </w:rPr>
    </w:lvl>
    <w:lvl w:ilvl="2" w:tplc="04150005" w:tentative="1">
      <w:start w:val="1"/>
      <w:numFmt w:val="bullet"/>
      <w:lvlText w:val=""/>
      <w:lvlJc w:val="left"/>
      <w:pPr>
        <w:ind w:left="2367" w:hanging="360"/>
      </w:pPr>
      <w:rPr>
        <w:rFonts w:ascii="Wingdings" w:hAnsi="Wingdings" w:hint="default"/>
      </w:rPr>
    </w:lvl>
    <w:lvl w:ilvl="3" w:tplc="04150001" w:tentative="1">
      <w:start w:val="1"/>
      <w:numFmt w:val="bullet"/>
      <w:lvlText w:val=""/>
      <w:lvlJc w:val="left"/>
      <w:pPr>
        <w:ind w:left="3087" w:hanging="360"/>
      </w:pPr>
      <w:rPr>
        <w:rFonts w:ascii="Symbol" w:hAnsi="Symbol" w:hint="default"/>
      </w:rPr>
    </w:lvl>
    <w:lvl w:ilvl="4" w:tplc="04150003" w:tentative="1">
      <w:start w:val="1"/>
      <w:numFmt w:val="bullet"/>
      <w:lvlText w:val="o"/>
      <w:lvlJc w:val="left"/>
      <w:pPr>
        <w:ind w:left="3807" w:hanging="360"/>
      </w:pPr>
      <w:rPr>
        <w:rFonts w:ascii="Courier New" w:hAnsi="Courier New" w:cs="Courier New" w:hint="default"/>
      </w:rPr>
    </w:lvl>
    <w:lvl w:ilvl="5" w:tplc="04150005" w:tentative="1">
      <w:start w:val="1"/>
      <w:numFmt w:val="bullet"/>
      <w:lvlText w:val=""/>
      <w:lvlJc w:val="left"/>
      <w:pPr>
        <w:ind w:left="4527" w:hanging="360"/>
      </w:pPr>
      <w:rPr>
        <w:rFonts w:ascii="Wingdings" w:hAnsi="Wingdings" w:hint="default"/>
      </w:rPr>
    </w:lvl>
    <w:lvl w:ilvl="6" w:tplc="04150001" w:tentative="1">
      <w:start w:val="1"/>
      <w:numFmt w:val="bullet"/>
      <w:lvlText w:val=""/>
      <w:lvlJc w:val="left"/>
      <w:pPr>
        <w:ind w:left="5247" w:hanging="360"/>
      </w:pPr>
      <w:rPr>
        <w:rFonts w:ascii="Symbol" w:hAnsi="Symbol" w:hint="default"/>
      </w:rPr>
    </w:lvl>
    <w:lvl w:ilvl="7" w:tplc="04150003" w:tentative="1">
      <w:start w:val="1"/>
      <w:numFmt w:val="bullet"/>
      <w:lvlText w:val="o"/>
      <w:lvlJc w:val="left"/>
      <w:pPr>
        <w:ind w:left="5967" w:hanging="360"/>
      </w:pPr>
      <w:rPr>
        <w:rFonts w:ascii="Courier New" w:hAnsi="Courier New" w:cs="Courier New" w:hint="default"/>
      </w:rPr>
    </w:lvl>
    <w:lvl w:ilvl="8" w:tplc="04150005" w:tentative="1">
      <w:start w:val="1"/>
      <w:numFmt w:val="bullet"/>
      <w:lvlText w:val=""/>
      <w:lvlJc w:val="left"/>
      <w:pPr>
        <w:ind w:left="6687" w:hanging="360"/>
      </w:pPr>
      <w:rPr>
        <w:rFonts w:ascii="Wingdings" w:hAnsi="Wingdings" w:hint="default"/>
      </w:rPr>
    </w:lvl>
  </w:abstractNum>
  <w:abstractNum w:abstractNumId="80" w15:restartNumberingAfterBreak="0">
    <w:nsid w:val="51DD61B4"/>
    <w:multiLevelType w:val="hybridMultilevel"/>
    <w:tmpl w:val="1A5205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533D0E0A"/>
    <w:multiLevelType w:val="hybridMultilevel"/>
    <w:tmpl w:val="882EB2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3426273"/>
    <w:multiLevelType w:val="hybridMultilevel"/>
    <w:tmpl w:val="6A6E683C"/>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3" w15:restartNumberingAfterBreak="0">
    <w:nsid w:val="53C855DF"/>
    <w:multiLevelType w:val="hybridMultilevel"/>
    <w:tmpl w:val="4860D752"/>
    <w:lvl w:ilvl="0" w:tplc="08090001">
      <w:start w:val="1"/>
      <w:numFmt w:val="bullet"/>
      <w:lvlText w:val=""/>
      <w:lvlJc w:val="left"/>
      <w:pPr>
        <w:ind w:left="1004" w:hanging="360"/>
      </w:pPr>
      <w:rPr>
        <w:rFonts w:ascii="Symbol" w:hAnsi="Symbol" w:hint="default"/>
      </w:rPr>
    </w:lvl>
    <w:lvl w:ilvl="1" w:tplc="08090003">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84" w15:restartNumberingAfterBreak="0">
    <w:nsid w:val="55567F18"/>
    <w:multiLevelType w:val="multilevel"/>
    <w:tmpl w:val="56F2FCFC"/>
    <w:lvl w:ilvl="0">
      <w:start w:val="2"/>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85" w15:restartNumberingAfterBreak="0">
    <w:nsid w:val="57582021"/>
    <w:multiLevelType w:val="hybridMultilevel"/>
    <w:tmpl w:val="ACEAFA3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86" w15:restartNumberingAfterBreak="0">
    <w:nsid w:val="58027FDA"/>
    <w:multiLevelType w:val="hybridMultilevel"/>
    <w:tmpl w:val="56B83630"/>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87" w15:restartNumberingAfterBreak="0">
    <w:nsid w:val="59525FC2"/>
    <w:multiLevelType w:val="hybridMultilevel"/>
    <w:tmpl w:val="4BD82D42"/>
    <w:lvl w:ilvl="0" w:tplc="88A474AC">
      <w:start w:val="1"/>
      <w:numFmt w:val="bullet"/>
      <w:lvlText w:val=""/>
      <w:lvlJc w:val="left"/>
      <w:pPr>
        <w:ind w:left="1004" w:hanging="360"/>
      </w:pPr>
      <w:rPr>
        <w:rFonts w:ascii="Symbol" w:hAnsi="Symbol" w:hint="default"/>
      </w:rPr>
    </w:lvl>
    <w:lvl w:ilvl="1" w:tplc="FFFFFFFF" w:tentative="1">
      <w:start w:val="1"/>
      <w:numFmt w:val="bullet"/>
      <w:lvlText w:val="o"/>
      <w:lvlJc w:val="left"/>
      <w:pPr>
        <w:ind w:left="1724" w:hanging="360"/>
      </w:pPr>
      <w:rPr>
        <w:rFonts w:ascii="Courier New" w:hAnsi="Courier New" w:cs="Courier New" w:hint="default"/>
      </w:rPr>
    </w:lvl>
    <w:lvl w:ilvl="2" w:tplc="FFFFFFFF" w:tentative="1">
      <w:start w:val="1"/>
      <w:numFmt w:val="bullet"/>
      <w:lvlText w:val=""/>
      <w:lvlJc w:val="left"/>
      <w:pPr>
        <w:ind w:left="2444" w:hanging="360"/>
      </w:pPr>
      <w:rPr>
        <w:rFonts w:ascii="Wingdings" w:hAnsi="Wingdings" w:hint="default"/>
      </w:rPr>
    </w:lvl>
    <w:lvl w:ilvl="3" w:tplc="FFFFFFFF" w:tentative="1">
      <w:start w:val="1"/>
      <w:numFmt w:val="bullet"/>
      <w:lvlText w:val=""/>
      <w:lvlJc w:val="left"/>
      <w:pPr>
        <w:ind w:left="3164" w:hanging="360"/>
      </w:pPr>
      <w:rPr>
        <w:rFonts w:ascii="Symbol" w:hAnsi="Symbol" w:hint="default"/>
      </w:rPr>
    </w:lvl>
    <w:lvl w:ilvl="4" w:tplc="FFFFFFFF" w:tentative="1">
      <w:start w:val="1"/>
      <w:numFmt w:val="bullet"/>
      <w:lvlText w:val="o"/>
      <w:lvlJc w:val="left"/>
      <w:pPr>
        <w:ind w:left="3884" w:hanging="360"/>
      </w:pPr>
      <w:rPr>
        <w:rFonts w:ascii="Courier New" w:hAnsi="Courier New" w:cs="Courier New" w:hint="default"/>
      </w:rPr>
    </w:lvl>
    <w:lvl w:ilvl="5" w:tplc="FFFFFFFF" w:tentative="1">
      <w:start w:val="1"/>
      <w:numFmt w:val="bullet"/>
      <w:lvlText w:val=""/>
      <w:lvlJc w:val="left"/>
      <w:pPr>
        <w:ind w:left="4604" w:hanging="360"/>
      </w:pPr>
      <w:rPr>
        <w:rFonts w:ascii="Wingdings" w:hAnsi="Wingdings" w:hint="default"/>
      </w:rPr>
    </w:lvl>
    <w:lvl w:ilvl="6" w:tplc="FFFFFFFF" w:tentative="1">
      <w:start w:val="1"/>
      <w:numFmt w:val="bullet"/>
      <w:lvlText w:val=""/>
      <w:lvlJc w:val="left"/>
      <w:pPr>
        <w:ind w:left="5324" w:hanging="360"/>
      </w:pPr>
      <w:rPr>
        <w:rFonts w:ascii="Symbol" w:hAnsi="Symbol" w:hint="default"/>
      </w:rPr>
    </w:lvl>
    <w:lvl w:ilvl="7" w:tplc="FFFFFFFF" w:tentative="1">
      <w:start w:val="1"/>
      <w:numFmt w:val="bullet"/>
      <w:lvlText w:val="o"/>
      <w:lvlJc w:val="left"/>
      <w:pPr>
        <w:ind w:left="6044" w:hanging="360"/>
      </w:pPr>
      <w:rPr>
        <w:rFonts w:ascii="Courier New" w:hAnsi="Courier New" w:cs="Courier New" w:hint="default"/>
      </w:rPr>
    </w:lvl>
    <w:lvl w:ilvl="8" w:tplc="FFFFFFFF" w:tentative="1">
      <w:start w:val="1"/>
      <w:numFmt w:val="bullet"/>
      <w:lvlText w:val=""/>
      <w:lvlJc w:val="left"/>
      <w:pPr>
        <w:ind w:left="6764" w:hanging="360"/>
      </w:pPr>
      <w:rPr>
        <w:rFonts w:ascii="Wingdings" w:hAnsi="Wingdings" w:hint="default"/>
      </w:rPr>
    </w:lvl>
  </w:abstractNum>
  <w:abstractNum w:abstractNumId="88" w15:restartNumberingAfterBreak="0">
    <w:nsid w:val="59F37DEF"/>
    <w:multiLevelType w:val="hybridMultilevel"/>
    <w:tmpl w:val="2648F3C6"/>
    <w:lvl w:ilvl="0" w:tplc="7E40C1A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5A577CAB"/>
    <w:multiLevelType w:val="hybridMultilevel"/>
    <w:tmpl w:val="B512F6EA"/>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90" w15:restartNumberingAfterBreak="0">
    <w:nsid w:val="5A5B2DAF"/>
    <w:multiLevelType w:val="hybridMultilevel"/>
    <w:tmpl w:val="AF4EE19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5AA82A29"/>
    <w:multiLevelType w:val="hybridMultilevel"/>
    <w:tmpl w:val="27C4D3E6"/>
    <w:lvl w:ilvl="0" w:tplc="FFFFFFFF">
      <w:start w:val="1"/>
      <w:numFmt w:val="bullet"/>
      <w:lvlText w:val=""/>
      <w:lvlJc w:val="left"/>
      <w:pPr>
        <w:ind w:left="720" w:hanging="360"/>
      </w:pPr>
      <w:rPr>
        <w:rFonts w:ascii="SymbolPS" w:hAnsi="SymbolPS" w:hint="default"/>
      </w:rPr>
    </w:lvl>
    <w:lvl w:ilvl="1" w:tplc="FFFFFFFF">
      <w:start w:val="1"/>
      <w:numFmt w:val="bullet"/>
      <w:lvlText w:val="o"/>
      <w:lvlJc w:val="left"/>
      <w:pPr>
        <w:ind w:left="1440" w:hanging="360"/>
      </w:pPr>
      <w:rPr>
        <w:rFonts w:ascii="Courier New" w:hAnsi="Courier New" w:cs="Courier New" w:hint="default"/>
      </w:rPr>
    </w:lvl>
    <w:lvl w:ilvl="2" w:tplc="AB2E8E6C">
      <w:start w:val="1"/>
      <w:numFmt w:val="bullet"/>
      <w:lvlText w:val=""/>
      <w:lvlJc w:val="left"/>
      <w:pPr>
        <w:ind w:left="1145" w:hanging="360"/>
      </w:pPr>
      <w:rPr>
        <w:rFonts w:ascii="SymbolPS" w:hAnsi="SymbolP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92" w15:restartNumberingAfterBreak="0">
    <w:nsid w:val="5BA937F7"/>
    <w:multiLevelType w:val="hybridMultilevel"/>
    <w:tmpl w:val="58D4540E"/>
    <w:lvl w:ilvl="0" w:tplc="88A474AC">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3" w15:restartNumberingAfterBreak="0">
    <w:nsid w:val="5FE0533F"/>
    <w:multiLevelType w:val="hybridMultilevel"/>
    <w:tmpl w:val="9E78EB20"/>
    <w:lvl w:ilvl="0" w:tplc="7E40C1A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60001E4F"/>
    <w:multiLevelType w:val="hybridMultilevel"/>
    <w:tmpl w:val="C71C395E"/>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95" w15:restartNumberingAfterBreak="0">
    <w:nsid w:val="60DE5F28"/>
    <w:multiLevelType w:val="hybridMultilevel"/>
    <w:tmpl w:val="E7B484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15:restartNumberingAfterBreak="0">
    <w:nsid w:val="636B469D"/>
    <w:multiLevelType w:val="hybridMultilevel"/>
    <w:tmpl w:val="5F54B412"/>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97" w15:restartNumberingAfterBreak="0">
    <w:nsid w:val="63770827"/>
    <w:multiLevelType w:val="hybridMultilevel"/>
    <w:tmpl w:val="B2726832"/>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8" w15:restartNumberingAfterBreak="0">
    <w:nsid w:val="644D31D0"/>
    <w:multiLevelType w:val="hybridMultilevel"/>
    <w:tmpl w:val="87728A8E"/>
    <w:lvl w:ilvl="0" w:tplc="FFFFFFFF">
      <w:start w:val="1"/>
      <w:numFmt w:val="bullet"/>
      <w:lvlText w:val="•"/>
      <w:lvlJc w:val="left"/>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99" w15:restartNumberingAfterBreak="0">
    <w:nsid w:val="64CE1A93"/>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0" w15:restartNumberingAfterBreak="0">
    <w:nsid w:val="660107F7"/>
    <w:multiLevelType w:val="hybridMultilevel"/>
    <w:tmpl w:val="A42A4BE2"/>
    <w:lvl w:ilvl="0" w:tplc="0415000F">
      <w:start w:val="1"/>
      <w:numFmt w:val="decimal"/>
      <w:lvlText w:val="%1."/>
      <w:lvlJc w:val="left"/>
      <w:pPr>
        <w:ind w:left="1077" w:hanging="360"/>
      </w:pPr>
      <w:rPr>
        <w:rFonts w:hint="default"/>
      </w:rPr>
    </w:lvl>
    <w:lvl w:ilvl="1" w:tplc="FFFFFFFF" w:tentative="1">
      <w:start w:val="1"/>
      <w:numFmt w:val="bullet"/>
      <w:lvlText w:val="o"/>
      <w:lvlJc w:val="left"/>
      <w:pPr>
        <w:ind w:left="1797" w:hanging="360"/>
      </w:pPr>
      <w:rPr>
        <w:rFonts w:ascii="Courier New" w:hAnsi="Courier New" w:cs="Courier New" w:hint="default"/>
      </w:rPr>
    </w:lvl>
    <w:lvl w:ilvl="2" w:tplc="FFFFFFFF" w:tentative="1">
      <w:start w:val="1"/>
      <w:numFmt w:val="bullet"/>
      <w:lvlText w:val=""/>
      <w:lvlJc w:val="left"/>
      <w:pPr>
        <w:ind w:left="2517" w:hanging="360"/>
      </w:pPr>
      <w:rPr>
        <w:rFonts w:ascii="Wingdings" w:hAnsi="Wingdings" w:hint="default"/>
      </w:rPr>
    </w:lvl>
    <w:lvl w:ilvl="3" w:tplc="FFFFFFFF" w:tentative="1">
      <w:start w:val="1"/>
      <w:numFmt w:val="bullet"/>
      <w:lvlText w:val=""/>
      <w:lvlJc w:val="left"/>
      <w:pPr>
        <w:ind w:left="3237" w:hanging="360"/>
      </w:pPr>
      <w:rPr>
        <w:rFonts w:ascii="Symbol" w:hAnsi="Symbol" w:hint="default"/>
      </w:rPr>
    </w:lvl>
    <w:lvl w:ilvl="4" w:tplc="FFFFFFFF" w:tentative="1">
      <w:start w:val="1"/>
      <w:numFmt w:val="bullet"/>
      <w:lvlText w:val="o"/>
      <w:lvlJc w:val="left"/>
      <w:pPr>
        <w:ind w:left="3957" w:hanging="360"/>
      </w:pPr>
      <w:rPr>
        <w:rFonts w:ascii="Courier New" w:hAnsi="Courier New" w:cs="Courier New" w:hint="default"/>
      </w:rPr>
    </w:lvl>
    <w:lvl w:ilvl="5" w:tplc="FFFFFFFF" w:tentative="1">
      <w:start w:val="1"/>
      <w:numFmt w:val="bullet"/>
      <w:lvlText w:val=""/>
      <w:lvlJc w:val="left"/>
      <w:pPr>
        <w:ind w:left="4677" w:hanging="360"/>
      </w:pPr>
      <w:rPr>
        <w:rFonts w:ascii="Wingdings" w:hAnsi="Wingdings" w:hint="default"/>
      </w:rPr>
    </w:lvl>
    <w:lvl w:ilvl="6" w:tplc="FFFFFFFF" w:tentative="1">
      <w:start w:val="1"/>
      <w:numFmt w:val="bullet"/>
      <w:lvlText w:val=""/>
      <w:lvlJc w:val="left"/>
      <w:pPr>
        <w:ind w:left="5397" w:hanging="360"/>
      </w:pPr>
      <w:rPr>
        <w:rFonts w:ascii="Symbol" w:hAnsi="Symbol" w:hint="default"/>
      </w:rPr>
    </w:lvl>
    <w:lvl w:ilvl="7" w:tplc="FFFFFFFF" w:tentative="1">
      <w:start w:val="1"/>
      <w:numFmt w:val="bullet"/>
      <w:lvlText w:val="o"/>
      <w:lvlJc w:val="left"/>
      <w:pPr>
        <w:ind w:left="6117" w:hanging="360"/>
      </w:pPr>
      <w:rPr>
        <w:rFonts w:ascii="Courier New" w:hAnsi="Courier New" w:cs="Courier New" w:hint="default"/>
      </w:rPr>
    </w:lvl>
    <w:lvl w:ilvl="8" w:tplc="FFFFFFFF" w:tentative="1">
      <w:start w:val="1"/>
      <w:numFmt w:val="bullet"/>
      <w:lvlText w:val=""/>
      <w:lvlJc w:val="left"/>
      <w:pPr>
        <w:ind w:left="6837" w:hanging="360"/>
      </w:pPr>
      <w:rPr>
        <w:rFonts w:ascii="Wingdings" w:hAnsi="Wingdings" w:hint="default"/>
      </w:rPr>
    </w:lvl>
  </w:abstractNum>
  <w:abstractNum w:abstractNumId="101" w15:restartNumberingAfterBreak="0">
    <w:nsid w:val="67160AA3"/>
    <w:multiLevelType w:val="multilevel"/>
    <w:tmpl w:val="019884E4"/>
    <w:lvl w:ilvl="0">
      <w:start w:val="3"/>
      <w:numFmt w:val="decimal"/>
      <w:lvlText w:val="%1."/>
      <w:lvlJc w:val="left"/>
      <w:pPr>
        <w:ind w:left="450" w:hanging="450"/>
      </w:pPr>
      <w:rPr>
        <w:rFonts w:hint="default"/>
        <w:sz w:val="44"/>
      </w:rPr>
    </w:lvl>
    <w:lvl w:ilvl="1">
      <w:start w:val="2"/>
      <w:numFmt w:val="decimal"/>
      <w:lvlText w:val="%1.%2."/>
      <w:lvlJc w:val="left"/>
      <w:pPr>
        <w:ind w:left="1077" w:hanging="720"/>
      </w:pPr>
      <w:rPr>
        <w:rFonts w:hint="default"/>
      </w:rPr>
    </w:lvl>
    <w:lvl w:ilvl="2">
      <w:start w:val="1"/>
      <w:numFmt w:val="decimal"/>
      <w:lvlText w:val="%1.%2.%3."/>
      <w:lvlJc w:val="left"/>
      <w:pPr>
        <w:ind w:left="1434" w:hanging="720"/>
      </w:pPr>
      <w:rPr>
        <w:rFonts w:hint="default"/>
      </w:rPr>
    </w:lvl>
    <w:lvl w:ilvl="3">
      <w:start w:val="1"/>
      <w:numFmt w:val="decimal"/>
      <w:lvlText w:val="%1.%2.%3.%4."/>
      <w:lvlJc w:val="left"/>
      <w:pPr>
        <w:ind w:left="2151" w:hanging="1080"/>
      </w:pPr>
    </w:lvl>
    <w:lvl w:ilvl="4">
      <w:start w:val="1"/>
      <w:numFmt w:val="decimal"/>
      <w:lvlText w:val="%1.%2.%3.%4.%5."/>
      <w:lvlJc w:val="left"/>
      <w:pPr>
        <w:ind w:left="2508" w:hanging="1080"/>
      </w:pPr>
      <w:rPr>
        <w:rFonts w:hint="default"/>
      </w:rPr>
    </w:lvl>
    <w:lvl w:ilvl="5">
      <w:start w:val="1"/>
      <w:numFmt w:val="decimal"/>
      <w:lvlText w:val="%1.%2.%3.%4.%5.%6."/>
      <w:lvlJc w:val="left"/>
      <w:pPr>
        <w:ind w:left="3225" w:hanging="1440"/>
      </w:pPr>
      <w:rPr>
        <w:rFonts w:hint="default"/>
      </w:rPr>
    </w:lvl>
    <w:lvl w:ilvl="6">
      <w:start w:val="1"/>
      <w:numFmt w:val="decimal"/>
      <w:lvlText w:val="%1.%2.%3.%4.%5.%6.%7."/>
      <w:lvlJc w:val="left"/>
      <w:pPr>
        <w:ind w:left="3942" w:hanging="1800"/>
      </w:pPr>
      <w:rPr>
        <w:rFonts w:hint="default"/>
      </w:rPr>
    </w:lvl>
    <w:lvl w:ilvl="7">
      <w:start w:val="1"/>
      <w:numFmt w:val="decimal"/>
      <w:lvlText w:val="%1.%2.%3.%4.%5.%6.%7.%8."/>
      <w:lvlJc w:val="left"/>
      <w:pPr>
        <w:ind w:left="4299" w:hanging="1800"/>
      </w:pPr>
      <w:rPr>
        <w:rFonts w:hint="default"/>
      </w:rPr>
    </w:lvl>
    <w:lvl w:ilvl="8">
      <w:start w:val="1"/>
      <w:numFmt w:val="decimal"/>
      <w:lvlText w:val="%1.%2.%3.%4.%5.%6.%7.%8.%9."/>
      <w:lvlJc w:val="left"/>
      <w:pPr>
        <w:ind w:left="5016" w:hanging="2160"/>
      </w:pPr>
      <w:rPr>
        <w:rFonts w:hint="default"/>
      </w:rPr>
    </w:lvl>
  </w:abstractNum>
  <w:abstractNum w:abstractNumId="102" w15:restartNumberingAfterBreak="0">
    <w:nsid w:val="67600B98"/>
    <w:multiLevelType w:val="hybridMultilevel"/>
    <w:tmpl w:val="93523D78"/>
    <w:lvl w:ilvl="0" w:tplc="88A474AC">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3" w15:restartNumberingAfterBreak="0">
    <w:nsid w:val="6837631B"/>
    <w:multiLevelType w:val="hybridMultilevel"/>
    <w:tmpl w:val="5C00F01A"/>
    <w:lvl w:ilvl="0" w:tplc="7E40C1AA">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04" w15:restartNumberingAfterBreak="0">
    <w:nsid w:val="69A368E3"/>
    <w:multiLevelType w:val="hybridMultilevel"/>
    <w:tmpl w:val="0F1C05D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6A0C1AE8"/>
    <w:multiLevelType w:val="hybridMultilevel"/>
    <w:tmpl w:val="D53865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6A56228D"/>
    <w:multiLevelType w:val="hybridMultilevel"/>
    <w:tmpl w:val="5350B160"/>
    <w:lvl w:ilvl="0" w:tplc="FFFFFFFF">
      <w:start w:val="1"/>
      <w:numFmt w:val="bullet"/>
      <w:lvlText w:val="•"/>
      <w:lvlJc w:val="left"/>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07" w15:restartNumberingAfterBreak="0">
    <w:nsid w:val="6BB37758"/>
    <w:multiLevelType w:val="hybridMultilevel"/>
    <w:tmpl w:val="6EC61AFC"/>
    <w:lvl w:ilvl="0" w:tplc="04150001">
      <w:start w:val="1"/>
      <w:numFmt w:val="bullet"/>
      <w:lvlText w:val=""/>
      <w:lvlJc w:val="left"/>
      <w:pPr>
        <w:ind w:left="1080" w:hanging="360"/>
      </w:pPr>
      <w:rPr>
        <w:rFonts w:ascii="Symbol" w:hAnsi="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hint="default"/>
      </w:rPr>
    </w:lvl>
    <w:lvl w:ilvl="3" w:tplc="04150001">
      <w:start w:val="1"/>
      <w:numFmt w:val="bullet"/>
      <w:lvlText w:val=""/>
      <w:lvlJc w:val="left"/>
      <w:pPr>
        <w:ind w:left="3240" w:hanging="360"/>
      </w:pPr>
      <w:rPr>
        <w:rFonts w:ascii="Symbol" w:hAnsi="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hint="default"/>
      </w:rPr>
    </w:lvl>
    <w:lvl w:ilvl="6" w:tplc="04150001">
      <w:start w:val="1"/>
      <w:numFmt w:val="bullet"/>
      <w:lvlText w:val=""/>
      <w:lvlJc w:val="left"/>
      <w:pPr>
        <w:ind w:left="5400" w:hanging="360"/>
      </w:pPr>
      <w:rPr>
        <w:rFonts w:ascii="Symbol" w:hAnsi="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hint="default"/>
      </w:rPr>
    </w:lvl>
  </w:abstractNum>
  <w:abstractNum w:abstractNumId="108" w15:restartNumberingAfterBreak="0">
    <w:nsid w:val="6F4208EA"/>
    <w:multiLevelType w:val="hybridMultilevel"/>
    <w:tmpl w:val="6A6E683C"/>
    <w:lvl w:ilvl="0" w:tplc="FFFFFFF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9" w15:restartNumberingAfterBreak="0">
    <w:nsid w:val="6FAA1871"/>
    <w:multiLevelType w:val="hybridMultilevel"/>
    <w:tmpl w:val="9C4E0330"/>
    <w:lvl w:ilvl="0" w:tplc="88A474AC">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0" w15:restartNumberingAfterBreak="0">
    <w:nsid w:val="6FBA0DD2"/>
    <w:multiLevelType w:val="hybridMultilevel"/>
    <w:tmpl w:val="DE6680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1" w15:restartNumberingAfterBreak="0">
    <w:nsid w:val="6FF14D36"/>
    <w:multiLevelType w:val="hybridMultilevel"/>
    <w:tmpl w:val="A0B481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76AD2FBA"/>
    <w:multiLevelType w:val="hybridMultilevel"/>
    <w:tmpl w:val="3B72D39C"/>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13" w15:restartNumberingAfterBreak="0">
    <w:nsid w:val="76F849A3"/>
    <w:multiLevelType w:val="hybridMultilevel"/>
    <w:tmpl w:val="85B4F32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14" w15:restartNumberingAfterBreak="0">
    <w:nsid w:val="79382404"/>
    <w:multiLevelType w:val="hybridMultilevel"/>
    <w:tmpl w:val="A7842594"/>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15" w15:restartNumberingAfterBreak="0">
    <w:nsid w:val="7B1C37CE"/>
    <w:multiLevelType w:val="hybridMultilevel"/>
    <w:tmpl w:val="1DE2C06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7BBE0B35"/>
    <w:multiLevelType w:val="hybridMultilevel"/>
    <w:tmpl w:val="55DC325E"/>
    <w:lvl w:ilvl="0" w:tplc="FFFFFFFF">
      <w:start w:val="1"/>
      <w:numFmt w:val="bullet"/>
      <w:lvlText w:val="•"/>
      <w:lvlJc w:val="left"/>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17" w15:restartNumberingAfterBreak="0">
    <w:nsid w:val="7CB73CA8"/>
    <w:multiLevelType w:val="hybridMultilevel"/>
    <w:tmpl w:val="7BE2F8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8" w15:restartNumberingAfterBreak="0">
    <w:nsid w:val="7DA444A0"/>
    <w:multiLevelType w:val="multilevel"/>
    <w:tmpl w:val="DC8A3B60"/>
    <w:lvl w:ilvl="0">
      <w:start w:val="1"/>
      <w:numFmt w:val="decimal"/>
      <w:lvlText w:val="%1."/>
      <w:lvlJc w:val="left"/>
      <w:pPr>
        <w:ind w:left="717" w:hanging="360"/>
      </w:pPr>
      <w:rPr>
        <w:rFonts w:hint="default"/>
      </w:rPr>
    </w:lvl>
    <w:lvl w:ilvl="1">
      <w:start w:val="1"/>
      <w:numFmt w:val="decimal"/>
      <w:lvlText w:val="%2."/>
      <w:lvlJc w:val="left"/>
      <w:pPr>
        <w:ind w:left="1077" w:hanging="360"/>
      </w:pPr>
    </w:lvl>
    <w:lvl w:ilvl="2">
      <w:start w:val="1"/>
      <w:numFmt w:val="decimal"/>
      <w:lvlText w:val="%1.%2.%3."/>
      <w:lvlJc w:val="left"/>
      <w:pPr>
        <w:ind w:left="1581" w:hanging="504"/>
      </w:pPr>
      <w:rPr>
        <w:rFonts w:hint="default"/>
      </w:rPr>
    </w:lvl>
    <w:lvl w:ilvl="3">
      <w:start w:val="1"/>
      <w:numFmt w:val="decimal"/>
      <w:lvlText w:val="%1.%2.%3.%4."/>
      <w:lvlJc w:val="left"/>
      <w:pPr>
        <w:ind w:left="2085" w:hanging="648"/>
      </w:pPr>
      <w:rPr>
        <w:rFonts w:hint="default"/>
      </w:rPr>
    </w:lvl>
    <w:lvl w:ilvl="4">
      <w:start w:val="1"/>
      <w:numFmt w:val="decimal"/>
      <w:lvlText w:val="%1.%2.%3.%4.%5."/>
      <w:lvlJc w:val="left"/>
      <w:pPr>
        <w:ind w:left="2589" w:hanging="792"/>
      </w:pPr>
      <w:rPr>
        <w:rFonts w:hint="default"/>
      </w:rPr>
    </w:lvl>
    <w:lvl w:ilvl="5">
      <w:start w:val="1"/>
      <w:numFmt w:val="decimal"/>
      <w:lvlText w:val="%1.%2.%3.%4.%5.%6."/>
      <w:lvlJc w:val="left"/>
      <w:pPr>
        <w:ind w:left="3093" w:hanging="936"/>
      </w:pPr>
      <w:rPr>
        <w:rFonts w:hint="default"/>
      </w:rPr>
    </w:lvl>
    <w:lvl w:ilvl="6">
      <w:start w:val="1"/>
      <w:numFmt w:val="decimal"/>
      <w:lvlText w:val="%1.%2.%3.%4.%5.%6.%7."/>
      <w:lvlJc w:val="left"/>
      <w:pPr>
        <w:ind w:left="3597" w:hanging="1080"/>
      </w:pPr>
      <w:rPr>
        <w:rFonts w:hint="default"/>
      </w:rPr>
    </w:lvl>
    <w:lvl w:ilvl="7">
      <w:start w:val="1"/>
      <w:numFmt w:val="decimal"/>
      <w:lvlText w:val="%1.%2.%3.%4.%5.%6.%7.%8."/>
      <w:lvlJc w:val="left"/>
      <w:pPr>
        <w:ind w:left="4101" w:hanging="1224"/>
      </w:pPr>
      <w:rPr>
        <w:rFonts w:hint="default"/>
      </w:rPr>
    </w:lvl>
    <w:lvl w:ilvl="8">
      <w:start w:val="1"/>
      <w:numFmt w:val="decimal"/>
      <w:lvlText w:val="%1.%2.%3.%4.%5.%6.%7.%8.%9."/>
      <w:lvlJc w:val="left"/>
      <w:pPr>
        <w:ind w:left="4677" w:hanging="1440"/>
      </w:pPr>
      <w:rPr>
        <w:rFonts w:hint="default"/>
      </w:rPr>
    </w:lvl>
  </w:abstractNum>
  <w:abstractNum w:abstractNumId="119" w15:restartNumberingAfterBreak="0">
    <w:nsid w:val="7DE6238C"/>
    <w:multiLevelType w:val="hybridMultilevel"/>
    <w:tmpl w:val="B0A2AA28"/>
    <w:lvl w:ilvl="0" w:tplc="08090001">
      <w:start w:val="1"/>
      <w:numFmt w:val="bullet"/>
      <w:lvlText w:val=""/>
      <w:lvlJc w:val="left"/>
      <w:pPr>
        <w:ind w:left="1185" w:hanging="360"/>
      </w:pPr>
      <w:rPr>
        <w:rFonts w:ascii="Symbol" w:hAnsi="Symbol" w:hint="default"/>
      </w:rPr>
    </w:lvl>
    <w:lvl w:ilvl="1" w:tplc="08090003" w:tentative="1">
      <w:start w:val="1"/>
      <w:numFmt w:val="bullet"/>
      <w:lvlText w:val="o"/>
      <w:lvlJc w:val="left"/>
      <w:pPr>
        <w:ind w:left="1905" w:hanging="360"/>
      </w:pPr>
      <w:rPr>
        <w:rFonts w:ascii="Courier New" w:hAnsi="Courier New" w:cs="Courier New" w:hint="default"/>
      </w:rPr>
    </w:lvl>
    <w:lvl w:ilvl="2" w:tplc="08090005" w:tentative="1">
      <w:start w:val="1"/>
      <w:numFmt w:val="bullet"/>
      <w:lvlText w:val=""/>
      <w:lvlJc w:val="left"/>
      <w:pPr>
        <w:ind w:left="2625" w:hanging="360"/>
      </w:pPr>
      <w:rPr>
        <w:rFonts w:ascii="Wingdings" w:hAnsi="Wingdings" w:hint="default"/>
      </w:rPr>
    </w:lvl>
    <w:lvl w:ilvl="3" w:tplc="08090001" w:tentative="1">
      <w:start w:val="1"/>
      <w:numFmt w:val="bullet"/>
      <w:lvlText w:val=""/>
      <w:lvlJc w:val="left"/>
      <w:pPr>
        <w:ind w:left="3345" w:hanging="360"/>
      </w:pPr>
      <w:rPr>
        <w:rFonts w:ascii="Symbol" w:hAnsi="Symbol" w:hint="default"/>
      </w:rPr>
    </w:lvl>
    <w:lvl w:ilvl="4" w:tplc="08090003" w:tentative="1">
      <w:start w:val="1"/>
      <w:numFmt w:val="bullet"/>
      <w:lvlText w:val="o"/>
      <w:lvlJc w:val="left"/>
      <w:pPr>
        <w:ind w:left="4065" w:hanging="360"/>
      </w:pPr>
      <w:rPr>
        <w:rFonts w:ascii="Courier New" w:hAnsi="Courier New" w:cs="Courier New" w:hint="default"/>
      </w:rPr>
    </w:lvl>
    <w:lvl w:ilvl="5" w:tplc="08090005" w:tentative="1">
      <w:start w:val="1"/>
      <w:numFmt w:val="bullet"/>
      <w:lvlText w:val=""/>
      <w:lvlJc w:val="left"/>
      <w:pPr>
        <w:ind w:left="4785" w:hanging="360"/>
      </w:pPr>
      <w:rPr>
        <w:rFonts w:ascii="Wingdings" w:hAnsi="Wingdings" w:hint="default"/>
      </w:rPr>
    </w:lvl>
    <w:lvl w:ilvl="6" w:tplc="08090001" w:tentative="1">
      <w:start w:val="1"/>
      <w:numFmt w:val="bullet"/>
      <w:lvlText w:val=""/>
      <w:lvlJc w:val="left"/>
      <w:pPr>
        <w:ind w:left="5505" w:hanging="360"/>
      </w:pPr>
      <w:rPr>
        <w:rFonts w:ascii="Symbol" w:hAnsi="Symbol" w:hint="default"/>
      </w:rPr>
    </w:lvl>
    <w:lvl w:ilvl="7" w:tplc="08090003" w:tentative="1">
      <w:start w:val="1"/>
      <w:numFmt w:val="bullet"/>
      <w:lvlText w:val="o"/>
      <w:lvlJc w:val="left"/>
      <w:pPr>
        <w:ind w:left="6225" w:hanging="360"/>
      </w:pPr>
      <w:rPr>
        <w:rFonts w:ascii="Courier New" w:hAnsi="Courier New" w:cs="Courier New" w:hint="default"/>
      </w:rPr>
    </w:lvl>
    <w:lvl w:ilvl="8" w:tplc="08090005" w:tentative="1">
      <w:start w:val="1"/>
      <w:numFmt w:val="bullet"/>
      <w:lvlText w:val=""/>
      <w:lvlJc w:val="left"/>
      <w:pPr>
        <w:ind w:left="6945" w:hanging="360"/>
      </w:pPr>
      <w:rPr>
        <w:rFonts w:ascii="Wingdings" w:hAnsi="Wingdings" w:hint="default"/>
      </w:rPr>
    </w:lvl>
  </w:abstractNum>
  <w:abstractNum w:abstractNumId="120" w15:restartNumberingAfterBreak="0">
    <w:nsid w:val="7E3C1D63"/>
    <w:multiLevelType w:val="hybridMultilevel"/>
    <w:tmpl w:val="74AA1C76"/>
    <w:lvl w:ilvl="0" w:tplc="1480CD6E">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7EFC5B62"/>
    <w:multiLevelType w:val="hybridMultilevel"/>
    <w:tmpl w:val="25E41A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562129085">
    <w:abstractNumId w:val="34"/>
  </w:num>
  <w:num w:numId="2" w16cid:durableId="1655839635">
    <w:abstractNumId w:val="7"/>
  </w:num>
  <w:num w:numId="3" w16cid:durableId="1053695541">
    <w:abstractNumId w:val="115"/>
  </w:num>
  <w:num w:numId="4" w16cid:durableId="2007123710">
    <w:abstractNumId w:val="22"/>
  </w:num>
  <w:num w:numId="5" w16cid:durableId="1883858528">
    <w:abstractNumId w:val="56"/>
  </w:num>
  <w:num w:numId="6" w16cid:durableId="1229343453">
    <w:abstractNumId w:val="29"/>
  </w:num>
  <w:num w:numId="7" w16cid:durableId="367994887">
    <w:abstractNumId w:val="97"/>
  </w:num>
  <w:num w:numId="8" w16cid:durableId="944847447">
    <w:abstractNumId w:val="113"/>
  </w:num>
  <w:num w:numId="9" w16cid:durableId="1081638447">
    <w:abstractNumId w:val="107"/>
  </w:num>
  <w:num w:numId="10" w16cid:durableId="1314991233">
    <w:abstractNumId w:val="94"/>
  </w:num>
  <w:num w:numId="11" w16cid:durableId="1287617330">
    <w:abstractNumId w:val="17"/>
  </w:num>
  <w:num w:numId="12" w16cid:durableId="1750618669">
    <w:abstractNumId w:val="50"/>
  </w:num>
  <w:num w:numId="13" w16cid:durableId="633407586">
    <w:abstractNumId w:val="86"/>
  </w:num>
  <w:num w:numId="14" w16cid:durableId="880360123">
    <w:abstractNumId w:val="18"/>
  </w:num>
  <w:num w:numId="15" w16cid:durableId="1735590428">
    <w:abstractNumId w:val="91"/>
  </w:num>
  <w:num w:numId="16" w16cid:durableId="812134334">
    <w:abstractNumId w:val="104"/>
  </w:num>
  <w:num w:numId="17" w16cid:durableId="585572399">
    <w:abstractNumId w:val="25"/>
  </w:num>
  <w:num w:numId="18" w16cid:durableId="1276988060">
    <w:abstractNumId w:val="28"/>
  </w:num>
  <w:num w:numId="19" w16cid:durableId="772896060">
    <w:abstractNumId w:val="112"/>
  </w:num>
  <w:num w:numId="20" w16cid:durableId="1477139043">
    <w:abstractNumId w:val="49"/>
  </w:num>
  <w:num w:numId="21" w16cid:durableId="1616281358">
    <w:abstractNumId w:val="80"/>
  </w:num>
  <w:num w:numId="22" w16cid:durableId="395007052">
    <w:abstractNumId w:val="67"/>
  </w:num>
  <w:num w:numId="23" w16cid:durableId="1035158931">
    <w:abstractNumId w:val="32"/>
  </w:num>
  <w:num w:numId="24" w16cid:durableId="1897425414">
    <w:abstractNumId w:val="13"/>
  </w:num>
  <w:num w:numId="25" w16cid:durableId="19666592">
    <w:abstractNumId w:val="85"/>
  </w:num>
  <w:num w:numId="26" w16cid:durableId="1286159838">
    <w:abstractNumId w:val="58"/>
  </w:num>
  <w:num w:numId="27" w16cid:durableId="1090614256">
    <w:abstractNumId w:val="43"/>
  </w:num>
  <w:num w:numId="28" w16cid:durableId="344864141">
    <w:abstractNumId w:val="101"/>
  </w:num>
  <w:num w:numId="29" w16cid:durableId="348143326">
    <w:abstractNumId w:val="89"/>
  </w:num>
  <w:num w:numId="30" w16cid:durableId="1118645852">
    <w:abstractNumId w:val="69"/>
  </w:num>
  <w:num w:numId="31" w16cid:durableId="2050841263">
    <w:abstractNumId w:val="96"/>
  </w:num>
  <w:num w:numId="32" w16cid:durableId="1102259258">
    <w:abstractNumId w:val="35"/>
  </w:num>
  <w:num w:numId="33" w16cid:durableId="755831721">
    <w:abstractNumId w:val="27"/>
  </w:num>
  <w:num w:numId="34" w16cid:durableId="1772044320">
    <w:abstractNumId w:val="20"/>
  </w:num>
  <w:num w:numId="35" w16cid:durableId="1289703650">
    <w:abstractNumId w:val="83"/>
  </w:num>
  <w:num w:numId="36" w16cid:durableId="109979002">
    <w:abstractNumId w:val="45"/>
  </w:num>
  <w:num w:numId="37" w16cid:durableId="109446343">
    <w:abstractNumId w:val="14"/>
  </w:num>
  <w:num w:numId="38" w16cid:durableId="1701666276">
    <w:abstractNumId w:val="119"/>
  </w:num>
  <w:num w:numId="39" w16cid:durableId="2006936067">
    <w:abstractNumId w:val="51"/>
  </w:num>
  <w:num w:numId="40" w16cid:durableId="290597530">
    <w:abstractNumId w:val="21"/>
  </w:num>
  <w:num w:numId="41" w16cid:durableId="632835357">
    <w:abstractNumId w:val="76"/>
  </w:num>
  <w:num w:numId="42" w16cid:durableId="2082480703">
    <w:abstractNumId w:val="8"/>
  </w:num>
  <w:num w:numId="43" w16cid:durableId="1437671977">
    <w:abstractNumId w:val="87"/>
  </w:num>
  <w:num w:numId="44" w16cid:durableId="1318454107">
    <w:abstractNumId w:val="92"/>
  </w:num>
  <w:num w:numId="45" w16cid:durableId="625164794">
    <w:abstractNumId w:val="63"/>
  </w:num>
  <w:num w:numId="46" w16cid:durableId="1711607205">
    <w:abstractNumId w:val="99"/>
  </w:num>
  <w:num w:numId="47" w16cid:durableId="470052661">
    <w:abstractNumId w:val="15"/>
  </w:num>
  <w:num w:numId="48" w16cid:durableId="1558859368">
    <w:abstractNumId w:val="36"/>
  </w:num>
  <w:num w:numId="49" w16cid:durableId="1016418806">
    <w:abstractNumId w:val="4"/>
  </w:num>
  <w:num w:numId="50" w16cid:durableId="1671366628">
    <w:abstractNumId w:val="84"/>
  </w:num>
  <w:num w:numId="51" w16cid:durableId="413360129">
    <w:abstractNumId w:val="71"/>
  </w:num>
  <w:num w:numId="52" w16cid:durableId="1726179477">
    <w:abstractNumId w:val="114"/>
  </w:num>
  <w:num w:numId="53" w16cid:durableId="1418207220">
    <w:abstractNumId w:val="23"/>
  </w:num>
  <w:num w:numId="54" w16cid:durableId="623316902">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1891304732">
    <w:abstractNumId w:val="61"/>
  </w:num>
  <w:num w:numId="56" w16cid:durableId="1741706680">
    <w:abstractNumId w:val="73"/>
  </w:num>
  <w:num w:numId="57" w16cid:durableId="2012487579">
    <w:abstractNumId w:val="53"/>
  </w:num>
  <w:num w:numId="58" w16cid:durableId="1253474201">
    <w:abstractNumId w:val="95"/>
  </w:num>
  <w:num w:numId="59" w16cid:durableId="523638296">
    <w:abstractNumId w:val="64"/>
  </w:num>
  <w:num w:numId="60" w16cid:durableId="785781335">
    <w:abstractNumId w:val="52"/>
  </w:num>
  <w:num w:numId="61" w16cid:durableId="1879464071">
    <w:abstractNumId w:val="3"/>
  </w:num>
  <w:num w:numId="62" w16cid:durableId="1499661636">
    <w:abstractNumId w:val="57"/>
  </w:num>
  <w:num w:numId="63" w16cid:durableId="2096126196">
    <w:abstractNumId w:val="81"/>
  </w:num>
  <w:num w:numId="64" w16cid:durableId="2045131735">
    <w:abstractNumId w:val="39"/>
  </w:num>
  <w:num w:numId="65" w16cid:durableId="465708404">
    <w:abstractNumId w:val="19"/>
  </w:num>
  <w:num w:numId="66" w16cid:durableId="813377022">
    <w:abstractNumId w:val="70"/>
  </w:num>
  <w:num w:numId="67" w16cid:durableId="1331061554">
    <w:abstractNumId w:val="103"/>
  </w:num>
  <w:num w:numId="68" w16cid:durableId="1318143249">
    <w:abstractNumId w:val="109"/>
  </w:num>
  <w:num w:numId="69" w16cid:durableId="978002444">
    <w:abstractNumId w:val="16"/>
  </w:num>
  <w:num w:numId="70" w16cid:durableId="1689520693">
    <w:abstractNumId w:val="48"/>
  </w:num>
  <w:num w:numId="71" w16cid:durableId="728964365">
    <w:abstractNumId w:val="6"/>
  </w:num>
  <w:num w:numId="72" w16cid:durableId="1130054937">
    <w:abstractNumId w:val="11"/>
  </w:num>
  <w:num w:numId="73" w16cid:durableId="85463039">
    <w:abstractNumId w:val="102"/>
  </w:num>
  <w:num w:numId="74" w16cid:durableId="1029379520">
    <w:abstractNumId w:val="62"/>
  </w:num>
  <w:num w:numId="75" w16cid:durableId="2015955496">
    <w:abstractNumId w:val="88"/>
  </w:num>
  <w:num w:numId="76" w16cid:durableId="787554490">
    <w:abstractNumId w:val="44"/>
  </w:num>
  <w:num w:numId="77" w16cid:durableId="1807702782">
    <w:abstractNumId w:val="10"/>
  </w:num>
  <w:num w:numId="78" w16cid:durableId="2132167079">
    <w:abstractNumId w:val="93"/>
  </w:num>
  <w:num w:numId="79" w16cid:durableId="469130557">
    <w:abstractNumId w:val="38"/>
  </w:num>
  <w:num w:numId="80" w16cid:durableId="599993289">
    <w:abstractNumId w:val="60"/>
  </w:num>
  <w:num w:numId="81" w16cid:durableId="1609266006">
    <w:abstractNumId w:val="117"/>
  </w:num>
  <w:num w:numId="82" w16cid:durableId="1689940996">
    <w:abstractNumId w:val="121"/>
  </w:num>
  <w:num w:numId="83" w16cid:durableId="1528520532">
    <w:abstractNumId w:val="105"/>
  </w:num>
  <w:num w:numId="84" w16cid:durableId="380133295">
    <w:abstractNumId w:val="65"/>
  </w:num>
  <w:num w:numId="85" w16cid:durableId="1914848878">
    <w:abstractNumId w:val="42"/>
  </w:num>
  <w:num w:numId="86" w16cid:durableId="1893616813">
    <w:abstractNumId w:val="77"/>
  </w:num>
  <w:num w:numId="87" w16cid:durableId="1474985056">
    <w:abstractNumId w:val="24"/>
  </w:num>
  <w:num w:numId="88" w16cid:durableId="1724451300">
    <w:abstractNumId w:val="37"/>
  </w:num>
  <w:num w:numId="89" w16cid:durableId="341706595">
    <w:abstractNumId w:val="47"/>
  </w:num>
  <w:num w:numId="90" w16cid:durableId="746532008">
    <w:abstractNumId w:val="26"/>
  </w:num>
  <w:num w:numId="91" w16cid:durableId="322707761">
    <w:abstractNumId w:val="82"/>
  </w:num>
  <w:num w:numId="92" w16cid:durableId="1022433848">
    <w:abstractNumId w:val="108"/>
  </w:num>
  <w:num w:numId="93" w16cid:durableId="2063358655">
    <w:abstractNumId w:val="31"/>
  </w:num>
  <w:num w:numId="94" w16cid:durableId="740640256">
    <w:abstractNumId w:val="54"/>
  </w:num>
  <w:num w:numId="95" w16cid:durableId="824051109">
    <w:abstractNumId w:val="46"/>
  </w:num>
  <w:num w:numId="96" w16cid:durableId="1535770785">
    <w:abstractNumId w:val="55"/>
  </w:num>
  <w:num w:numId="97" w16cid:durableId="433089688">
    <w:abstractNumId w:val="66"/>
  </w:num>
  <w:num w:numId="98" w16cid:durableId="159590042">
    <w:abstractNumId w:val="30"/>
  </w:num>
  <w:num w:numId="99" w16cid:durableId="939601488">
    <w:abstractNumId w:val="106"/>
  </w:num>
  <w:num w:numId="100" w16cid:durableId="947467756">
    <w:abstractNumId w:val="72"/>
  </w:num>
  <w:num w:numId="101" w16cid:durableId="1310791136">
    <w:abstractNumId w:val="98"/>
  </w:num>
  <w:num w:numId="102" w16cid:durableId="247348113">
    <w:abstractNumId w:val="116"/>
  </w:num>
  <w:num w:numId="103" w16cid:durableId="1533299261">
    <w:abstractNumId w:val="59"/>
  </w:num>
  <w:num w:numId="104" w16cid:durableId="1665818724">
    <w:abstractNumId w:val="120"/>
  </w:num>
  <w:num w:numId="105" w16cid:durableId="183835614">
    <w:abstractNumId w:val="68"/>
  </w:num>
  <w:num w:numId="106" w16cid:durableId="345982678">
    <w:abstractNumId w:val="40"/>
  </w:num>
  <w:num w:numId="107" w16cid:durableId="37709844">
    <w:abstractNumId w:val="9"/>
  </w:num>
  <w:num w:numId="108" w16cid:durableId="251012797">
    <w:abstractNumId w:val="79"/>
  </w:num>
  <w:num w:numId="109" w16cid:durableId="1523543816">
    <w:abstractNumId w:val="78"/>
  </w:num>
  <w:num w:numId="110" w16cid:durableId="2055158758">
    <w:abstractNumId w:val="33"/>
  </w:num>
  <w:num w:numId="111" w16cid:durableId="606542288">
    <w:abstractNumId w:val="111"/>
  </w:num>
  <w:num w:numId="112" w16cid:durableId="950165669">
    <w:abstractNumId w:val="110"/>
  </w:num>
  <w:num w:numId="113" w16cid:durableId="1004819549">
    <w:abstractNumId w:val="75"/>
  </w:num>
  <w:num w:numId="114" w16cid:durableId="50932442">
    <w:abstractNumId w:val="41"/>
  </w:num>
  <w:num w:numId="115" w16cid:durableId="1578441464">
    <w:abstractNumId w:val="90"/>
  </w:num>
  <w:num w:numId="116" w16cid:durableId="1505439339">
    <w:abstractNumId w:val="12"/>
  </w:num>
  <w:num w:numId="117" w16cid:durableId="864714191">
    <w:abstractNumId w:val="100"/>
  </w:num>
  <w:num w:numId="118" w16cid:durableId="1500461758">
    <w:abstractNumId w:val="74"/>
  </w:num>
  <w:num w:numId="119" w16cid:durableId="2048605641">
    <w:abstractNumId w:val="118"/>
  </w:num>
  <w:num w:numId="120" w16cid:durableId="972564064">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16cid:durableId="1870605582">
    <w:abstractNumId w:val="7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16cid:durableId="361825686">
    <w:abstractNumId w:val="5"/>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defaultTabStop w:val="70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5FCC"/>
    <w:rsid w:val="000000A7"/>
    <w:rsid w:val="0000083D"/>
    <w:rsid w:val="00000A4C"/>
    <w:rsid w:val="00000BC3"/>
    <w:rsid w:val="00000D4E"/>
    <w:rsid w:val="000010D4"/>
    <w:rsid w:val="000016A1"/>
    <w:rsid w:val="00001DAA"/>
    <w:rsid w:val="00001F4B"/>
    <w:rsid w:val="0000218F"/>
    <w:rsid w:val="00002443"/>
    <w:rsid w:val="0000268F"/>
    <w:rsid w:val="000028CE"/>
    <w:rsid w:val="000030ED"/>
    <w:rsid w:val="00003318"/>
    <w:rsid w:val="000035F3"/>
    <w:rsid w:val="0000361D"/>
    <w:rsid w:val="00003632"/>
    <w:rsid w:val="00003956"/>
    <w:rsid w:val="00003AEE"/>
    <w:rsid w:val="00003E05"/>
    <w:rsid w:val="0000404F"/>
    <w:rsid w:val="00004119"/>
    <w:rsid w:val="00004232"/>
    <w:rsid w:val="00004C11"/>
    <w:rsid w:val="000056D0"/>
    <w:rsid w:val="000058D2"/>
    <w:rsid w:val="00005C3A"/>
    <w:rsid w:val="00005E8B"/>
    <w:rsid w:val="00005F22"/>
    <w:rsid w:val="0000634D"/>
    <w:rsid w:val="0000681D"/>
    <w:rsid w:val="00006DC9"/>
    <w:rsid w:val="00006F91"/>
    <w:rsid w:val="0000723B"/>
    <w:rsid w:val="00007682"/>
    <w:rsid w:val="00007A0D"/>
    <w:rsid w:val="00007AFF"/>
    <w:rsid w:val="00007B87"/>
    <w:rsid w:val="00007BE1"/>
    <w:rsid w:val="00010061"/>
    <w:rsid w:val="00010119"/>
    <w:rsid w:val="00010144"/>
    <w:rsid w:val="00010366"/>
    <w:rsid w:val="000106A3"/>
    <w:rsid w:val="000107E0"/>
    <w:rsid w:val="00011352"/>
    <w:rsid w:val="000118C4"/>
    <w:rsid w:val="000124A6"/>
    <w:rsid w:val="00012758"/>
    <w:rsid w:val="0001277E"/>
    <w:rsid w:val="00012AEF"/>
    <w:rsid w:val="00012D87"/>
    <w:rsid w:val="00012E81"/>
    <w:rsid w:val="00012F66"/>
    <w:rsid w:val="00013011"/>
    <w:rsid w:val="000139AB"/>
    <w:rsid w:val="00013B75"/>
    <w:rsid w:val="00013D91"/>
    <w:rsid w:val="00013F1D"/>
    <w:rsid w:val="0001421E"/>
    <w:rsid w:val="00015207"/>
    <w:rsid w:val="0001542E"/>
    <w:rsid w:val="0001555E"/>
    <w:rsid w:val="000156AB"/>
    <w:rsid w:val="0001571B"/>
    <w:rsid w:val="000159AB"/>
    <w:rsid w:val="00015E8F"/>
    <w:rsid w:val="00016031"/>
    <w:rsid w:val="0001657B"/>
    <w:rsid w:val="000169AA"/>
    <w:rsid w:val="000169F8"/>
    <w:rsid w:val="00016A69"/>
    <w:rsid w:val="00016E9E"/>
    <w:rsid w:val="00017B0E"/>
    <w:rsid w:val="00020457"/>
    <w:rsid w:val="00020CF8"/>
    <w:rsid w:val="000210C1"/>
    <w:rsid w:val="000210F7"/>
    <w:rsid w:val="000216A2"/>
    <w:rsid w:val="000219A2"/>
    <w:rsid w:val="00021BFA"/>
    <w:rsid w:val="00021C5E"/>
    <w:rsid w:val="00021F28"/>
    <w:rsid w:val="0002200F"/>
    <w:rsid w:val="00022067"/>
    <w:rsid w:val="0002236A"/>
    <w:rsid w:val="00022BC0"/>
    <w:rsid w:val="00022EBD"/>
    <w:rsid w:val="0002339D"/>
    <w:rsid w:val="0002396B"/>
    <w:rsid w:val="00023ABA"/>
    <w:rsid w:val="00023C07"/>
    <w:rsid w:val="00023CCE"/>
    <w:rsid w:val="00023CD4"/>
    <w:rsid w:val="00023CE8"/>
    <w:rsid w:val="00023CFD"/>
    <w:rsid w:val="00024CC4"/>
    <w:rsid w:val="000255B7"/>
    <w:rsid w:val="000255CE"/>
    <w:rsid w:val="000259E3"/>
    <w:rsid w:val="00025A3F"/>
    <w:rsid w:val="00027286"/>
    <w:rsid w:val="00027744"/>
    <w:rsid w:val="00027CAB"/>
    <w:rsid w:val="00027D7C"/>
    <w:rsid w:val="00030810"/>
    <w:rsid w:val="000312D3"/>
    <w:rsid w:val="00031B96"/>
    <w:rsid w:val="00031EEC"/>
    <w:rsid w:val="000320B5"/>
    <w:rsid w:val="000323DF"/>
    <w:rsid w:val="00032AE3"/>
    <w:rsid w:val="00032AEC"/>
    <w:rsid w:val="00032BB6"/>
    <w:rsid w:val="000334AA"/>
    <w:rsid w:val="00033EBA"/>
    <w:rsid w:val="00034A14"/>
    <w:rsid w:val="00035799"/>
    <w:rsid w:val="00035A06"/>
    <w:rsid w:val="00035C5B"/>
    <w:rsid w:val="00035FC5"/>
    <w:rsid w:val="000361E3"/>
    <w:rsid w:val="00036D51"/>
    <w:rsid w:val="00036EB6"/>
    <w:rsid w:val="00037311"/>
    <w:rsid w:val="0003750D"/>
    <w:rsid w:val="00037654"/>
    <w:rsid w:val="00037816"/>
    <w:rsid w:val="00037A1E"/>
    <w:rsid w:val="00037F74"/>
    <w:rsid w:val="00040306"/>
    <w:rsid w:val="000404FB"/>
    <w:rsid w:val="000408DF"/>
    <w:rsid w:val="0004091B"/>
    <w:rsid w:val="000412DE"/>
    <w:rsid w:val="0004164F"/>
    <w:rsid w:val="00041AAB"/>
    <w:rsid w:val="00041C43"/>
    <w:rsid w:val="00042531"/>
    <w:rsid w:val="00042591"/>
    <w:rsid w:val="00043521"/>
    <w:rsid w:val="000436D9"/>
    <w:rsid w:val="0004394E"/>
    <w:rsid w:val="000439A9"/>
    <w:rsid w:val="00043C0D"/>
    <w:rsid w:val="000443BA"/>
    <w:rsid w:val="0004484E"/>
    <w:rsid w:val="00044A4B"/>
    <w:rsid w:val="00045043"/>
    <w:rsid w:val="000453BF"/>
    <w:rsid w:val="000455C8"/>
    <w:rsid w:val="0004599B"/>
    <w:rsid w:val="000460A5"/>
    <w:rsid w:val="000462BD"/>
    <w:rsid w:val="000463A1"/>
    <w:rsid w:val="000469FF"/>
    <w:rsid w:val="00046E72"/>
    <w:rsid w:val="00047C28"/>
    <w:rsid w:val="000500F6"/>
    <w:rsid w:val="0005028F"/>
    <w:rsid w:val="00050539"/>
    <w:rsid w:val="00050897"/>
    <w:rsid w:val="00051478"/>
    <w:rsid w:val="000515E2"/>
    <w:rsid w:val="00051C8D"/>
    <w:rsid w:val="00051DED"/>
    <w:rsid w:val="00051FC1"/>
    <w:rsid w:val="00052547"/>
    <w:rsid w:val="000525E4"/>
    <w:rsid w:val="00052739"/>
    <w:rsid w:val="0005274E"/>
    <w:rsid w:val="00052801"/>
    <w:rsid w:val="00052816"/>
    <w:rsid w:val="000529D9"/>
    <w:rsid w:val="00052D48"/>
    <w:rsid w:val="00052E54"/>
    <w:rsid w:val="00052EF0"/>
    <w:rsid w:val="00053097"/>
    <w:rsid w:val="0005330B"/>
    <w:rsid w:val="0005334F"/>
    <w:rsid w:val="0005360E"/>
    <w:rsid w:val="0005360F"/>
    <w:rsid w:val="00053700"/>
    <w:rsid w:val="00053AE0"/>
    <w:rsid w:val="00054A36"/>
    <w:rsid w:val="00054D3A"/>
    <w:rsid w:val="000552E4"/>
    <w:rsid w:val="000556B6"/>
    <w:rsid w:val="0005617B"/>
    <w:rsid w:val="000564AD"/>
    <w:rsid w:val="0005688D"/>
    <w:rsid w:val="00056CBE"/>
    <w:rsid w:val="00056DEE"/>
    <w:rsid w:val="00056E1F"/>
    <w:rsid w:val="000576FA"/>
    <w:rsid w:val="00057DA3"/>
    <w:rsid w:val="00057EA0"/>
    <w:rsid w:val="00057F91"/>
    <w:rsid w:val="00060103"/>
    <w:rsid w:val="00060434"/>
    <w:rsid w:val="000605A0"/>
    <w:rsid w:val="00060808"/>
    <w:rsid w:val="00060A3E"/>
    <w:rsid w:val="00060E6D"/>
    <w:rsid w:val="00061143"/>
    <w:rsid w:val="0006128B"/>
    <w:rsid w:val="000614AC"/>
    <w:rsid w:val="0006251E"/>
    <w:rsid w:val="000631A9"/>
    <w:rsid w:val="00063201"/>
    <w:rsid w:val="000644E6"/>
    <w:rsid w:val="00064733"/>
    <w:rsid w:val="00064739"/>
    <w:rsid w:val="000647E4"/>
    <w:rsid w:val="000648FB"/>
    <w:rsid w:val="00064D46"/>
    <w:rsid w:val="00065017"/>
    <w:rsid w:val="000651EC"/>
    <w:rsid w:val="00065C4C"/>
    <w:rsid w:val="0006610A"/>
    <w:rsid w:val="000664FE"/>
    <w:rsid w:val="00067453"/>
    <w:rsid w:val="0006787F"/>
    <w:rsid w:val="000678CB"/>
    <w:rsid w:val="00067F39"/>
    <w:rsid w:val="0007023B"/>
    <w:rsid w:val="000702A4"/>
    <w:rsid w:val="000704E6"/>
    <w:rsid w:val="00070B1E"/>
    <w:rsid w:val="00071033"/>
    <w:rsid w:val="000710CA"/>
    <w:rsid w:val="00071184"/>
    <w:rsid w:val="00071221"/>
    <w:rsid w:val="000714EF"/>
    <w:rsid w:val="000716D0"/>
    <w:rsid w:val="00071A20"/>
    <w:rsid w:val="00071BB6"/>
    <w:rsid w:val="00072152"/>
    <w:rsid w:val="00072481"/>
    <w:rsid w:val="000728A3"/>
    <w:rsid w:val="000728EE"/>
    <w:rsid w:val="00072932"/>
    <w:rsid w:val="0007293F"/>
    <w:rsid w:val="00072940"/>
    <w:rsid w:val="00072D2B"/>
    <w:rsid w:val="00072DA9"/>
    <w:rsid w:val="00073CE9"/>
    <w:rsid w:val="00073F04"/>
    <w:rsid w:val="00073FBB"/>
    <w:rsid w:val="00074661"/>
    <w:rsid w:val="00074708"/>
    <w:rsid w:val="000747F1"/>
    <w:rsid w:val="00074868"/>
    <w:rsid w:val="00074965"/>
    <w:rsid w:val="00074AAF"/>
    <w:rsid w:val="00074D40"/>
    <w:rsid w:val="000757D1"/>
    <w:rsid w:val="000759F2"/>
    <w:rsid w:val="00075A5D"/>
    <w:rsid w:val="00075DE9"/>
    <w:rsid w:val="00076211"/>
    <w:rsid w:val="00076506"/>
    <w:rsid w:val="00077709"/>
    <w:rsid w:val="0007788D"/>
    <w:rsid w:val="00077FA9"/>
    <w:rsid w:val="00080B82"/>
    <w:rsid w:val="00081438"/>
    <w:rsid w:val="000816B2"/>
    <w:rsid w:val="00081FA9"/>
    <w:rsid w:val="000823C5"/>
    <w:rsid w:val="0008290D"/>
    <w:rsid w:val="00082B0F"/>
    <w:rsid w:val="00082C4C"/>
    <w:rsid w:val="00082FAF"/>
    <w:rsid w:val="00083DE3"/>
    <w:rsid w:val="0008440F"/>
    <w:rsid w:val="00084843"/>
    <w:rsid w:val="000848DF"/>
    <w:rsid w:val="0008527E"/>
    <w:rsid w:val="000853DF"/>
    <w:rsid w:val="00085557"/>
    <w:rsid w:val="00085843"/>
    <w:rsid w:val="00085A83"/>
    <w:rsid w:val="00085B57"/>
    <w:rsid w:val="00085C14"/>
    <w:rsid w:val="0008600B"/>
    <w:rsid w:val="00086928"/>
    <w:rsid w:val="00086A90"/>
    <w:rsid w:val="00086FB5"/>
    <w:rsid w:val="000872DE"/>
    <w:rsid w:val="0008743A"/>
    <w:rsid w:val="0008752B"/>
    <w:rsid w:val="00087555"/>
    <w:rsid w:val="00087AB3"/>
    <w:rsid w:val="00087B43"/>
    <w:rsid w:val="00087F50"/>
    <w:rsid w:val="0009031D"/>
    <w:rsid w:val="00090B33"/>
    <w:rsid w:val="00091068"/>
    <w:rsid w:val="00091777"/>
    <w:rsid w:val="00091875"/>
    <w:rsid w:val="00092007"/>
    <w:rsid w:val="00092C15"/>
    <w:rsid w:val="0009315C"/>
    <w:rsid w:val="0009392D"/>
    <w:rsid w:val="000945A0"/>
    <w:rsid w:val="00094B2C"/>
    <w:rsid w:val="00094D3D"/>
    <w:rsid w:val="0009566D"/>
    <w:rsid w:val="0009593C"/>
    <w:rsid w:val="00095BFD"/>
    <w:rsid w:val="0009607A"/>
    <w:rsid w:val="0009609A"/>
    <w:rsid w:val="00096397"/>
    <w:rsid w:val="00096650"/>
    <w:rsid w:val="00096976"/>
    <w:rsid w:val="00097073"/>
    <w:rsid w:val="000971C0"/>
    <w:rsid w:val="000A01F4"/>
    <w:rsid w:val="000A034D"/>
    <w:rsid w:val="000A0534"/>
    <w:rsid w:val="000A05BD"/>
    <w:rsid w:val="000A1045"/>
    <w:rsid w:val="000A26C8"/>
    <w:rsid w:val="000A2919"/>
    <w:rsid w:val="000A29D0"/>
    <w:rsid w:val="000A29FD"/>
    <w:rsid w:val="000A34A4"/>
    <w:rsid w:val="000A3903"/>
    <w:rsid w:val="000A391F"/>
    <w:rsid w:val="000A3B59"/>
    <w:rsid w:val="000A3C36"/>
    <w:rsid w:val="000A3C46"/>
    <w:rsid w:val="000A3DC2"/>
    <w:rsid w:val="000A41C9"/>
    <w:rsid w:val="000A4251"/>
    <w:rsid w:val="000A45D5"/>
    <w:rsid w:val="000A460C"/>
    <w:rsid w:val="000A4EBF"/>
    <w:rsid w:val="000A5458"/>
    <w:rsid w:val="000A5BB2"/>
    <w:rsid w:val="000A5E45"/>
    <w:rsid w:val="000A610E"/>
    <w:rsid w:val="000A6F14"/>
    <w:rsid w:val="000B0684"/>
    <w:rsid w:val="000B0891"/>
    <w:rsid w:val="000B0E0D"/>
    <w:rsid w:val="000B0ED0"/>
    <w:rsid w:val="000B0FB1"/>
    <w:rsid w:val="000B1607"/>
    <w:rsid w:val="000B19E9"/>
    <w:rsid w:val="000B1BFC"/>
    <w:rsid w:val="000B1FB9"/>
    <w:rsid w:val="000B2266"/>
    <w:rsid w:val="000B295B"/>
    <w:rsid w:val="000B3170"/>
    <w:rsid w:val="000B3200"/>
    <w:rsid w:val="000B3547"/>
    <w:rsid w:val="000B3556"/>
    <w:rsid w:val="000B38DE"/>
    <w:rsid w:val="000B3D2A"/>
    <w:rsid w:val="000B4426"/>
    <w:rsid w:val="000B4534"/>
    <w:rsid w:val="000B45CF"/>
    <w:rsid w:val="000B4660"/>
    <w:rsid w:val="000B4735"/>
    <w:rsid w:val="000B4783"/>
    <w:rsid w:val="000B4CCC"/>
    <w:rsid w:val="000B5116"/>
    <w:rsid w:val="000B5172"/>
    <w:rsid w:val="000B551F"/>
    <w:rsid w:val="000B56A9"/>
    <w:rsid w:val="000B5E34"/>
    <w:rsid w:val="000B62B3"/>
    <w:rsid w:val="000B6710"/>
    <w:rsid w:val="000B6AB4"/>
    <w:rsid w:val="000B6B02"/>
    <w:rsid w:val="000B6C4C"/>
    <w:rsid w:val="000B6E0A"/>
    <w:rsid w:val="000B738E"/>
    <w:rsid w:val="000B741F"/>
    <w:rsid w:val="000B76A5"/>
    <w:rsid w:val="000B7967"/>
    <w:rsid w:val="000B7A66"/>
    <w:rsid w:val="000B7AA7"/>
    <w:rsid w:val="000B7F54"/>
    <w:rsid w:val="000C05C3"/>
    <w:rsid w:val="000C0BEB"/>
    <w:rsid w:val="000C0BF0"/>
    <w:rsid w:val="000C1793"/>
    <w:rsid w:val="000C1D8B"/>
    <w:rsid w:val="000C276B"/>
    <w:rsid w:val="000C27D7"/>
    <w:rsid w:val="000C28BC"/>
    <w:rsid w:val="000C2953"/>
    <w:rsid w:val="000C329A"/>
    <w:rsid w:val="000C32C2"/>
    <w:rsid w:val="000C3817"/>
    <w:rsid w:val="000C3A15"/>
    <w:rsid w:val="000C3D6C"/>
    <w:rsid w:val="000C3EAF"/>
    <w:rsid w:val="000C4320"/>
    <w:rsid w:val="000C482B"/>
    <w:rsid w:val="000C4E01"/>
    <w:rsid w:val="000C52CB"/>
    <w:rsid w:val="000C553E"/>
    <w:rsid w:val="000C5615"/>
    <w:rsid w:val="000C582E"/>
    <w:rsid w:val="000C5901"/>
    <w:rsid w:val="000C599F"/>
    <w:rsid w:val="000C63A9"/>
    <w:rsid w:val="000C6793"/>
    <w:rsid w:val="000C717B"/>
    <w:rsid w:val="000C71A0"/>
    <w:rsid w:val="000C73C7"/>
    <w:rsid w:val="000C755A"/>
    <w:rsid w:val="000C78E1"/>
    <w:rsid w:val="000C7A51"/>
    <w:rsid w:val="000C7F74"/>
    <w:rsid w:val="000D033B"/>
    <w:rsid w:val="000D0612"/>
    <w:rsid w:val="000D092D"/>
    <w:rsid w:val="000D0A49"/>
    <w:rsid w:val="000D0F8A"/>
    <w:rsid w:val="000D10D3"/>
    <w:rsid w:val="000D11B3"/>
    <w:rsid w:val="000D15AC"/>
    <w:rsid w:val="000D168D"/>
    <w:rsid w:val="000D17DC"/>
    <w:rsid w:val="000D1BFF"/>
    <w:rsid w:val="000D1E67"/>
    <w:rsid w:val="000D1FF7"/>
    <w:rsid w:val="000D2313"/>
    <w:rsid w:val="000D253A"/>
    <w:rsid w:val="000D2A49"/>
    <w:rsid w:val="000D2DB1"/>
    <w:rsid w:val="000D2DE1"/>
    <w:rsid w:val="000D3914"/>
    <w:rsid w:val="000D3AA8"/>
    <w:rsid w:val="000D3D06"/>
    <w:rsid w:val="000D3F4A"/>
    <w:rsid w:val="000D40CC"/>
    <w:rsid w:val="000D4129"/>
    <w:rsid w:val="000D4223"/>
    <w:rsid w:val="000D4237"/>
    <w:rsid w:val="000D43B9"/>
    <w:rsid w:val="000D4758"/>
    <w:rsid w:val="000D4ABD"/>
    <w:rsid w:val="000D577D"/>
    <w:rsid w:val="000D5896"/>
    <w:rsid w:val="000D597C"/>
    <w:rsid w:val="000D5F47"/>
    <w:rsid w:val="000D5F7E"/>
    <w:rsid w:val="000D6300"/>
    <w:rsid w:val="000D6320"/>
    <w:rsid w:val="000D678F"/>
    <w:rsid w:val="000D6A4F"/>
    <w:rsid w:val="000D7492"/>
    <w:rsid w:val="000D760D"/>
    <w:rsid w:val="000D7E04"/>
    <w:rsid w:val="000E03DF"/>
    <w:rsid w:val="000E0553"/>
    <w:rsid w:val="000E0586"/>
    <w:rsid w:val="000E09F2"/>
    <w:rsid w:val="000E0B30"/>
    <w:rsid w:val="000E0DB3"/>
    <w:rsid w:val="000E0E89"/>
    <w:rsid w:val="000E195F"/>
    <w:rsid w:val="000E2131"/>
    <w:rsid w:val="000E2540"/>
    <w:rsid w:val="000E268F"/>
    <w:rsid w:val="000E30D9"/>
    <w:rsid w:val="000E31CD"/>
    <w:rsid w:val="000E33EC"/>
    <w:rsid w:val="000E3742"/>
    <w:rsid w:val="000E3CB6"/>
    <w:rsid w:val="000E45D5"/>
    <w:rsid w:val="000E485B"/>
    <w:rsid w:val="000E4D23"/>
    <w:rsid w:val="000E4D5F"/>
    <w:rsid w:val="000E4D7A"/>
    <w:rsid w:val="000E5794"/>
    <w:rsid w:val="000E5824"/>
    <w:rsid w:val="000E5825"/>
    <w:rsid w:val="000E588C"/>
    <w:rsid w:val="000E5B97"/>
    <w:rsid w:val="000E5CC3"/>
    <w:rsid w:val="000E5F90"/>
    <w:rsid w:val="000E615E"/>
    <w:rsid w:val="000E6265"/>
    <w:rsid w:val="000E658B"/>
    <w:rsid w:val="000E6788"/>
    <w:rsid w:val="000E6C6E"/>
    <w:rsid w:val="000E6E83"/>
    <w:rsid w:val="000E72E1"/>
    <w:rsid w:val="000E74F7"/>
    <w:rsid w:val="000F0599"/>
    <w:rsid w:val="000F0EC7"/>
    <w:rsid w:val="000F1024"/>
    <w:rsid w:val="000F14F5"/>
    <w:rsid w:val="000F1EB8"/>
    <w:rsid w:val="000F2444"/>
    <w:rsid w:val="000F2B2F"/>
    <w:rsid w:val="000F3131"/>
    <w:rsid w:val="000F342A"/>
    <w:rsid w:val="000F44B6"/>
    <w:rsid w:val="000F4574"/>
    <w:rsid w:val="000F4837"/>
    <w:rsid w:val="000F4C6C"/>
    <w:rsid w:val="000F4DBF"/>
    <w:rsid w:val="000F5787"/>
    <w:rsid w:val="000F5DC5"/>
    <w:rsid w:val="000F6843"/>
    <w:rsid w:val="000F6AFB"/>
    <w:rsid w:val="000F70C0"/>
    <w:rsid w:val="000F79D5"/>
    <w:rsid w:val="000F7F44"/>
    <w:rsid w:val="001008CD"/>
    <w:rsid w:val="00100ACD"/>
    <w:rsid w:val="00100BC6"/>
    <w:rsid w:val="00100D43"/>
    <w:rsid w:val="00101456"/>
    <w:rsid w:val="00101C0B"/>
    <w:rsid w:val="00101DEE"/>
    <w:rsid w:val="00101E6E"/>
    <w:rsid w:val="0010207D"/>
    <w:rsid w:val="00102623"/>
    <w:rsid w:val="00102670"/>
    <w:rsid w:val="00103084"/>
    <w:rsid w:val="00103427"/>
    <w:rsid w:val="0010369A"/>
    <w:rsid w:val="00103AD2"/>
    <w:rsid w:val="00103EEE"/>
    <w:rsid w:val="00104398"/>
    <w:rsid w:val="001045EE"/>
    <w:rsid w:val="001047FF"/>
    <w:rsid w:val="0010596C"/>
    <w:rsid w:val="00105C11"/>
    <w:rsid w:val="00106244"/>
    <w:rsid w:val="001067FD"/>
    <w:rsid w:val="00106FB1"/>
    <w:rsid w:val="0010799D"/>
    <w:rsid w:val="00107C8E"/>
    <w:rsid w:val="00107CFC"/>
    <w:rsid w:val="0011000E"/>
    <w:rsid w:val="00110018"/>
    <w:rsid w:val="001108B8"/>
    <w:rsid w:val="00110C7A"/>
    <w:rsid w:val="00110FCE"/>
    <w:rsid w:val="00111450"/>
    <w:rsid w:val="00111B03"/>
    <w:rsid w:val="00111F1D"/>
    <w:rsid w:val="00112A6F"/>
    <w:rsid w:val="00112B72"/>
    <w:rsid w:val="00112DB4"/>
    <w:rsid w:val="001131BA"/>
    <w:rsid w:val="0011380E"/>
    <w:rsid w:val="001138ED"/>
    <w:rsid w:val="0011422F"/>
    <w:rsid w:val="001143EC"/>
    <w:rsid w:val="00114621"/>
    <w:rsid w:val="00114B90"/>
    <w:rsid w:val="00114DAD"/>
    <w:rsid w:val="001151AF"/>
    <w:rsid w:val="00115C74"/>
    <w:rsid w:val="00115E33"/>
    <w:rsid w:val="00115E5B"/>
    <w:rsid w:val="001163F5"/>
    <w:rsid w:val="001164B3"/>
    <w:rsid w:val="00116535"/>
    <w:rsid w:val="001167C3"/>
    <w:rsid w:val="0011698D"/>
    <w:rsid w:val="00116A6F"/>
    <w:rsid w:val="00117EA7"/>
    <w:rsid w:val="00117F20"/>
    <w:rsid w:val="001208A4"/>
    <w:rsid w:val="00120A04"/>
    <w:rsid w:val="00120D0C"/>
    <w:rsid w:val="0012165C"/>
    <w:rsid w:val="001218B3"/>
    <w:rsid w:val="00121A75"/>
    <w:rsid w:val="00121F3D"/>
    <w:rsid w:val="0012220C"/>
    <w:rsid w:val="0012223C"/>
    <w:rsid w:val="0012231E"/>
    <w:rsid w:val="00122518"/>
    <w:rsid w:val="0012290D"/>
    <w:rsid w:val="00122C74"/>
    <w:rsid w:val="00122D8C"/>
    <w:rsid w:val="0012308C"/>
    <w:rsid w:val="001233AA"/>
    <w:rsid w:val="001234A3"/>
    <w:rsid w:val="00123910"/>
    <w:rsid w:val="00123BF3"/>
    <w:rsid w:val="00123D9A"/>
    <w:rsid w:val="00123E3D"/>
    <w:rsid w:val="00123FA3"/>
    <w:rsid w:val="00124276"/>
    <w:rsid w:val="001242FB"/>
    <w:rsid w:val="001245EE"/>
    <w:rsid w:val="00124A96"/>
    <w:rsid w:val="00124FE4"/>
    <w:rsid w:val="0012516C"/>
    <w:rsid w:val="001259F1"/>
    <w:rsid w:val="00125C1B"/>
    <w:rsid w:val="00125F0C"/>
    <w:rsid w:val="00126367"/>
    <w:rsid w:val="00126528"/>
    <w:rsid w:val="001265B4"/>
    <w:rsid w:val="00126635"/>
    <w:rsid w:val="00126667"/>
    <w:rsid w:val="00126A2C"/>
    <w:rsid w:val="00127770"/>
    <w:rsid w:val="001279F8"/>
    <w:rsid w:val="00127C0A"/>
    <w:rsid w:val="00127C13"/>
    <w:rsid w:val="00127C71"/>
    <w:rsid w:val="00127E49"/>
    <w:rsid w:val="00130343"/>
    <w:rsid w:val="00130CBA"/>
    <w:rsid w:val="001310BE"/>
    <w:rsid w:val="001310CA"/>
    <w:rsid w:val="0013238D"/>
    <w:rsid w:val="00132622"/>
    <w:rsid w:val="001327A3"/>
    <w:rsid w:val="00132E08"/>
    <w:rsid w:val="00132E51"/>
    <w:rsid w:val="00132FC8"/>
    <w:rsid w:val="001330F2"/>
    <w:rsid w:val="001334D6"/>
    <w:rsid w:val="00133692"/>
    <w:rsid w:val="00133DFE"/>
    <w:rsid w:val="0013401A"/>
    <w:rsid w:val="001349EC"/>
    <w:rsid w:val="00134D40"/>
    <w:rsid w:val="00134DDF"/>
    <w:rsid w:val="00134F17"/>
    <w:rsid w:val="001356D3"/>
    <w:rsid w:val="0013585D"/>
    <w:rsid w:val="00135EAD"/>
    <w:rsid w:val="00136523"/>
    <w:rsid w:val="001365EA"/>
    <w:rsid w:val="00136C6C"/>
    <w:rsid w:val="00136FE7"/>
    <w:rsid w:val="00137174"/>
    <w:rsid w:val="001371B0"/>
    <w:rsid w:val="00137345"/>
    <w:rsid w:val="001375A0"/>
    <w:rsid w:val="001379BD"/>
    <w:rsid w:val="00137DF3"/>
    <w:rsid w:val="0014023B"/>
    <w:rsid w:val="00140EF9"/>
    <w:rsid w:val="001414AB"/>
    <w:rsid w:val="0014258A"/>
    <w:rsid w:val="0014282A"/>
    <w:rsid w:val="00142ECB"/>
    <w:rsid w:val="001431F1"/>
    <w:rsid w:val="0014355F"/>
    <w:rsid w:val="0014357B"/>
    <w:rsid w:val="00143B23"/>
    <w:rsid w:val="0014420B"/>
    <w:rsid w:val="001443DE"/>
    <w:rsid w:val="001443FE"/>
    <w:rsid w:val="00144583"/>
    <w:rsid w:val="001445F2"/>
    <w:rsid w:val="0014463B"/>
    <w:rsid w:val="0014495C"/>
    <w:rsid w:val="00144A0B"/>
    <w:rsid w:val="00144B37"/>
    <w:rsid w:val="00144D1B"/>
    <w:rsid w:val="00144D3C"/>
    <w:rsid w:val="00144E7B"/>
    <w:rsid w:val="00144FD8"/>
    <w:rsid w:val="00145F23"/>
    <w:rsid w:val="0014684C"/>
    <w:rsid w:val="00146CAC"/>
    <w:rsid w:val="00146DDB"/>
    <w:rsid w:val="00146EA3"/>
    <w:rsid w:val="00147094"/>
    <w:rsid w:val="001470E2"/>
    <w:rsid w:val="0014735A"/>
    <w:rsid w:val="0014770F"/>
    <w:rsid w:val="00147873"/>
    <w:rsid w:val="00147AE4"/>
    <w:rsid w:val="00147EE0"/>
    <w:rsid w:val="00151024"/>
    <w:rsid w:val="00151941"/>
    <w:rsid w:val="00151BF3"/>
    <w:rsid w:val="0015210D"/>
    <w:rsid w:val="0015237F"/>
    <w:rsid w:val="00152809"/>
    <w:rsid w:val="00152A06"/>
    <w:rsid w:val="00152C43"/>
    <w:rsid w:val="00152E31"/>
    <w:rsid w:val="0015374F"/>
    <w:rsid w:val="001537B7"/>
    <w:rsid w:val="001539FD"/>
    <w:rsid w:val="00153DFF"/>
    <w:rsid w:val="00155150"/>
    <w:rsid w:val="001558FB"/>
    <w:rsid w:val="00155C81"/>
    <w:rsid w:val="00156028"/>
    <w:rsid w:val="001563EC"/>
    <w:rsid w:val="00156CE5"/>
    <w:rsid w:val="00156EFA"/>
    <w:rsid w:val="001572D9"/>
    <w:rsid w:val="00157BC3"/>
    <w:rsid w:val="00157BC9"/>
    <w:rsid w:val="00160359"/>
    <w:rsid w:val="00161182"/>
    <w:rsid w:val="0016137F"/>
    <w:rsid w:val="00161E7D"/>
    <w:rsid w:val="00161F37"/>
    <w:rsid w:val="001623ED"/>
    <w:rsid w:val="001624D2"/>
    <w:rsid w:val="0016272E"/>
    <w:rsid w:val="0016274E"/>
    <w:rsid w:val="00162A75"/>
    <w:rsid w:val="00162B47"/>
    <w:rsid w:val="00163086"/>
    <w:rsid w:val="00163759"/>
    <w:rsid w:val="00163B3F"/>
    <w:rsid w:val="00163C54"/>
    <w:rsid w:val="00163F17"/>
    <w:rsid w:val="001640F4"/>
    <w:rsid w:val="00164324"/>
    <w:rsid w:val="001645A4"/>
    <w:rsid w:val="0016469C"/>
    <w:rsid w:val="00164BCE"/>
    <w:rsid w:val="00165197"/>
    <w:rsid w:val="001653A0"/>
    <w:rsid w:val="001655EA"/>
    <w:rsid w:val="0016580B"/>
    <w:rsid w:val="001659C3"/>
    <w:rsid w:val="00165F74"/>
    <w:rsid w:val="0016604F"/>
    <w:rsid w:val="00166561"/>
    <w:rsid w:val="001665DD"/>
    <w:rsid w:val="00166F99"/>
    <w:rsid w:val="00166FE5"/>
    <w:rsid w:val="001671AD"/>
    <w:rsid w:val="001675B8"/>
    <w:rsid w:val="001679F6"/>
    <w:rsid w:val="00167CEE"/>
    <w:rsid w:val="00167E54"/>
    <w:rsid w:val="00167E5C"/>
    <w:rsid w:val="001703AD"/>
    <w:rsid w:val="001703B8"/>
    <w:rsid w:val="00170528"/>
    <w:rsid w:val="0017078A"/>
    <w:rsid w:val="00170C52"/>
    <w:rsid w:val="00170F6E"/>
    <w:rsid w:val="00171482"/>
    <w:rsid w:val="0017157D"/>
    <w:rsid w:val="001717F3"/>
    <w:rsid w:val="00171A63"/>
    <w:rsid w:val="00171CE1"/>
    <w:rsid w:val="00171F42"/>
    <w:rsid w:val="001721D1"/>
    <w:rsid w:val="00172AEE"/>
    <w:rsid w:val="00172DF1"/>
    <w:rsid w:val="001731B5"/>
    <w:rsid w:val="001739E5"/>
    <w:rsid w:val="00174312"/>
    <w:rsid w:val="00174B35"/>
    <w:rsid w:val="00174D2D"/>
    <w:rsid w:val="00174FEC"/>
    <w:rsid w:val="001752D0"/>
    <w:rsid w:val="00175523"/>
    <w:rsid w:val="00175532"/>
    <w:rsid w:val="001755FB"/>
    <w:rsid w:val="0017564E"/>
    <w:rsid w:val="00175675"/>
    <w:rsid w:val="00175B1D"/>
    <w:rsid w:val="00175D92"/>
    <w:rsid w:val="00176137"/>
    <w:rsid w:val="00176510"/>
    <w:rsid w:val="001766BD"/>
    <w:rsid w:val="00177096"/>
    <w:rsid w:val="001776B4"/>
    <w:rsid w:val="0017785D"/>
    <w:rsid w:val="00177CB9"/>
    <w:rsid w:val="0018065A"/>
    <w:rsid w:val="00180736"/>
    <w:rsid w:val="00180891"/>
    <w:rsid w:val="00180B83"/>
    <w:rsid w:val="00181569"/>
    <w:rsid w:val="0018171C"/>
    <w:rsid w:val="00181D43"/>
    <w:rsid w:val="00182467"/>
    <w:rsid w:val="0018246C"/>
    <w:rsid w:val="001828B8"/>
    <w:rsid w:val="00182A44"/>
    <w:rsid w:val="001830EA"/>
    <w:rsid w:val="00183598"/>
    <w:rsid w:val="001836C5"/>
    <w:rsid w:val="00183A1E"/>
    <w:rsid w:val="00183B83"/>
    <w:rsid w:val="00183D36"/>
    <w:rsid w:val="00184002"/>
    <w:rsid w:val="00184DAB"/>
    <w:rsid w:val="0018500C"/>
    <w:rsid w:val="001853A7"/>
    <w:rsid w:val="00185483"/>
    <w:rsid w:val="00185952"/>
    <w:rsid w:val="00185BA9"/>
    <w:rsid w:val="00185F3E"/>
    <w:rsid w:val="00186062"/>
    <w:rsid w:val="00186792"/>
    <w:rsid w:val="00186DE0"/>
    <w:rsid w:val="00186F78"/>
    <w:rsid w:val="00187170"/>
    <w:rsid w:val="001872B6"/>
    <w:rsid w:val="00187516"/>
    <w:rsid w:val="00187AD9"/>
    <w:rsid w:val="00187B62"/>
    <w:rsid w:val="001901E1"/>
    <w:rsid w:val="001903C1"/>
    <w:rsid w:val="00190750"/>
    <w:rsid w:val="00190BF0"/>
    <w:rsid w:val="00191142"/>
    <w:rsid w:val="00191C90"/>
    <w:rsid w:val="00191E50"/>
    <w:rsid w:val="00191E81"/>
    <w:rsid w:val="00192438"/>
    <w:rsid w:val="00192625"/>
    <w:rsid w:val="001928D9"/>
    <w:rsid w:val="00192CC6"/>
    <w:rsid w:val="00192DC7"/>
    <w:rsid w:val="00192DEA"/>
    <w:rsid w:val="00193D86"/>
    <w:rsid w:val="0019455F"/>
    <w:rsid w:val="00194FED"/>
    <w:rsid w:val="00195106"/>
    <w:rsid w:val="001956F1"/>
    <w:rsid w:val="00195E0B"/>
    <w:rsid w:val="00196016"/>
    <w:rsid w:val="00196042"/>
    <w:rsid w:val="001961FD"/>
    <w:rsid w:val="001963EF"/>
    <w:rsid w:val="001964B7"/>
    <w:rsid w:val="0019672D"/>
    <w:rsid w:val="001968C3"/>
    <w:rsid w:val="0019699B"/>
    <w:rsid w:val="00196DCB"/>
    <w:rsid w:val="0019725D"/>
    <w:rsid w:val="00197993"/>
    <w:rsid w:val="001979BF"/>
    <w:rsid w:val="00197B32"/>
    <w:rsid w:val="001A00C1"/>
    <w:rsid w:val="001A06FE"/>
    <w:rsid w:val="001A08E7"/>
    <w:rsid w:val="001A1202"/>
    <w:rsid w:val="001A155E"/>
    <w:rsid w:val="001A1812"/>
    <w:rsid w:val="001A1842"/>
    <w:rsid w:val="001A1A38"/>
    <w:rsid w:val="001A26C0"/>
    <w:rsid w:val="001A2EF4"/>
    <w:rsid w:val="001A3545"/>
    <w:rsid w:val="001A3730"/>
    <w:rsid w:val="001A3997"/>
    <w:rsid w:val="001A3AF9"/>
    <w:rsid w:val="001A3C40"/>
    <w:rsid w:val="001A3F48"/>
    <w:rsid w:val="001A4A59"/>
    <w:rsid w:val="001A4B51"/>
    <w:rsid w:val="001A5007"/>
    <w:rsid w:val="001A506B"/>
    <w:rsid w:val="001A53FC"/>
    <w:rsid w:val="001A555F"/>
    <w:rsid w:val="001A56EF"/>
    <w:rsid w:val="001A5A40"/>
    <w:rsid w:val="001A5E7B"/>
    <w:rsid w:val="001A621D"/>
    <w:rsid w:val="001A643F"/>
    <w:rsid w:val="001A6581"/>
    <w:rsid w:val="001A6BE8"/>
    <w:rsid w:val="001A6C3D"/>
    <w:rsid w:val="001A6FD6"/>
    <w:rsid w:val="001A7072"/>
    <w:rsid w:val="001A726D"/>
    <w:rsid w:val="001A7509"/>
    <w:rsid w:val="001A7A5A"/>
    <w:rsid w:val="001A7B38"/>
    <w:rsid w:val="001A7FDA"/>
    <w:rsid w:val="001B1066"/>
    <w:rsid w:val="001B1071"/>
    <w:rsid w:val="001B11C2"/>
    <w:rsid w:val="001B121B"/>
    <w:rsid w:val="001B1604"/>
    <w:rsid w:val="001B1AE1"/>
    <w:rsid w:val="001B1AF0"/>
    <w:rsid w:val="001B1B47"/>
    <w:rsid w:val="001B1FF2"/>
    <w:rsid w:val="001B2143"/>
    <w:rsid w:val="001B2982"/>
    <w:rsid w:val="001B2A18"/>
    <w:rsid w:val="001B2ABC"/>
    <w:rsid w:val="001B2C5F"/>
    <w:rsid w:val="001B3309"/>
    <w:rsid w:val="001B3981"/>
    <w:rsid w:val="001B3A88"/>
    <w:rsid w:val="001B3CA3"/>
    <w:rsid w:val="001B3F9A"/>
    <w:rsid w:val="001B4201"/>
    <w:rsid w:val="001B42E5"/>
    <w:rsid w:val="001B42F1"/>
    <w:rsid w:val="001B4BC4"/>
    <w:rsid w:val="001B4CED"/>
    <w:rsid w:val="001B4EC2"/>
    <w:rsid w:val="001B506E"/>
    <w:rsid w:val="001B50BE"/>
    <w:rsid w:val="001B54A9"/>
    <w:rsid w:val="001B5516"/>
    <w:rsid w:val="001B5667"/>
    <w:rsid w:val="001B568A"/>
    <w:rsid w:val="001B5CA2"/>
    <w:rsid w:val="001B6036"/>
    <w:rsid w:val="001B6265"/>
    <w:rsid w:val="001B6A80"/>
    <w:rsid w:val="001B6BE0"/>
    <w:rsid w:val="001B6BFF"/>
    <w:rsid w:val="001B6D35"/>
    <w:rsid w:val="001B71C5"/>
    <w:rsid w:val="001B7201"/>
    <w:rsid w:val="001B7E53"/>
    <w:rsid w:val="001C12EB"/>
    <w:rsid w:val="001C15A1"/>
    <w:rsid w:val="001C1AD0"/>
    <w:rsid w:val="001C22D3"/>
    <w:rsid w:val="001C2482"/>
    <w:rsid w:val="001C2597"/>
    <w:rsid w:val="001C26DF"/>
    <w:rsid w:val="001C2E72"/>
    <w:rsid w:val="001C335C"/>
    <w:rsid w:val="001C35EF"/>
    <w:rsid w:val="001C36FD"/>
    <w:rsid w:val="001C38D2"/>
    <w:rsid w:val="001C3CE4"/>
    <w:rsid w:val="001C4934"/>
    <w:rsid w:val="001C4A4D"/>
    <w:rsid w:val="001C4C47"/>
    <w:rsid w:val="001C4D05"/>
    <w:rsid w:val="001C4E30"/>
    <w:rsid w:val="001C524C"/>
    <w:rsid w:val="001C52E1"/>
    <w:rsid w:val="001C5ADB"/>
    <w:rsid w:val="001C62DA"/>
    <w:rsid w:val="001C664A"/>
    <w:rsid w:val="001C6B15"/>
    <w:rsid w:val="001C6F45"/>
    <w:rsid w:val="001C76FC"/>
    <w:rsid w:val="001C7EAB"/>
    <w:rsid w:val="001D0247"/>
    <w:rsid w:val="001D0282"/>
    <w:rsid w:val="001D041F"/>
    <w:rsid w:val="001D05CA"/>
    <w:rsid w:val="001D0C28"/>
    <w:rsid w:val="001D0C7D"/>
    <w:rsid w:val="001D1C2C"/>
    <w:rsid w:val="001D1C40"/>
    <w:rsid w:val="001D1C63"/>
    <w:rsid w:val="001D25CC"/>
    <w:rsid w:val="001D27B1"/>
    <w:rsid w:val="001D2803"/>
    <w:rsid w:val="001D2A65"/>
    <w:rsid w:val="001D2E9B"/>
    <w:rsid w:val="001D301A"/>
    <w:rsid w:val="001D3049"/>
    <w:rsid w:val="001D397E"/>
    <w:rsid w:val="001D3BBB"/>
    <w:rsid w:val="001D3F56"/>
    <w:rsid w:val="001D41EA"/>
    <w:rsid w:val="001D44BB"/>
    <w:rsid w:val="001D4AC7"/>
    <w:rsid w:val="001D4E3E"/>
    <w:rsid w:val="001D54D4"/>
    <w:rsid w:val="001D5659"/>
    <w:rsid w:val="001D6805"/>
    <w:rsid w:val="001D6BDE"/>
    <w:rsid w:val="001D7C91"/>
    <w:rsid w:val="001D7DF6"/>
    <w:rsid w:val="001D7EEC"/>
    <w:rsid w:val="001E05A9"/>
    <w:rsid w:val="001E08BA"/>
    <w:rsid w:val="001E11E3"/>
    <w:rsid w:val="001E1548"/>
    <w:rsid w:val="001E16CB"/>
    <w:rsid w:val="001E31DC"/>
    <w:rsid w:val="001E35E7"/>
    <w:rsid w:val="001E3880"/>
    <w:rsid w:val="001E3E44"/>
    <w:rsid w:val="001E44E0"/>
    <w:rsid w:val="001E4951"/>
    <w:rsid w:val="001E4B25"/>
    <w:rsid w:val="001E4D1F"/>
    <w:rsid w:val="001E4FB0"/>
    <w:rsid w:val="001E54EC"/>
    <w:rsid w:val="001E5633"/>
    <w:rsid w:val="001E570C"/>
    <w:rsid w:val="001E5AC2"/>
    <w:rsid w:val="001E62A7"/>
    <w:rsid w:val="001E62E5"/>
    <w:rsid w:val="001E6375"/>
    <w:rsid w:val="001E6395"/>
    <w:rsid w:val="001E63B0"/>
    <w:rsid w:val="001E662F"/>
    <w:rsid w:val="001E6632"/>
    <w:rsid w:val="001E68B0"/>
    <w:rsid w:val="001E6BC4"/>
    <w:rsid w:val="001E71FE"/>
    <w:rsid w:val="001E72AA"/>
    <w:rsid w:val="001E78FF"/>
    <w:rsid w:val="001E7DED"/>
    <w:rsid w:val="001F0355"/>
    <w:rsid w:val="001F0403"/>
    <w:rsid w:val="001F0A09"/>
    <w:rsid w:val="001F0C92"/>
    <w:rsid w:val="001F11AD"/>
    <w:rsid w:val="001F11E9"/>
    <w:rsid w:val="001F17C9"/>
    <w:rsid w:val="001F1A3C"/>
    <w:rsid w:val="001F2281"/>
    <w:rsid w:val="001F2887"/>
    <w:rsid w:val="001F29E8"/>
    <w:rsid w:val="001F2A7B"/>
    <w:rsid w:val="001F370A"/>
    <w:rsid w:val="001F394B"/>
    <w:rsid w:val="001F3975"/>
    <w:rsid w:val="001F3D41"/>
    <w:rsid w:val="001F3D94"/>
    <w:rsid w:val="001F4115"/>
    <w:rsid w:val="001F424B"/>
    <w:rsid w:val="001F45E3"/>
    <w:rsid w:val="001F48A8"/>
    <w:rsid w:val="001F4AD7"/>
    <w:rsid w:val="001F5658"/>
    <w:rsid w:val="001F5D4A"/>
    <w:rsid w:val="001F5D88"/>
    <w:rsid w:val="001F66B2"/>
    <w:rsid w:val="001F6947"/>
    <w:rsid w:val="001F767D"/>
    <w:rsid w:val="00200252"/>
    <w:rsid w:val="0020094C"/>
    <w:rsid w:val="00200B13"/>
    <w:rsid w:val="00200C74"/>
    <w:rsid w:val="00201916"/>
    <w:rsid w:val="00201994"/>
    <w:rsid w:val="00201AA1"/>
    <w:rsid w:val="00201CD4"/>
    <w:rsid w:val="00201E96"/>
    <w:rsid w:val="00201FA5"/>
    <w:rsid w:val="00202253"/>
    <w:rsid w:val="00202DCB"/>
    <w:rsid w:val="00202DD2"/>
    <w:rsid w:val="0020383C"/>
    <w:rsid w:val="00203CB6"/>
    <w:rsid w:val="00203DD9"/>
    <w:rsid w:val="00204109"/>
    <w:rsid w:val="002042CA"/>
    <w:rsid w:val="002044D6"/>
    <w:rsid w:val="00204D03"/>
    <w:rsid w:val="00204E72"/>
    <w:rsid w:val="00204FA2"/>
    <w:rsid w:val="0020554E"/>
    <w:rsid w:val="00205FAF"/>
    <w:rsid w:val="0020602B"/>
    <w:rsid w:val="0020637B"/>
    <w:rsid w:val="002063C8"/>
    <w:rsid w:val="00206D0A"/>
    <w:rsid w:val="00207861"/>
    <w:rsid w:val="0020795D"/>
    <w:rsid w:val="00207F55"/>
    <w:rsid w:val="00207F84"/>
    <w:rsid w:val="00210529"/>
    <w:rsid w:val="00210571"/>
    <w:rsid w:val="002108BB"/>
    <w:rsid w:val="0021098E"/>
    <w:rsid w:val="00210C7C"/>
    <w:rsid w:val="00210D02"/>
    <w:rsid w:val="00210EE2"/>
    <w:rsid w:val="00210F9E"/>
    <w:rsid w:val="00211BD8"/>
    <w:rsid w:val="00211C57"/>
    <w:rsid w:val="00211D7D"/>
    <w:rsid w:val="00212030"/>
    <w:rsid w:val="00212334"/>
    <w:rsid w:val="00212839"/>
    <w:rsid w:val="00212D1A"/>
    <w:rsid w:val="00212DD7"/>
    <w:rsid w:val="00213DAA"/>
    <w:rsid w:val="00213E11"/>
    <w:rsid w:val="00214034"/>
    <w:rsid w:val="002141E6"/>
    <w:rsid w:val="002141F5"/>
    <w:rsid w:val="00215124"/>
    <w:rsid w:val="00215216"/>
    <w:rsid w:val="0021526F"/>
    <w:rsid w:val="002156EB"/>
    <w:rsid w:val="00215C6C"/>
    <w:rsid w:val="00215F19"/>
    <w:rsid w:val="0021604E"/>
    <w:rsid w:val="00216111"/>
    <w:rsid w:val="0021645D"/>
    <w:rsid w:val="002164F1"/>
    <w:rsid w:val="00216D03"/>
    <w:rsid w:val="00216DCF"/>
    <w:rsid w:val="002179B7"/>
    <w:rsid w:val="00217BB9"/>
    <w:rsid w:val="00217FE4"/>
    <w:rsid w:val="00220149"/>
    <w:rsid w:val="002203CA"/>
    <w:rsid w:val="00220ABA"/>
    <w:rsid w:val="00221A6A"/>
    <w:rsid w:val="00221B9C"/>
    <w:rsid w:val="00221C14"/>
    <w:rsid w:val="00221FE5"/>
    <w:rsid w:val="00221FE8"/>
    <w:rsid w:val="0022217C"/>
    <w:rsid w:val="002224BE"/>
    <w:rsid w:val="002225B2"/>
    <w:rsid w:val="00222BDD"/>
    <w:rsid w:val="0022313D"/>
    <w:rsid w:val="00223239"/>
    <w:rsid w:val="002233CA"/>
    <w:rsid w:val="0022384C"/>
    <w:rsid w:val="00223BF7"/>
    <w:rsid w:val="00223D77"/>
    <w:rsid w:val="00224553"/>
    <w:rsid w:val="00224B42"/>
    <w:rsid w:val="00224D4C"/>
    <w:rsid w:val="00224DE9"/>
    <w:rsid w:val="00224FEC"/>
    <w:rsid w:val="00225281"/>
    <w:rsid w:val="00225B01"/>
    <w:rsid w:val="00225C17"/>
    <w:rsid w:val="00225F29"/>
    <w:rsid w:val="00225F2C"/>
    <w:rsid w:val="0022643E"/>
    <w:rsid w:val="002266E0"/>
    <w:rsid w:val="0022695D"/>
    <w:rsid w:val="00226D04"/>
    <w:rsid w:val="00226D50"/>
    <w:rsid w:val="00227146"/>
    <w:rsid w:val="00227389"/>
    <w:rsid w:val="00227773"/>
    <w:rsid w:val="00227EB1"/>
    <w:rsid w:val="00230777"/>
    <w:rsid w:val="00230805"/>
    <w:rsid w:val="00230EA5"/>
    <w:rsid w:val="002310CC"/>
    <w:rsid w:val="00231556"/>
    <w:rsid w:val="00231A91"/>
    <w:rsid w:val="00232064"/>
    <w:rsid w:val="00232D3D"/>
    <w:rsid w:val="0023356C"/>
    <w:rsid w:val="00233645"/>
    <w:rsid w:val="00233DE7"/>
    <w:rsid w:val="002345F7"/>
    <w:rsid w:val="002346B8"/>
    <w:rsid w:val="00234E2E"/>
    <w:rsid w:val="002350D5"/>
    <w:rsid w:val="00235177"/>
    <w:rsid w:val="00235918"/>
    <w:rsid w:val="00235B75"/>
    <w:rsid w:val="0023634B"/>
    <w:rsid w:val="002363BA"/>
    <w:rsid w:val="00236462"/>
    <w:rsid w:val="00236575"/>
    <w:rsid w:val="002366CE"/>
    <w:rsid w:val="00236C86"/>
    <w:rsid w:val="00236FCE"/>
    <w:rsid w:val="002370D7"/>
    <w:rsid w:val="0023714E"/>
    <w:rsid w:val="00237596"/>
    <w:rsid w:val="0023772D"/>
    <w:rsid w:val="00237AB4"/>
    <w:rsid w:val="00237B60"/>
    <w:rsid w:val="002404C9"/>
    <w:rsid w:val="00240CC5"/>
    <w:rsid w:val="00240DE8"/>
    <w:rsid w:val="00240E02"/>
    <w:rsid w:val="00240F36"/>
    <w:rsid w:val="00240FDB"/>
    <w:rsid w:val="002410DD"/>
    <w:rsid w:val="00241811"/>
    <w:rsid w:val="00241CE6"/>
    <w:rsid w:val="00241D36"/>
    <w:rsid w:val="00242179"/>
    <w:rsid w:val="0024256E"/>
    <w:rsid w:val="00242E0D"/>
    <w:rsid w:val="00243DDD"/>
    <w:rsid w:val="0024456D"/>
    <w:rsid w:val="00244664"/>
    <w:rsid w:val="00244C01"/>
    <w:rsid w:val="00245158"/>
    <w:rsid w:val="0024541A"/>
    <w:rsid w:val="0024596C"/>
    <w:rsid w:val="00245DCF"/>
    <w:rsid w:val="00245F46"/>
    <w:rsid w:val="00245FB2"/>
    <w:rsid w:val="00246960"/>
    <w:rsid w:val="00246CF6"/>
    <w:rsid w:val="00246FE4"/>
    <w:rsid w:val="00247888"/>
    <w:rsid w:val="00247A36"/>
    <w:rsid w:val="00247CDE"/>
    <w:rsid w:val="00247FB1"/>
    <w:rsid w:val="00250272"/>
    <w:rsid w:val="00250ED4"/>
    <w:rsid w:val="00250F90"/>
    <w:rsid w:val="002511BD"/>
    <w:rsid w:val="00251A7E"/>
    <w:rsid w:val="00251DC2"/>
    <w:rsid w:val="002521AB"/>
    <w:rsid w:val="00252508"/>
    <w:rsid w:val="002525E1"/>
    <w:rsid w:val="002529B3"/>
    <w:rsid w:val="002530E0"/>
    <w:rsid w:val="00253166"/>
    <w:rsid w:val="0025316F"/>
    <w:rsid w:val="00253BAD"/>
    <w:rsid w:val="00253E7C"/>
    <w:rsid w:val="00253F4B"/>
    <w:rsid w:val="002552F4"/>
    <w:rsid w:val="00255630"/>
    <w:rsid w:val="00255A06"/>
    <w:rsid w:val="00255B03"/>
    <w:rsid w:val="00255B30"/>
    <w:rsid w:val="00255FC9"/>
    <w:rsid w:val="00256195"/>
    <w:rsid w:val="002562A7"/>
    <w:rsid w:val="0025646A"/>
    <w:rsid w:val="00256C92"/>
    <w:rsid w:val="00256DD8"/>
    <w:rsid w:val="0025728B"/>
    <w:rsid w:val="002600B6"/>
    <w:rsid w:val="00260504"/>
    <w:rsid w:val="002605D0"/>
    <w:rsid w:val="00261099"/>
    <w:rsid w:val="00261280"/>
    <w:rsid w:val="00261322"/>
    <w:rsid w:val="00261560"/>
    <w:rsid w:val="0026188E"/>
    <w:rsid w:val="002619A7"/>
    <w:rsid w:val="00261C29"/>
    <w:rsid w:val="00262F17"/>
    <w:rsid w:val="0026353D"/>
    <w:rsid w:val="002635BB"/>
    <w:rsid w:val="0026371F"/>
    <w:rsid w:val="002639A2"/>
    <w:rsid w:val="00263A24"/>
    <w:rsid w:val="00263BA6"/>
    <w:rsid w:val="002640ED"/>
    <w:rsid w:val="0026410F"/>
    <w:rsid w:val="00264D23"/>
    <w:rsid w:val="00264E9F"/>
    <w:rsid w:val="00264F52"/>
    <w:rsid w:val="00265408"/>
    <w:rsid w:val="002656CF"/>
    <w:rsid w:val="00265E1F"/>
    <w:rsid w:val="00265F4F"/>
    <w:rsid w:val="00266184"/>
    <w:rsid w:val="00266D1C"/>
    <w:rsid w:val="00266E6A"/>
    <w:rsid w:val="00266F32"/>
    <w:rsid w:val="00266F7E"/>
    <w:rsid w:val="00266F86"/>
    <w:rsid w:val="002675CB"/>
    <w:rsid w:val="00267D01"/>
    <w:rsid w:val="002703FD"/>
    <w:rsid w:val="00270E9A"/>
    <w:rsid w:val="0027100F"/>
    <w:rsid w:val="0027167C"/>
    <w:rsid w:val="00271D17"/>
    <w:rsid w:val="00271FF3"/>
    <w:rsid w:val="00272510"/>
    <w:rsid w:val="0027257C"/>
    <w:rsid w:val="00272D91"/>
    <w:rsid w:val="00272E0C"/>
    <w:rsid w:val="00273072"/>
    <w:rsid w:val="0027346A"/>
    <w:rsid w:val="002737FA"/>
    <w:rsid w:val="0027381A"/>
    <w:rsid w:val="00273BA9"/>
    <w:rsid w:val="00273CCD"/>
    <w:rsid w:val="0027493E"/>
    <w:rsid w:val="00274C16"/>
    <w:rsid w:val="002750D0"/>
    <w:rsid w:val="00275137"/>
    <w:rsid w:val="00275883"/>
    <w:rsid w:val="00275FB0"/>
    <w:rsid w:val="00276139"/>
    <w:rsid w:val="0027616D"/>
    <w:rsid w:val="00276629"/>
    <w:rsid w:val="00276728"/>
    <w:rsid w:val="00276DB9"/>
    <w:rsid w:val="00276F11"/>
    <w:rsid w:val="002772FF"/>
    <w:rsid w:val="0027730E"/>
    <w:rsid w:val="00277414"/>
    <w:rsid w:val="0027772E"/>
    <w:rsid w:val="00277AC2"/>
    <w:rsid w:val="00280129"/>
    <w:rsid w:val="00280443"/>
    <w:rsid w:val="00280744"/>
    <w:rsid w:val="0028088D"/>
    <w:rsid w:val="00280B53"/>
    <w:rsid w:val="00280C2E"/>
    <w:rsid w:val="0028105E"/>
    <w:rsid w:val="00281AFE"/>
    <w:rsid w:val="00281B6F"/>
    <w:rsid w:val="002825E5"/>
    <w:rsid w:val="00282F51"/>
    <w:rsid w:val="00283A83"/>
    <w:rsid w:val="00283C47"/>
    <w:rsid w:val="00283FFB"/>
    <w:rsid w:val="002843A4"/>
    <w:rsid w:val="002845FC"/>
    <w:rsid w:val="00284D21"/>
    <w:rsid w:val="0028521D"/>
    <w:rsid w:val="00286471"/>
    <w:rsid w:val="00286619"/>
    <w:rsid w:val="00286990"/>
    <w:rsid w:val="00286AA0"/>
    <w:rsid w:val="00286B34"/>
    <w:rsid w:val="00286D10"/>
    <w:rsid w:val="00286E24"/>
    <w:rsid w:val="002873C7"/>
    <w:rsid w:val="0028741C"/>
    <w:rsid w:val="00287845"/>
    <w:rsid w:val="0028793E"/>
    <w:rsid w:val="00287AF1"/>
    <w:rsid w:val="00287F0C"/>
    <w:rsid w:val="002904B4"/>
    <w:rsid w:val="002904CC"/>
    <w:rsid w:val="002904DA"/>
    <w:rsid w:val="002909C7"/>
    <w:rsid w:val="00290C99"/>
    <w:rsid w:val="00290D40"/>
    <w:rsid w:val="0029168E"/>
    <w:rsid w:val="00291A43"/>
    <w:rsid w:val="0029207E"/>
    <w:rsid w:val="002924C7"/>
    <w:rsid w:val="00292CA1"/>
    <w:rsid w:val="00293046"/>
    <w:rsid w:val="002937B6"/>
    <w:rsid w:val="00293DF2"/>
    <w:rsid w:val="00294132"/>
    <w:rsid w:val="0029447A"/>
    <w:rsid w:val="002944F8"/>
    <w:rsid w:val="00294AFE"/>
    <w:rsid w:val="00294C37"/>
    <w:rsid w:val="00294E78"/>
    <w:rsid w:val="00295C12"/>
    <w:rsid w:val="002965CC"/>
    <w:rsid w:val="00296972"/>
    <w:rsid w:val="00296B3D"/>
    <w:rsid w:val="00296E3E"/>
    <w:rsid w:val="00297153"/>
    <w:rsid w:val="00297166"/>
    <w:rsid w:val="00297203"/>
    <w:rsid w:val="002972DB"/>
    <w:rsid w:val="0029767A"/>
    <w:rsid w:val="00297A4D"/>
    <w:rsid w:val="002A066B"/>
    <w:rsid w:val="002A0B55"/>
    <w:rsid w:val="002A0D7D"/>
    <w:rsid w:val="002A0F4F"/>
    <w:rsid w:val="002A0F80"/>
    <w:rsid w:val="002A0F8A"/>
    <w:rsid w:val="002A1773"/>
    <w:rsid w:val="002A1E20"/>
    <w:rsid w:val="002A1E5F"/>
    <w:rsid w:val="002A1FB2"/>
    <w:rsid w:val="002A2118"/>
    <w:rsid w:val="002A2480"/>
    <w:rsid w:val="002A24A5"/>
    <w:rsid w:val="002A26E7"/>
    <w:rsid w:val="002A294C"/>
    <w:rsid w:val="002A2ADD"/>
    <w:rsid w:val="002A2AF6"/>
    <w:rsid w:val="002A2F6A"/>
    <w:rsid w:val="002A31F1"/>
    <w:rsid w:val="002A37A9"/>
    <w:rsid w:val="002A37C3"/>
    <w:rsid w:val="002A3912"/>
    <w:rsid w:val="002A402F"/>
    <w:rsid w:val="002A407C"/>
    <w:rsid w:val="002A4429"/>
    <w:rsid w:val="002A5152"/>
    <w:rsid w:val="002A5DEE"/>
    <w:rsid w:val="002A6044"/>
    <w:rsid w:val="002A6450"/>
    <w:rsid w:val="002A68C8"/>
    <w:rsid w:val="002A6B5E"/>
    <w:rsid w:val="002A6FB8"/>
    <w:rsid w:val="002A7129"/>
    <w:rsid w:val="002A742E"/>
    <w:rsid w:val="002A74BA"/>
    <w:rsid w:val="002A783D"/>
    <w:rsid w:val="002A7CA7"/>
    <w:rsid w:val="002A7D25"/>
    <w:rsid w:val="002B069B"/>
    <w:rsid w:val="002B0907"/>
    <w:rsid w:val="002B0BCB"/>
    <w:rsid w:val="002B0C5F"/>
    <w:rsid w:val="002B0FE4"/>
    <w:rsid w:val="002B23B0"/>
    <w:rsid w:val="002B264E"/>
    <w:rsid w:val="002B2A17"/>
    <w:rsid w:val="002B3258"/>
    <w:rsid w:val="002B36F0"/>
    <w:rsid w:val="002B3A6C"/>
    <w:rsid w:val="002B3DE3"/>
    <w:rsid w:val="002B3F68"/>
    <w:rsid w:val="002B4737"/>
    <w:rsid w:val="002B491C"/>
    <w:rsid w:val="002B5313"/>
    <w:rsid w:val="002B57DD"/>
    <w:rsid w:val="002B587D"/>
    <w:rsid w:val="002B5940"/>
    <w:rsid w:val="002B5A0B"/>
    <w:rsid w:val="002B5A78"/>
    <w:rsid w:val="002B5C2C"/>
    <w:rsid w:val="002B5F1A"/>
    <w:rsid w:val="002B5F49"/>
    <w:rsid w:val="002B6135"/>
    <w:rsid w:val="002B6722"/>
    <w:rsid w:val="002B687E"/>
    <w:rsid w:val="002B695A"/>
    <w:rsid w:val="002B6A6F"/>
    <w:rsid w:val="002B6F82"/>
    <w:rsid w:val="002B7BE1"/>
    <w:rsid w:val="002B7CBD"/>
    <w:rsid w:val="002C0065"/>
    <w:rsid w:val="002C02B9"/>
    <w:rsid w:val="002C02F8"/>
    <w:rsid w:val="002C04B1"/>
    <w:rsid w:val="002C0D04"/>
    <w:rsid w:val="002C0D6C"/>
    <w:rsid w:val="002C11FD"/>
    <w:rsid w:val="002C12D5"/>
    <w:rsid w:val="002C1450"/>
    <w:rsid w:val="002C1C38"/>
    <w:rsid w:val="002C1F38"/>
    <w:rsid w:val="002C1FAD"/>
    <w:rsid w:val="002C2BAB"/>
    <w:rsid w:val="002C3227"/>
    <w:rsid w:val="002C3404"/>
    <w:rsid w:val="002C3FD1"/>
    <w:rsid w:val="002C41AC"/>
    <w:rsid w:val="002C4C69"/>
    <w:rsid w:val="002C4DF9"/>
    <w:rsid w:val="002C53FB"/>
    <w:rsid w:val="002C56DB"/>
    <w:rsid w:val="002C596A"/>
    <w:rsid w:val="002C5E12"/>
    <w:rsid w:val="002C6063"/>
    <w:rsid w:val="002C68F5"/>
    <w:rsid w:val="002C6986"/>
    <w:rsid w:val="002C74DF"/>
    <w:rsid w:val="002C7AFE"/>
    <w:rsid w:val="002C7D31"/>
    <w:rsid w:val="002D0197"/>
    <w:rsid w:val="002D03A2"/>
    <w:rsid w:val="002D0999"/>
    <w:rsid w:val="002D0D42"/>
    <w:rsid w:val="002D148F"/>
    <w:rsid w:val="002D1E26"/>
    <w:rsid w:val="002D2010"/>
    <w:rsid w:val="002D2089"/>
    <w:rsid w:val="002D3200"/>
    <w:rsid w:val="002D3561"/>
    <w:rsid w:val="002D3D01"/>
    <w:rsid w:val="002D3EA2"/>
    <w:rsid w:val="002D438C"/>
    <w:rsid w:val="002D43D5"/>
    <w:rsid w:val="002D453E"/>
    <w:rsid w:val="002D472B"/>
    <w:rsid w:val="002D4783"/>
    <w:rsid w:val="002D4A50"/>
    <w:rsid w:val="002D4E73"/>
    <w:rsid w:val="002D54BA"/>
    <w:rsid w:val="002D556A"/>
    <w:rsid w:val="002D593C"/>
    <w:rsid w:val="002D5D51"/>
    <w:rsid w:val="002D602F"/>
    <w:rsid w:val="002D6280"/>
    <w:rsid w:val="002D65CA"/>
    <w:rsid w:val="002D68FB"/>
    <w:rsid w:val="002D6EDC"/>
    <w:rsid w:val="002D6F8B"/>
    <w:rsid w:val="002D70AE"/>
    <w:rsid w:val="002D721D"/>
    <w:rsid w:val="002D74DC"/>
    <w:rsid w:val="002D74E5"/>
    <w:rsid w:val="002D76B1"/>
    <w:rsid w:val="002D7F93"/>
    <w:rsid w:val="002E0A0D"/>
    <w:rsid w:val="002E0DCB"/>
    <w:rsid w:val="002E0DF9"/>
    <w:rsid w:val="002E126A"/>
    <w:rsid w:val="002E136D"/>
    <w:rsid w:val="002E1FB7"/>
    <w:rsid w:val="002E22C1"/>
    <w:rsid w:val="002E2938"/>
    <w:rsid w:val="002E2DA0"/>
    <w:rsid w:val="002E3001"/>
    <w:rsid w:val="002E301D"/>
    <w:rsid w:val="002E3103"/>
    <w:rsid w:val="002E348D"/>
    <w:rsid w:val="002E34E2"/>
    <w:rsid w:val="002E3F94"/>
    <w:rsid w:val="002E40E2"/>
    <w:rsid w:val="002E4A73"/>
    <w:rsid w:val="002E4BF2"/>
    <w:rsid w:val="002E52D9"/>
    <w:rsid w:val="002E56A5"/>
    <w:rsid w:val="002E5E05"/>
    <w:rsid w:val="002E5F13"/>
    <w:rsid w:val="002E5F88"/>
    <w:rsid w:val="002E614B"/>
    <w:rsid w:val="002E6161"/>
    <w:rsid w:val="002E6348"/>
    <w:rsid w:val="002E6694"/>
    <w:rsid w:val="002E709C"/>
    <w:rsid w:val="002E7396"/>
    <w:rsid w:val="002E7636"/>
    <w:rsid w:val="002E7D12"/>
    <w:rsid w:val="002F01E2"/>
    <w:rsid w:val="002F0379"/>
    <w:rsid w:val="002F0418"/>
    <w:rsid w:val="002F0AD1"/>
    <w:rsid w:val="002F0ED0"/>
    <w:rsid w:val="002F0EE4"/>
    <w:rsid w:val="002F11A5"/>
    <w:rsid w:val="002F1383"/>
    <w:rsid w:val="002F164C"/>
    <w:rsid w:val="002F169E"/>
    <w:rsid w:val="002F1871"/>
    <w:rsid w:val="002F2180"/>
    <w:rsid w:val="002F223F"/>
    <w:rsid w:val="002F32D5"/>
    <w:rsid w:val="002F3EA9"/>
    <w:rsid w:val="002F3EB3"/>
    <w:rsid w:val="002F4189"/>
    <w:rsid w:val="002F4AD4"/>
    <w:rsid w:val="002F4AF0"/>
    <w:rsid w:val="002F4BCA"/>
    <w:rsid w:val="002F4C45"/>
    <w:rsid w:val="002F4D7C"/>
    <w:rsid w:val="002F4FB1"/>
    <w:rsid w:val="002F50C5"/>
    <w:rsid w:val="002F5694"/>
    <w:rsid w:val="002F5AFB"/>
    <w:rsid w:val="002F5B4D"/>
    <w:rsid w:val="002F624D"/>
    <w:rsid w:val="002F6491"/>
    <w:rsid w:val="002F6794"/>
    <w:rsid w:val="002F6AEA"/>
    <w:rsid w:val="002F6B99"/>
    <w:rsid w:val="002F6DC6"/>
    <w:rsid w:val="002F6F31"/>
    <w:rsid w:val="002F728B"/>
    <w:rsid w:val="002F77DF"/>
    <w:rsid w:val="002F7AA5"/>
    <w:rsid w:val="0030081B"/>
    <w:rsid w:val="00300BB1"/>
    <w:rsid w:val="00300C62"/>
    <w:rsid w:val="0030133E"/>
    <w:rsid w:val="0030155A"/>
    <w:rsid w:val="003015ED"/>
    <w:rsid w:val="003022CC"/>
    <w:rsid w:val="00302441"/>
    <w:rsid w:val="00302865"/>
    <w:rsid w:val="003028FD"/>
    <w:rsid w:val="00302C64"/>
    <w:rsid w:val="00303438"/>
    <w:rsid w:val="00303456"/>
    <w:rsid w:val="003036C1"/>
    <w:rsid w:val="00303D8D"/>
    <w:rsid w:val="00304500"/>
    <w:rsid w:val="00304712"/>
    <w:rsid w:val="003048B1"/>
    <w:rsid w:val="003048FB"/>
    <w:rsid w:val="00304BB3"/>
    <w:rsid w:val="003056AB"/>
    <w:rsid w:val="00305738"/>
    <w:rsid w:val="00305847"/>
    <w:rsid w:val="0030595F"/>
    <w:rsid w:val="00305D67"/>
    <w:rsid w:val="003060F4"/>
    <w:rsid w:val="00306813"/>
    <w:rsid w:val="0030768D"/>
    <w:rsid w:val="00307C1F"/>
    <w:rsid w:val="003104D9"/>
    <w:rsid w:val="0031067F"/>
    <w:rsid w:val="0031093B"/>
    <w:rsid w:val="00310D91"/>
    <w:rsid w:val="0031131E"/>
    <w:rsid w:val="0031136F"/>
    <w:rsid w:val="003113A4"/>
    <w:rsid w:val="0031146E"/>
    <w:rsid w:val="00311676"/>
    <w:rsid w:val="0031176C"/>
    <w:rsid w:val="003117CA"/>
    <w:rsid w:val="00311967"/>
    <w:rsid w:val="00311CF8"/>
    <w:rsid w:val="0031206B"/>
    <w:rsid w:val="0031248E"/>
    <w:rsid w:val="003124E8"/>
    <w:rsid w:val="003127E5"/>
    <w:rsid w:val="0031284D"/>
    <w:rsid w:val="00312A14"/>
    <w:rsid w:val="00313056"/>
    <w:rsid w:val="003130FD"/>
    <w:rsid w:val="0031329A"/>
    <w:rsid w:val="00313812"/>
    <w:rsid w:val="00313E04"/>
    <w:rsid w:val="00314315"/>
    <w:rsid w:val="00314407"/>
    <w:rsid w:val="00314ABC"/>
    <w:rsid w:val="00314F25"/>
    <w:rsid w:val="00315026"/>
    <w:rsid w:val="003157E7"/>
    <w:rsid w:val="00315E95"/>
    <w:rsid w:val="003162D6"/>
    <w:rsid w:val="003164D9"/>
    <w:rsid w:val="003169AB"/>
    <w:rsid w:val="003169B1"/>
    <w:rsid w:val="00317215"/>
    <w:rsid w:val="00317618"/>
    <w:rsid w:val="00317D0F"/>
    <w:rsid w:val="00317DEF"/>
    <w:rsid w:val="0032013E"/>
    <w:rsid w:val="003204E5"/>
    <w:rsid w:val="00320D25"/>
    <w:rsid w:val="00320D7E"/>
    <w:rsid w:val="00320E53"/>
    <w:rsid w:val="00321494"/>
    <w:rsid w:val="0032163F"/>
    <w:rsid w:val="00321679"/>
    <w:rsid w:val="00321716"/>
    <w:rsid w:val="003218BF"/>
    <w:rsid w:val="0032193A"/>
    <w:rsid w:val="00321B17"/>
    <w:rsid w:val="00321EFC"/>
    <w:rsid w:val="00322095"/>
    <w:rsid w:val="003223A5"/>
    <w:rsid w:val="00322581"/>
    <w:rsid w:val="003230AF"/>
    <w:rsid w:val="0032377E"/>
    <w:rsid w:val="00324187"/>
    <w:rsid w:val="0032480A"/>
    <w:rsid w:val="00324829"/>
    <w:rsid w:val="0032488E"/>
    <w:rsid w:val="00324B5C"/>
    <w:rsid w:val="00325617"/>
    <w:rsid w:val="00325B21"/>
    <w:rsid w:val="00326192"/>
    <w:rsid w:val="003262C9"/>
    <w:rsid w:val="003266BA"/>
    <w:rsid w:val="00326DCF"/>
    <w:rsid w:val="003271AC"/>
    <w:rsid w:val="00327364"/>
    <w:rsid w:val="003307CF"/>
    <w:rsid w:val="00330C51"/>
    <w:rsid w:val="00330E6E"/>
    <w:rsid w:val="00331F18"/>
    <w:rsid w:val="00332547"/>
    <w:rsid w:val="00332986"/>
    <w:rsid w:val="003329A2"/>
    <w:rsid w:val="00332A45"/>
    <w:rsid w:val="00333046"/>
    <w:rsid w:val="003330DC"/>
    <w:rsid w:val="003333D5"/>
    <w:rsid w:val="0033350E"/>
    <w:rsid w:val="003336A3"/>
    <w:rsid w:val="0033455E"/>
    <w:rsid w:val="003347B8"/>
    <w:rsid w:val="00334D62"/>
    <w:rsid w:val="00335009"/>
    <w:rsid w:val="00335447"/>
    <w:rsid w:val="00335CCD"/>
    <w:rsid w:val="00336AB9"/>
    <w:rsid w:val="00337202"/>
    <w:rsid w:val="00337561"/>
    <w:rsid w:val="003377E4"/>
    <w:rsid w:val="00337C46"/>
    <w:rsid w:val="00337CE5"/>
    <w:rsid w:val="003403FD"/>
    <w:rsid w:val="003406B9"/>
    <w:rsid w:val="0034088B"/>
    <w:rsid w:val="00341209"/>
    <w:rsid w:val="003413F3"/>
    <w:rsid w:val="003418D3"/>
    <w:rsid w:val="00341E39"/>
    <w:rsid w:val="0034264E"/>
    <w:rsid w:val="00342B45"/>
    <w:rsid w:val="003437B1"/>
    <w:rsid w:val="0034383C"/>
    <w:rsid w:val="00343DAB"/>
    <w:rsid w:val="003446C0"/>
    <w:rsid w:val="003447E0"/>
    <w:rsid w:val="003447E6"/>
    <w:rsid w:val="003449DA"/>
    <w:rsid w:val="003450B4"/>
    <w:rsid w:val="0034594D"/>
    <w:rsid w:val="00345ECA"/>
    <w:rsid w:val="00346358"/>
    <w:rsid w:val="0034669D"/>
    <w:rsid w:val="00346FA1"/>
    <w:rsid w:val="00347E4C"/>
    <w:rsid w:val="00347F70"/>
    <w:rsid w:val="00347FA2"/>
    <w:rsid w:val="00347FA3"/>
    <w:rsid w:val="0035016D"/>
    <w:rsid w:val="00350359"/>
    <w:rsid w:val="00350A5F"/>
    <w:rsid w:val="00350B9A"/>
    <w:rsid w:val="00350D22"/>
    <w:rsid w:val="00350E43"/>
    <w:rsid w:val="00350F0E"/>
    <w:rsid w:val="00351626"/>
    <w:rsid w:val="00351B82"/>
    <w:rsid w:val="00351BC5"/>
    <w:rsid w:val="00351D34"/>
    <w:rsid w:val="00352193"/>
    <w:rsid w:val="0035262D"/>
    <w:rsid w:val="00352AE8"/>
    <w:rsid w:val="00352C59"/>
    <w:rsid w:val="0035389B"/>
    <w:rsid w:val="00354291"/>
    <w:rsid w:val="00354B20"/>
    <w:rsid w:val="0035512F"/>
    <w:rsid w:val="003554AE"/>
    <w:rsid w:val="00355941"/>
    <w:rsid w:val="00355B2F"/>
    <w:rsid w:val="00355BF1"/>
    <w:rsid w:val="003560ED"/>
    <w:rsid w:val="003562F7"/>
    <w:rsid w:val="0035639C"/>
    <w:rsid w:val="00356568"/>
    <w:rsid w:val="003569AD"/>
    <w:rsid w:val="00356CAE"/>
    <w:rsid w:val="00356DE0"/>
    <w:rsid w:val="00356F25"/>
    <w:rsid w:val="003577E4"/>
    <w:rsid w:val="00357CAB"/>
    <w:rsid w:val="0036005E"/>
    <w:rsid w:val="003601E5"/>
    <w:rsid w:val="003602EA"/>
    <w:rsid w:val="0036031A"/>
    <w:rsid w:val="00360BEB"/>
    <w:rsid w:val="00360CFE"/>
    <w:rsid w:val="0036105B"/>
    <w:rsid w:val="00361794"/>
    <w:rsid w:val="00361C5A"/>
    <w:rsid w:val="00361E9F"/>
    <w:rsid w:val="0036228E"/>
    <w:rsid w:val="003622BA"/>
    <w:rsid w:val="003623FC"/>
    <w:rsid w:val="0036266A"/>
    <w:rsid w:val="00362857"/>
    <w:rsid w:val="00362A07"/>
    <w:rsid w:val="00362B5E"/>
    <w:rsid w:val="00362C28"/>
    <w:rsid w:val="0036348C"/>
    <w:rsid w:val="003634B3"/>
    <w:rsid w:val="00363D26"/>
    <w:rsid w:val="00363EE2"/>
    <w:rsid w:val="00364072"/>
    <w:rsid w:val="00364115"/>
    <w:rsid w:val="00364536"/>
    <w:rsid w:val="003647C5"/>
    <w:rsid w:val="00364EDE"/>
    <w:rsid w:val="00364EF9"/>
    <w:rsid w:val="00365366"/>
    <w:rsid w:val="003657C8"/>
    <w:rsid w:val="00365B02"/>
    <w:rsid w:val="00365EB0"/>
    <w:rsid w:val="00365F61"/>
    <w:rsid w:val="0036644E"/>
    <w:rsid w:val="003665BE"/>
    <w:rsid w:val="00366AFE"/>
    <w:rsid w:val="00366DC6"/>
    <w:rsid w:val="00367997"/>
    <w:rsid w:val="003679EC"/>
    <w:rsid w:val="00367C26"/>
    <w:rsid w:val="00367F46"/>
    <w:rsid w:val="00367FFD"/>
    <w:rsid w:val="00370B26"/>
    <w:rsid w:val="00370D6D"/>
    <w:rsid w:val="00371C42"/>
    <w:rsid w:val="00372225"/>
    <w:rsid w:val="00372453"/>
    <w:rsid w:val="003724C5"/>
    <w:rsid w:val="003730FB"/>
    <w:rsid w:val="003735B5"/>
    <w:rsid w:val="0037367D"/>
    <w:rsid w:val="00373947"/>
    <w:rsid w:val="00373C49"/>
    <w:rsid w:val="00373E4C"/>
    <w:rsid w:val="00373EF3"/>
    <w:rsid w:val="0037444C"/>
    <w:rsid w:val="003746CF"/>
    <w:rsid w:val="00374A84"/>
    <w:rsid w:val="00374D5C"/>
    <w:rsid w:val="00374F0B"/>
    <w:rsid w:val="00375397"/>
    <w:rsid w:val="003754DD"/>
    <w:rsid w:val="0037560D"/>
    <w:rsid w:val="0037566C"/>
    <w:rsid w:val="0037566D"/>
    <w:rsid w:val="0037621F"/>
    <w:rsid w:val="00376386"/>
    <w:rsid w:val="0037657C"/>
    <w:rsid w:val="0037680C"/>
    <w:rsid w:val="00376A3D"/>
    <w:rsid w:val="00377A7E"/>
    <w:rsid w:val="00380778"/>
    <w:rsid w:val="003808B8"/>
    <w:rsid w:val="00381C2B"/>
    <w:rsid w:val="00382055"/>
    <w:rsid w:val="00382407"/>
    <w:rsid w:val="00382808"/>
    <w:rsid w:val="003832ED"/>
    <w:rsid w:val="003837E8"/>
    <w:rsid w:val="0038388B"/>
    <w:rsid w:val="003843CD"/>
    <w:rsid w:val="003843F7"/>
    <w:rsid w:val="003849AE"/>
    <w:rsid w:val="00384B8D"/>
    <w:rsid w:val="00385293"/>
    <w:rsid w:val="00385903"/>
    <w:rsid w:val="003862E6"/>
    <w:rsid w:val="00386345"/>
    <w:rsid w:val="00386454"/>
    <w:rsid w:val="0038698F"/>
    <w:rsid w:val="00386BD7"/>
    <w:rsid w:val="00386EAD"/>
    <w:rsid w:val="00386F4F"/>
    <w:rsid w:val="0038742B"/>
    <w:rsid w:val="00387498"/>
    <w:rsid w:val="003876A6"/>
    <w:rsid w:val="00387A12"/>
    <w:rsid w:val="00387F7F"/>
    <w:rsid w:val="003902C5"/>
    <w:rsid w:val="003904A3"/>
    <w:rsid w:val="003904AE"/>
    <w:rsid w:val="00390B55"/>
    <w:rsid w:val="00391DD9"/>
    <w:rsid w:val="00392385"/>
    <w:rsid w:val="00392602"/>
    <w:rsid w:val="00392D9D"/>
    <w:rsid w:val="003938B2"/>
    <w:rsid w:val="00393AAA"/>
    <w:rsid w:val="00393F15"/>
    <w:rsid w:val="0039409A"/>
    <w:rsid w:val="00394C62"/>
    <w:rsid w:val="00394FFF"/>
    <w:rsid w:val="003957B6"/>
    <w:rsid w:val="00396137"/>
    <w:rsid w:val="003963C2"/>
    <w:rsid w:val="003972E4"/>
    <w:rsid w:val="00397338"/>
    <w:rsid w:val="003A01F5"/>
    <w:rsid w:val="003A045B"/>
    <w:rsid w:val="003A05B4"/>
    <w:rsid w:val="003A13DE"/>
    <w:rsid w:val="003A16E1"/>
    <w:rsid w:val="003A2636"/>
    <w:rsid w:val="003A2A4B"/>
    <w:rsid w:val="003A2A6B"/>
    <w:rsid w:val="003A2B61"/>
    <w:rsid w:val="003A2CA8"/>
    <w:rsid w:val="003A2F2A"/>
    <w:rsid w:val="003A2F51"/>
    <w:rsid w:val="003A3050"/>
    <w:rsid w:val="003A36DA"/>
    <w:rsid w:val="003A3D7B"/>
    <w:rsid w:val="003A504C"/>
    <w:rsid w:val="003A55A8"/>
    <w:rsid w:val="003A5668"/>
    <w:rsid w:val="003A5709"/>
    <w:rsid w:val="003A5833"/>
    <w:rsid w:val="003A5E51"/>
    <w:rsid w:val="003A6198"/>
    <w:rsid w:val="003A65C1"/>
    <w:rsid w:val="003A6D0C"/>
    <w:rsid w:val="003A6E9A"/>
    <w:rsid w:val="003A7709"/>
    <w:rsid w:val="003A7BE8"/>
    <w:rsid w:val="003A7E50"/>
    <w:rsid w:val="003A7FE2"/>
    <w:rsid w:val="003B01E3"/>
    <w:rsid w:val="003B052A"/>
    <w:rsid w:val="003B0C3F"/>
    <w:rsid w:val="003B10F4"/>
    <w:rsid w:val="003B125B"/>
    <w:rsid w:val="003B2001"/>
    <w:rsid w:val="003B2434"/>
    <w:rsid w:val="003B24F8"/>
    <w:rsid w:val="003B2A89"/>
    <w:rsid w:val="003B304C"/>
    <w:rsid w:val="003B3305"/>
    <w:rsid w:val="003B3551"/>
    <w:rsid w:val="003B38B7"/>
    <w:rsid w:val="003B3FE2"/>
    <w:rsid w:val="003B4095"/>
    <w:rsid w:val="003B45EB"/>
    <w:rsid w:val="003B533B"/>
    <w:rsid w:val="003B63AA"/>
    <w:rsid w:val="003B693A"/>
    <w:rsid w:val="003B6BA3"/>
    <w:rsid w:val="003B7004"/>
    <w:rsid w:val="003B72DE"/>
    <w:rsid w:val="003B78FE"/>
    <w:rsid w:val="003C0137"/>
    <w:rsid w:val="003C0216"/>
    <w:rsid w:val="003C0949"/>
    <w:rsid w:val="003C1449"/>
    <w:rsid w:val="003C227E"/>
    <w:rsid w:val="003C2C2D"/>
    <w:rsid w:val="003C2C5D"/>
    <w:rsid w:val="003C3061"/>
    <w:rsid w:val="003C36AF"/>
    <w:rsid w:val="003C38EC"/>
    <w:rsid w:val="003C3987"/>
    <w:rsid w:val="003C3A3C"/>
    <w:rsid w:val="003C3E54"/>
    <w:rsid w:val="003C425F"/>
    <w:rsid w:val="003C4683"/>
    <w:rsid w:val="003C473F"/>
    <w:rsid w:val="003C4F8F"/>
    <w:rsid w:val="003C4FAB"/>
    <w:rsid w:val="003C5713"/>
    <w:rsid w:val="003C5AA9"/>
    <w:rsid w:val="003C5B0E"/>
    <w:rsid w:val="003C63B0"/>
    <w:rsid w:val="003C63EA"/>
    <w:rsid w:val="003C6637"/>
    <w:rsid w:val="003C6ACD"/>
    <w:rsid w:val="003C71CB"/>
    <w:rsid w:val="003D0088"/>
    <w:rsid w:val="003D022E"/>
    <w:rsid w:val="003D0436"/>
    <w:rsid w:val="003D0765"/>
    <w:rsid w:val="003D078C"/>
    <w:rsid w:val="003D0E94"/>
    <w:rsid w:val="003D1601"/>
    <w:rsid w:val="003D1803"/>
    <w:rsid w:val="003D1953"/>
    <w:rsid w:val="003D19C1"/>
    <w:rsid w:val="003D21D8"/>
    <w:rsid w:val="003D2661"/>
    <w:rsid w:val="003D29F3"/>
    <w:rsid w:val="003D2FF6"/>
    <w:rsid w:val="003D3019"/>
    <w:rsid w:val="003D37C1"/>
    <w:rsid w:val="003D3E88"/>
    <w:rsid w:val="003D421D"/>
    <w:rsid w:val="003D4283"/>
    <w:rsid w:val="003D4455"/>
    <w:rsid w:val="003D4474"/>
    <w:rsid w:val="003D45F0"/>
    <w:rsid w:val="003D4AE2"/>
    <w:rsid w:val="003D4D99"/>
    <w:rsid w:val="003D4DA1"/>
    <w:rsid w:val="003D529A"/>
    <w:rsid w:val="003D5944"/>
    <w:rsid w:val="003D5991"/>
    <w:rsid w:val="003D5CD9"/>
    <w:rsid w:val="003D6562"/>
    <w:rsid w:val="003D67DF"/>
    <w:rsid w:val="003D69FC"/>
    <w:rsid w:val="003D6C45"/>
    <w:rsid w:val="003D7016"/>
    <w:rsid w:val="003D70AB"/>
    <w:rsid w:val="003D7314"/>
    <w:rsid w:val="003D7419"/>
    <w:rsid w:val="003D7588"/>
    <w:rsid w:val="003D7A3B"/>
    <w:rsid w:val="003E00A0"/>
    <w:rsid w:val="003E0A1D"/>
    <w:rsid w:val="003E0BBD"/>
    <w:rsid w:val="003E0CC0"/>
    <w:rsid w:val="003E0D6C"/>
    <w:rsid w:val="003E15AF"/>
    <w:rsid w:val="003E17D2"/>
    <w:rsid w:val="003E17D9"/>
    <w:rsid w:val="003E1842"/>
    <w:rsid w:val="003E1867"/>
    <w:rsid w:val="003E19BA"/>
    <w:rsid w:val="003E1A04"/>
    <w:rsid w:val="003E1A43"/>
    <w:rsid w:val="003E1B60"/>
    <w:rsid w:val="003E1F1A"/>
    <w:rsid w:val="003E1FB9"/>
    <w:rsid w:val="003E274B"/>
    <w:rsid w:val="003E3029"/>
    <w:rsid w:val="003E32DE"/>
    <w:rsid w:val="003E3363"/>
    <w:rsid w:val="003E382A"/>
    <w:rsid w:val="003E39F8"/>
    <w:rsid w:val="003E3C9C"/>
    <w:rsid w:val="003E5559"/>
    <w:rsid w:val="003E56F0"/>
    <w:rsid w:val="003E6020"/>
    <w:rsid w:val="003E6152"/>
    <w:rsid w:val="003E619E"/>
    <w:rsid w:val="003E677E"/>
    <w:rsid w:val="003E67E8"/>
    <w:rsid w:val="003E6872"/>
    <w:rsid w:val="003E6CD5"/>
    <w:rsid w:val="003E6F06"/>
    <w:rsid w:val="003E72CF"/>
    <w:rsid w:val="003E7837"/>
    <w:rsid w:val="003E7EB1"/>
    <w:rsid w:val="003F005A"/>
    <w:rsid w:val="003F05FD"/>
    <w:rsid w:val="003F074D"/>
    <w:rsid w:val="003F09A3"/>
    <w:rsid w:val="003F0B3D"/>
    <w:rsid w:val="003F0F23"/>
    <w:rsid w:val="003F12E6"/>
    <w:rsid w:val="003F134C"/>
    <w:rsid w:val="003F1723"/>
    <w:rsid w:val="003F1F6E"/>
    <w:rsid w:val="003F2A70"/>
    <w:rsid w:val="003F2B4C"/>
    <w:rsid w:val="003F2E5F"/>
    <w:rsid w:val="003F3057"/>
    <w:rsid w:val="003F3B84"/>
    <w:rsid w:val="003F3E5A"/>
    <w:rsid w:val="003F3F57"/>
    <w:rsid w:val="003F435B"/>
    <w:rsid w:val="003F4388"/>
    <w:rsid w:val="003F4542"/>
    <w:rsid w:val="003F4D7D"/>
    <w:rsid w:val="003F5041"/>
    <w:rsid w:val="003F5C9B"/>
    <w:rsid w:val="003F5D48"/>
    <w:rsid w:val="003F60F7"/>
    <w:rsid w:val="003F64BE"/>
    <w:rsid w:val="003F663A"/>
    <w:rsid w:val="003F6D7D"/>
    <w:rsid w:val="003F7671"/>
    <w:rsid w:val="003F7AAE"/>
    <w:rsid w:val="003F7F27"/>
    <w:rsid w:val="004008BD"/>
    <w:rsid w:val="00400CCA"/>
    <w:rsid w:val="00400E3C"/>
    <w:rsid w:val="0040156B"/>
    <w:rsid w:val="00401687"/>
    <w:rsid w:val="004016FC"/>
    <w:rsid w:val="004017E5"/>
    <w:rsid w:val="00401BA3"/>
    <w:rsid w:val="00401C4D"/>
    <w:rsid w:val="00401D85"/>
    <w:rsid w:val="00401F48"/>
    <w:rsid w:val="00402858"/>
    <w:rsid w:val="00402876"/>
    <w:rsid w:val="00402977"/>
    <w:rsid w:val="00402BCA"/>
    <w:rsid w:val="00402CEB"/>
    <w:rsid w:val="00403A60"/>
    <w:rsid w:val="00403D54"/>
    <w:rsid w:val="004047C0"/>
    <w:rsid w:val="00404FA7"/>
    <w:rsid w:val="00405510"/>
    <w:rsid w:val="004057E6"/>
    <w:rsid w:val="004058D7"/>
    <w:rsid w:val="00405B76"/>
    <w:rsid w:val="00405CCB"/>
    <w:rsid w:val="0040674A"/>
    <w:rsid w:val="004068AC"/>
    <w:rsid w:val="0040728F"/>
    <w:rsid w:val="004074A1"/>
    <w:rsid w:val="00407A12"/>
    <w:rsid w:val="00407B6F"/>
    <w:rsid w:val="00407BB6"/>
    <w:rsid w:val="00410218"/>
    <w:rsid w:val="00410340"/>
    <w:rsid w:val="004106AB"/>
    <w:rsid w:val="00410B8C"/>
    <w:rsid w:val="00411021"/>
    <w:rsid w:val="004112B9"/>
    <w:rsid w:val="00411394"/>
    <w:rsid w:val="00411ABA"/>
    <w:rsid w:val="00411C8D"/>
    <w:rsid w:val="00411D17"/>
    <w:rsid w:val="00411D21"/>
    <w:rsid w:val="00411D8D"/>
    <w:rsid w:val="004120DC"/>
    <w:rsid w:val="00412279"/>
    <w:rsid w:val="004128D7"/>
    <w:rsid w:val="00412A7E"/>
    <w:rsid w:val="00412B86"/>
    <w:rsid w:val="00412C56"/>
    <w:rsid w:val="00412D84"/>
    <w:rsid w:val="00412ED9"/>
    <w:rsid w:val="0041325C"/>
    <w:rsid w:val="004134A7"/>
    <w:rsid w:val="00413850"/>
    <w:rsid w:val="0041398D"/>
    <w:rsid w:val="00413AE9"/>
    <w:rsid w:val="00413EB7"/>
    <w:rsid w:val="00413EFE"/>
    <w:rsid w:val="00414A1E"/>
    <w:rsid w:val="00414DF7"/>
    <w:rsid w:val="00414ED1"/>
    <w:rsid w:val="00414EE9"/>
    <w:rsid w:val="00414F36"/>
    <w:rsid w:val="00415435"/>
    <w:rsid w:val="00415B60"/>
    <w:rsid w:val="00415DC1"/>
    <w:rsid w:val="00415E35"/>
    <w:rsid w:val="00416057"/>
    <w:rsid w:val="00416B98"/>
    <w:rsid w:val="00416CF9"/>
    <w:rsid w:val="004174B4"/>
    <w:rsid w:val="004175D3"/>
    <w:rsid w:val="004177DD"/>
    <w:rsid w:val="00417A4E"/>
    <w:rsid w:val="004208E3"/>
    <w:rsid w:val="004209CF"/>
    <w:rsid w:val="004209D6"/>
    <w:rsid w:val="0042130A"/>
    <w:rsid w:val="00421346"/>
    <w:rsid w:val="00421BE3"/>
    <w:rsid w:val="00421C0E"/>
    <w:rsid w:val="00421CCC"/>
    <w:rsid w:val="00422026"/>
    <w:rsid w:val="004220D3"/>
    <w:rsid w:val="00422152"/>
    <w:rsid w:val="0042235A"/>
    <w:rsid w:val="00422419"/>
    <w:rsid w:val="00422AF3"/>
    <w:rsid w:val="00423279"/>
    <w:rsid w:val="00423620"/>
    <w:rsid w:val="004237BB"/>
    <w:rsid w:val="00423906"/>
    <w:rsid w:val="00423CEC"/>
    <w:rsid w:val="00423E76"/>
    <w:rsid w:val="004240FA"/>
    <w:rsid w:val="0042464D"/>
    <w:rsid w:val="00424680"/>
    <w:rsid w:val="00424704"/>
    <w:rsid w:val="00424BEB"/>
    <w:rsid w:val="00424E95"/>
    <w:rsid w:val="00424F78"/>
    <w:rsid w:val="00426097"/>
    <w:rsid w:val="004260D4"/>
    <w:rsid w:val="0042628C"/>
    <w:rsid w:val="00426DC8"/>
    <w:rsid w:val="00426E59"/>
    <w:rsid w:val="00427715"/>
    <w:rsid w:val="00427A58"/>
    <w:rsid w:val="00427C8E"/>
    <w:rsid w:val="00427E5B"/>
    <w:rsid w:val="00430003"/>
    <w:rsid w:val="0043001B"/>
    <w:rsid w:val="00430042"/>
    <w:rsid w:val="004300F9"/>
    <w:rsid w:val="004302A7"/>
    <w:rsid w:val="00430920"/>
    <w:rsid w:val="004310A9"/>
    <w:rsid w:val="004319C3"/>
    <w:rsid w:val="00431AF2"/>
    <w:rsid w:val="00431B0C"/>
    <w:rsid w:val="00431BC3"/>
    <w:rsid w:val="004322DF"/>
    <w:rsid w:val="00432333"/>
    <w:rsid w:val="00432384"/>
    <w:rsid w:val="00432551"/>
    <w:rsid w:val="00432813"/>
    <w:rsid w:val="00432895"/>
    <w:rsid w:val="004328DA"/>
    <w:rsid w:val="0043298E"/>
    <w:rsid w:val="00432A5A"/>
    <w:rsid w:val="00432B94"/>
    <w:rsid w:val="00432BE5"/>
    <w:rsid w:val="00432DA5"/>
    <w:rsid w:val="00432DC4"/>
    <w:rsid w:val="00432F3D"/>
    <w:rsid w:val="0043301C"/>
    <w:rsid w:val="004332E9"/>
    <w:rsid w:val="0043330E"/>
    <w:rsid w:val="00433690"/>
    <w:rsid w:val="00433B14"/>
    <w:rsid w:val="00433FA5"/>
    <w:rsid w:val="004348E6"/>
    <w:rsid w:val="0043503B"/>
    <w:rsid w:val="004361E9"/>
    <w:rsid w:val="004368E0"/>
    <w:rsid w:val="00436D32"/>
    <w:rsid w:val="00436D37"/>
    <w:rsid w:val="00436EEC"/>
    <w:rsid w:val="0043703B"/>
    <w:rsid w:val="004371B8"/>
    <w:rsid w:val="004371F1"/>
    <w:rsid w:val="00437B48"/>
    <w:rsid w:val="00440B9A"/>
    <w:rsid w:val="00440BEE"/>
    <w:rsid w:val="00440DAD"/>
    <w:rsid w:val="00440F29"/>
    <w:rsid w:val="00441264"/>
    <w:rsid w:val="004412A9"/>
    <w:rsid w:val="004413CC"/>
    <w:rsid w:val="004419B2"/>
    <w:rsid w:val="00441A8B"/>
    <w:rsid w:val="00442101"/>
    <w:rsid w:val="00442B46"/>
    <w:rsid w:val="00442DBD"/>
    <w:rsid w:val="00443144"/>
    <w:rsid w:val="004439DC"/>
    <w:rsid w:val="0044407D"/>
    <w:rsid w:val="004440A0"/>
    <w:rsid w:val="00444471"/>
    <w:rsid w:val="0044454B"/>
    <w:rsid w:val="0044485B"/>
    <w:rsid w:val="00444B3E"/>
    <w:rsid w:val="00444D60"/>
    <w:rsid w:val="00445019"/>
    <w:rsid w:val="0044525C"/>
    <w:rsid w:val="00445369"/>
    <w:rsid w:val="004457B3"/>
    <w:rsid w:val="0044596D"/>
    <w:rsid w:val="00446280"/>
    <w:rsid w:val="0044660C"/>
    <w:rsid w:val="004467EB"/>
    <w:rsid w:val="00446BFA"/>
    <w:rsid w:val="00446C10"/>
    <w:rsid w:val="00446C52"/>
    <w:rsid w:val="00446D34"/>
    <w:rsid w:val="004476EF"/>
    <w:rsid w:val="00447796"/>
    <w:rsid w:val="004478B0"/>
    <w:rsid w:val="00447A51"/>
    <w:rsid w:val="00447B22"/>
    <w:rsid w:val="00447D25"/>
    <w:rsid w:val="00447FA3"/>
    <w:rsid w:val="00447FA5"/>
    <w:rsid w:val="00450AE4"/>
    <w:rsid w:val="004517D9"/>
    <w:rsid w:val="00452387"/>
    <w:rsid w:val="00452AED"/>
    <w:rsid w:val="004531C6"/>
    <w:rsid w:val="00453346"/>
    <w:rsid w:val="004540D6"/>
    <w:rsid w:val="0045410E"/>
    <w:rsid w:val="00454802"/>
    <w:rsid w:val="00454BFA"/>
    <w:rsid w:val="00454D01"/>
    <w:rsid w:val="00454E25"/>
    <w:rsid w:val="004558F2"/>
    <w:rsid w:val="004559A6"/>
    <w:rsid w:val="00455BB7"/>
    <w:rsid w:val="00455CDA"/>
    <w:rsid w:val="00455F84"/>
    <w:rsid w:val="00456508"/>
    <w:rsid w:val="004567BA"/>
    <w:rsid w:val="00456CF4"/>
    <w:rsid w:val="00457512"/>
    <w:rsid w:val="004575A6"/>
    <w:rsid w:val="0046072F"/>
    <w:rsid w:val="00460891"/>
    <w:rsid w:val="00460A4E"/>
    <w:rsid w:val="00460D4F"/>
    <w:rsid w:val="00461016"/>
    <w:rsid w:val="00461C4F"/>
    <w:rsid w:val="00461CF6"/>
    <w:rsid w:val="00462268"/>
    <w:rsid w:val="00462381"/>
    <w:rsid w:val="004626E2"/>
    <w:rsid w:val="004627A7"/>
    <w:rsid w:val="004627F2"/>
    <w:rsid w:val="00462847"/>
    <w:rsid w:val="00462E18"/>
    <w:rsid w:val="00462F94"/>
    <w:rsid w:val="0046380E"/>
    <w:rsid w:val="0046397D"/>
    <w:rsid w:val="00463A42"/>
    <w:rsid w:val="00464135"/>
    <w:rsid w:val="0046440D"/>
    <w:rsid w:val="0046456A"/>
    <w:rsid w:val="00464661"/>
    <w:rsid w:val="004648EE"/>
    <w:rsid w:val="00464ADD"/>
    <w:rsid w:val="00464D76"/>
    <w:rsid w:val="00464F50"/>
    <w:rsid w:val="00464F92"/>
    <w:rsid w:val="004655D7"/>
    <w:rsid w:val="004655EA"/>
    <w:rsid w:val="00465BA1"/>
    <w:rsid w:val="00465CC3"/>
    <w:rsid w:val="00465ED1"/>
    <w:rsid w:val="004660D7"/>
    <w:rsid w:val="00466B10"/>
    <w:rsid w:val="00467492"/>
    <w:rsid w:val="004679CD"/>
    <w:rsid w:val="00467C95"/>
    <w:rsid w:val="004705ED"/>
    <w:rsid w:val="004707C7"/>
    <w:rsid w:val="00470994"/>
    <w:rsid w:val="0047190A"/>
    <w:rsid w:val="00471B10"/>
    <w:rsid w:val="00471DF5"/>
    <w:rsid w:val="00471EB2"/>
    <w:rsid w:val="00471FE8"/>
    <w:rsid w:val="0047216D"/>
    <w:rsid w:val="004722EB"/>
    <w:rsid w:val="00472FE7"/>
    <w:rsid w:val="0047382E"/>
    <w:rsid w:val="00473A3E"/>
    <w:rsid w:val="00474183"/>
    <w:rsid w:val="00474E1C"/>
    <w:rsid w:val="00475016"/>
    <w:rsid w:val="00475108"/>
    <w:rsid w:val="004751CC"/>
    <w:rsid w:val="00475253"/>
    <w:rsid w:val="0047540B"/>
    <w:rsid w:val="0047583D"/>
    <w:rsid w:val="00475A6D"/>
    <w:rsid w:val="0047600E"/>
    <w:rsid w:val="004765A7"/>
    <w:rsid w:val="0047687A"/>
    <w:rsid w:val="00476C24"/>
    <w:rsid w:val="00476DDE"/>
    <w:rsid w:val="004779DE"/>
    <w:rsid w:val="00477B8F"/>
    <w:rsid w:val="00477EF2"/>
    <w:rsid w:val="00477F7A"/>
    <w:rsid w:val="00480985"/>
    <w:rsid w:val="00481E6A"/>
    <w:rsid w:val="00482393"/>
    <w:rsid w:val="00482541"/>
    <w:rsid w:val="004825CD"/>
    <w:rsid w:val="004826DE"/>
    <w:rsid w:val="004826F4"/>
    <w:rsid w:val="004828BB"/>
    <w:rsid w:val="00482F1F"/>
    <w:rsid w:val="00483D3C"/>
    <w:rsid w:val="00483DAB"/>
    <w:rsid w:val="00483E62"/>
    <w:rsid w:val="00484329"/>
    <w:rsid w:val="00484691"/>
    <w:rsid w:val="004847EB"/>
    <w:rsid w:val="0048482D"/>
    <w:rsid w:val="00484A04"/>
    <w:rsid w:val="00484D90"/>
    <w:rsid w:val="00484F03"/>
    <w:rsid w:val="004857C5"/>
    <w:rsid w:val="0048580E"/>
    <w:rsid w:val="0048598B"/>
    <w:rsid w:val="00486383"/>
    <w:rsid w:val="0048696E"/>
    <w:rsid w:val="00486F9A"/>
    <w:rsid w:val="00487010"/>
    <w:rsid w:val="00487140"/>
    <w:rsid w:val="004871E4"/>
    <w:rsid w:val="004872A8"/>
    <w:rsid w:val="004873FA"/>
    <w:rsid w:val="004876F8"/>
    <w:rsid w:val="00487D2E"/>
    <w:rsid w:val="00487E18"/>
    <w:rsid w:val="00487EA2"/>
    <w:rsid w:val="00490029"/>
    <w:rsid w:val="004904AE"/>
    <w:rsid w:val="00490603"/>
    <w:rsid w:val="004906B1"/>
    <w:rsid w:val="00490ADE"/>
    <w:rsid w:val="0049107D"/>
    <w:rsid w:val="00491157"/>
    <w:rsid w:val="0049198E"/>
    <w:rsid w:val="004919AE"/>
    <w:rsid w:val="00491F80"/>
    <w:rsid w:val="00492219"/>
    <w:rsid w:val="004923CC"/>
    <w:rsid w:val="004928BB"/>
    <w:rsid w:val="00492B18"/>
    <w:rsid w:val="00492D5F"/>
    <w:rsid w:val="00492DA8"/>
    <w:rsid w:val="00493607"/>
    <w:rsid w:val="00493696"/>
    <w:rsid w:val="00493E73"/>
    <w:rsid w:val="00493E8A"/>
    <w:rsid w:val="00494583"/>
    <w:rsid w:val="00494F80"/>
    <w:rsid w:val="00495771"/>
    <w:rsid w:val="00495B54"/>
    <w:rsid w:val="00496921"/>
    <w:rsid w:val="00496B12"/>
    <w:rsid w:val="00496D00"/>
    <w:rsid w:val="00496F7E"/>
    <w:rsid w:val="00497290"/>
    <w:rsid w:val="00497518"/>
    <w:rsid w:val="00497594"/>
    <w:rsid w:val="00497878"/>
    <w:rsid w:val="00497B9E"/>
    <w:rsid w:val="004A0195"/>
    <w:rsid w:val="004A0229"/>
    <w:rsid w:val="004A048B"/>
    <w:rsid w:val="004A0680"/>
    <w:rsid w:val="004A0983"/>
    <w:rsid w:val="004A0D65"/>
    <w:rsid w:val="004A0FFD"/>
    <w:rsid w:val="004A1BE5"/>
    <w:rsid w:val="004A2087"/>
    <w:rsid w:val="004A23F8"/>
    <w:rsid w:val="004A25E9"/>
    <w:rsid w:val="004A2B4E"/>
    <w:rsid w:val="004A3416"/>
    <w:rsid w:val="004A3523"/>
    <w:rsid w:val="004A3CE9"/>
    <w:rsid w:val="004A3DD3"/>
    <w:rsid w:val="004A4253"/>
    <w:rsid w:val="004A43B1"/>
    <w:rsid w:val="004A5798"/>
    <w:rsid w:val="004A5852"/>
    <w:rsid w:val="004A58F5"/>
    <w:rsid w:val="004A5B06"/>
    <w:rsid w:val="004A60AF"/>
    <w:rsid w:val="004A65EC"/>
    <w:rsid w:val="004A6836"/>
    <w:rsid w:val="004A68BF"/>
    <w:rsid w:val="004A6B36"/>
    <w:rsid w:val="004A7133"/>
    <w:rsid w:val="004A75B4"/>
    <w:rsid w:val="004A7A91"/>
    <w:rsid w:val="004A7D5A"/>
    <w:rsid w:val="004B16B8"/>
    <w:rsid w:val="004B17C4"/>
    <w:rsid w:val="004B2109"/>
    <w:rsid w:val="004B2364"/>
    <w:rsid w:val="004B299A"/>
    <w:rsid w:val="004B2A47"/>
    <w:rsid w:val="004B2FA1"/>
    <w:rsid w:val="004B33F9"/>
    <w:rsid w:val="004B369E"/>
    <w:rsid w:val="004B36F2"/>
    <w:rsid w:val="004B385C"/>
    <w:rsid w:val="004B3984"/>
    <w:rsid w:val="004B3E2D"/>
    <w:rsid w:val="004B3FD5"/>
    <w:rsid w:val="004B46E9"/>
    <w:rsid w:val="004B5B05"/>
    <w:rsid w:val="004B5C8C"/>
    <w:rsid w:val="004B6413"/>
    <w:rsid w:val="004B666F"/>
    <w:rsid w:val="004B66A9"/>
    <w:rsid w:val="004B67C0"/>
    <w:rsid w:val="004B699D"/>
    <w:rsid w:val="004B6A28"/>
    <w:rsid w:val="004B6A5D"/>
    <w:rsid w:val="004B70D0"/>
    <w:rsid w:val="004B74E9"/>
    <w:rsid w:val="004B78F5"/>
    <w:rsid w:val="004B7B99"/>
    <w:rsid w:val="004B7BA4"/>
    <w:rsid w:val="004B7CE0"/>
    <w:rsid w:val="004B7DA3"/>
    <w:rsid w:val="004C012E"/>
    <w:rsid w:val="004C0330"/>
    <w:rsid w:val="004C0666"/>
    <w:rsid w:val="004C07A0"/>
    <w:rsid w:val="004C08E4"/>
    <w:rsid w:val="004C10C9"/>
    <w:rsid w:val="004C14BD"/>
    <w:rsid w:val="004C1C55"/>
    <w:rsid w:val="004C1D5B"/>
    <w:rsid w:val="004C2542"/>
    <w:rsid w:val="004C2658"/>
    <w:rsid w:val="004C2C57"/>
    <w:rsid w:val="004C356C"/>
    <w:rsid w:val="004C38EA"/>
    <w:rsid w:val="004C3B60"/>
    <w:rsid w:val="004C420F"/>
    <w:rsid w:val="004C470F"/>
    <w:rsid w:val="004C4D02"/>
    <w:rsid w:val="004C52C4"/>
    <w:rsid w:val="004C5467"/>
    <w:rsid w:val="004C596F"/>
    <w:rsid w:val="004C5DA1"/>
    <w:rsid w:val="004C5EC3"/>
    <w:rsid w:val="004C628D"/>
    <w:rsid w:val="004C643B"/>
    <w:rsid w:val="004C692A"/>
    <w:rsid w:val="004C6BAD"/>
    <w:rsid w:val="004C78C6"/>
    <w:rsid w:val="004C7A4F"/>
    <w:rsid w:val="004C7BB7"/>
    <w:rsid w:val="004C7D98"/>
    <w:rsid w:val="004C7E23"/>
    <w:rsid w:val="004D0882"/>
    <w:rsid w:val="004D0B0B"/>
    <w:rsid w:val="004D0B3D"/>
    <w:rsid w:val="004D0DA1"/>
    <w:rsid w:val="004D1274"/>
    <w:rsid w:val="004D198F"/>
    <w:rsid w:val="004D1E26"/>
    <w:rsid w:val="004D222C"/>
    <w:rsid w:val="004D2779"/>
    <w:rsid w:val="004D27B5"/>
    <w:rsid w:val="004D2BAD"/>
    <w:rsid w:val="004D3809"/>
    <w:rsid w:val="004D4727"/>
    <w:rsid w:val="004D478F"/>
    <w:rsid w:val="004D4FA7"/>
    <w:rsid w:val="004D5604"/>
    <w:rsid w:val="004D5954"/>
    <w:rsid w:val="004D5DE9"/>
    <w:rsid w:val="004D628A"/>
    <w:rsid w:val="004D6439"/>
    <w:rsid w:val="004D6A67"/>
    <w:rsid w:val="004D6E25"/>
    <w:rsid w:val="004D6E61"/>
    <w:rsid w:val="004D71B4"/>
    <w:rsid w:val="004D756F"/>
    <w:rsid w:val="004D7D02"/>
    <w:rsid w:val="004D7E88"/>
    <w:rsid w:val="004E05C7"/>
    <w:rsid w:val="004E0776"/>
    <w:rsid w:val="004E1140"/>
    <w:rsid w:val="004E1280"/>
    <w:rsid w:val="004E12C9"/>
    <w:rsid w:val="004E2154"/>
    <w:rsid w:val="004E2F54"/>
    <w:rsid w:val="004E3497"/>
    <w:rsid w:val="004E3B4D"/>
    <w:rsid w:val="004E3DE1"/>
    <w:rsid w:val="004E3E25"/>
    <w:rsid w:val="004E49F0"/>
    <w:rsid w:val="004E4C7D"/>
    <w:rsid w:val="004E4D4B"/>
    <w:rsid w:val="004E521B"/>
    <w:rsid w:val="004E530B"/>
    <w:rsid w:val="004E563A"/>
    <w:rsid w:val="004E5A85"/>
    <w:rsid w:val="004E5CAD"/>
    <w:rsid w:val="004E5CB2"/>
    <w:rsid w:val="004E6162"/>
    <w:rsid w:val="004E62D8"/>
    <w:rsid w:val="004E63DA"/>
    <w:rsid w:val="004E6808"/>
    <w:rsid w:val="004E6B96"/>
    <w:rsid w:val="004E7126"/>
    <w:rsid w:val="004E720A"/>
    <w:rsid w:val="004E7248"/>
    <w:rsid w:val="004E74C7"/>
    <w:rsid w:val="004E7674"/>
    <w:rsid w:val="004E7682"/>
    <w:rsid w:val="004E7695"/>
    <w:rsid w:val="004E7A1A"/>
    <w:rsid w:val="004F0203"/>
    <w:rsid w:val="004F031E"/>
    <w:rsid w:val="004F034A"/>
    <w:rsid w:val="004F0558"/>
    <w:rsid w:val="004F0BFF"/>
    <w:rsid w:val="004F0FF2"/>
    <w:rsid w:val="004F1231"/>
    <w:rsid w:val="004F1F93"/>
    <w:rsid w:val="004F247A"/>
    <w:rsid w:val="004F25A1"/>
    <w:rsid w:val="004F25C8"/>
    <w:rsid w:val="004F2A54"/>
    <w:rsid w:val="004F2D36"/>
    <w:rsid w:val="004F2E54"/>
    <w:rsid w:val="004F2EEE"/>
    <w:rsid w:val="004F2F48"/>
    <w:rsid w:val="004F303F"/>
    <w:rsid w:val="004F3142"/>
    <w:rsid w:val="004F3192"/>
    <w:rsid w:val="004F326C"/>
    <w:rsid w:val="004F37FD"/>
    <w:rsid w:val="004F41CA"/>
    <w:rsid w:val="004F420F"/>
    <w:rsid w:val="004F45A9"/>
    <w:rsid w:val="004F47FC"/>
    <w:rsid w:val="004F4D3A"/>
    <w:rsid w:val="004F5201"/>
    <w:rsid w:val="004F6568"/>
    <w:rsid w:val="004F65BC"/>
    <w:rsid w:val="004F66C9"/>
    <w:rsid w:val="004F674B"/>
    <w:rsid w:val="004F727F"/>
    <w:rsid w:val="005005CF"/>
    <w:rsid w:val="00500B1E"/>
    <w:rsid w:val="00500B3C"/>
    <w:rsid w:val="00500E4A"/>
    <w:rsid w:val="00500E82"/>
    <w:rsid w:val="005010DF"/>
    <w:rsid w:val="005013FE"/>
    <w:rsid w:val="00501506"/>
    <w:rsid w:val="005017E9"/>
    <w:rsid w:val="00501D78"/>
    <w:rsid w:val="00502198"/>
    <w:rsid w:val="0050266E"/>
    <w:rsid w:val="005026BE"/>
    <w:rsid w:val="005030DD"/>
    <w:rsid w:val="0050317D"/>
    <w:rsid w:val="005031A6"/>
    <w:rsid w:val="00503244"/>
    <w:rsid w:val="00503B13"/>
    <w:rsid w:val="00504317"/>
    <w:rsid w:val="005048E7"/>
    <w:rsid w:val="005053E7"/>
    <w:rsid w:val="00505590"/>
    <w:rsid w:val="0050580B"/>
    <w:rsid w:val="00505AF5"/>
    <w:rsid w:val="00506075"/>
    <w:rsid w:val="00506634"/>
    <w:rsid w:val="0050687C"/>
    <w:rsid w:val="00507425"/>
    <w:rsid w:val="0050748B"/>
    <w:rsid w:val="005077F3"/>
    <w:rsid w:val="00510A94"/>
    <w:rsid w:val="00510FF6"/>
    <w:rsid w:val="0051183A"/>
    <w:rsid w:val="00511E7F"/>
    <w:rsid w:val="005122F3"/>
    <w:rsid w:val="00512D64"/>
    <w:rsid w:val="00512F24"/>
    <w:rsid w:val="0051304C"/>
    <w:rsid w:val="005130B4"/>
    <w:rsid w:val="0051354C"/>
    <w:rsid w:val="00513ABE"/>
    <w:rsid w:val="00513B24"/>
    <w:rsid w:val="00513DF4"/>
    <w:rsid w:val="00513F07"/>
    <w:rsid w:val="005143D0"/>
    <w:rsid w:val="005143E8"/>
    <w:rsid w:val="00514403"/>
    <w:rsid w:val="00514659"/>
    <w:rsid w:val="005146F6"/>
    <w:rsid w:val="0051494E"/>
    <w:rsid w:val="00514A35"/>
    <w:rsid w:val="00515040"/>
    <w:rsid w:val="00516302"/>
    <w:rsid w:val="00516B8B"/>
    <w:rsid w:val="00516C54"/>
    <w:rsid w:val="00516F70"/>
    <w:rsid w:val="00517122"/>
    <w:rsid w:val="0051748C"/>
    <w:rsid w:val="005178C1"/>
    <w:rsid w:val="00517910"/>
    <w:rsid w:val="00517B87"/>
    <w:rsid w:val="00517EFD"/>
    <w:rsid w:val="005203EE"/>
    <w:rsid w:val="00520473"/>
    <w:rsid w:val="00520614"/>
    <w:rsid w:val="0052070F"/>
    <w:rsid w:val="00520ACF"/>
    <w:rsid w:val="00521126"/>
    <w:rsid w:val="005214BB"/>
    <w:rsid w:val="0052183B"/>
    <w:rsid w:val="00521900"/>
    <w:rsid w:val="00521B3B"/>
    <w:rsid w:val="00521FDA"/>
    <w:rsid w:val="0052250A"/>
    <w:rsid w:val="005234C2"/>
    <w:rsid w:val="00523751"/>
    <w:rsid w:val="00523AC5"/>
    <w:rsid w:val="00523CB8"/>
    <w:rsid w:val="00523DFB"/>
    <w:rsid w:val="00523EEF"/>
    <w:rsid w:val="005242DB"/>
    <w:rsid w:val="005242ED"/>
    <w:rsid w:val="0052444F"/>
    <w:rsid w:val="00524686"/>
    <w:rsid w:val="005249E0"/>
    <w:rsid w:val="00524AAB"/>
    <w:rsid w:val="00524BD6"/>
    <w:rsid w:val="00524FD5"/>
    <w:rsid w:val="00524FE0"/>
    <w:rsid w:val="0052553A"/>
    <w:rsid w:val="005257D2"/>
    <w:rsid w:val="00525AAE"/>
    <w:rsid w:val="0052655D"/>
    <w:rsid w:val="00526652"/>
    <w:rsid w:val="0052679A"/>
    <w:rsid w:val="00526ADA"/>
    <w:rsid w:val="00526B50"/>
    <w:rsid w:val="00526B9F"/>
    <w:rsid w:val="00527525"/>
    <w:rsid w:val="00527632"/>
    <w:rsid w:val="0053043F"/>
    <w:rsid w:val="0053062D"/>
    <w:rsid w:val="005307A7"/>
    <w:rsid w:val="00530BC5"/>
    <w:rsid w:val="00530CDC"/>
    <w:rsid w:val="005313ED"/>
    <w:rsid w:val="0053181A"/>
    <w:rsid w:val="005319BD"/>
    <w:rsid w:val="00532190"/>
    <w:rsid w:val="00532800"/>
    <w:rsid w:val="00532906"/>
    <w:rsid w:val="00532B5B"/>
    <w:rsid w:val="00532D7D"/>
    <w:rsid w:val="00532E5F"/>
    <w:rsid w:val="005333EA"/>
    <w:rsid w:val="00533A58"/>
    <w:rsid w:val="00533B35"/>
    <w:rsid w:val="00534020"/>
    <w:rsid w:val="0053413A"/>
    <w:rsid w:val="00534416"/>
    <w:rsid w:val="0053443A"/>
    <w:rsid w:val="00534E2D"/>
    <w:rsid w:val="005357CA"/>
    <w:rsid w:val="0053583E"/>
    <w:rsid w:val="00535FB1"/>
    <w:rsid w:val="0053603E"/>
    <w:rsid w:val="00536499"/>
    <w:rsid w:val="005370A8"/>
    <w:rsid w:val="0053718D"/>
    <w:rsid w:val="00537506"/>
    <w:rsid w:val="005404C4"/>
    <w:rsid w:val="0054059F"/>
    <w:rsid w:val="00540BC3"/>
    <w:rsid w:val="00540CC9"/>
    <w:rsid w:val="00540DAC"/>
    <w:rsid w:val="00540E9C"/>
    <w:rsid w:val="00541FC4"/>
    <w:rsid w:val="0054232D"/>
    <w:rsid w:val="005427DB"/>
    <w:rsid w:val="0054299F"/>
    <w:rsid w:val="00542EEB"/>
    <w:rsid w:val="0054327B"/>
    <w:rsid w:val="005434A6"/>
    <w:rsid w:val="005434AF"/>
    <w:rsid w:val="00544059"/>
    <w:rsid w:val="0054453C"/>
    <w:rsid w:val="00545157"/>
    <w:rsid w:val="005456CF"/>
    <w:rsid w:val="005457BC"/>
    <w:rsid w:val="00545833"/>
    <w:rsid w:val="0054645D"/>
    <w:rsid w:val="00546A98"/>
    <w:rsid w:val="00546C4C"/>
    <w:rsid w:val="00547224"/>
    <w:rsid w:val="005477CD"/>
    <w:rsid w:val="005505DF"/>
    <w:rsid w:val="00550C97"/>
    <w:rsid w:val="00550E04"/>
    <w:rsid w:val="00551557"/>
    <w:rsid w:val="00551712"/>
    <w:rsid w:val="00551780"/>
    <w:rsid w:val="005525C6"/>
    <w:rsid w:val="00552685"/>
    <w:rsid w:val="005526B0"/>
    <w:rsid w:val="00552726"/>
    <w:rsid w:val="00552820"/>
    <w:rsid w:val="00552827"/>
    <w:rsid w:val="005529BF"/>
    <w:rsid w:val="0055381E"/>
    <w:rsid w:val="0055393A"/>
    <w:rsid w:val="00553ACA"/>
    <w:rsid w:val="00553B46"/>
    <w:rsid w:val="00553E07"/>
    <w:rsid w:val="005540A6"/>
    <w:rsid w:val="00554B0B"/>
    <w:rsid w:val="00554F76"/>
    <w:rsid w:val="0055537B"/>
    <w:rsid w:val="00555E21"/>
    <w:rsid w:val="005563F5"/>
    <w:rsid w:val="00557378"/>
    <w:rsid w:val="0055740A"/>
    <w:rsid w:val="005574BD"/>
    <w:rsid w:val="00557C86"/>
    <w:rsid w:val="00560207"/>
    <w:rsid w:val="005604A8"/>
    <w:rsid w:val="0056113C"/>
    <w:rsid w:val="005611FD"/>
    <w:rsid w:val="00561302"/>
    <w:rsid w:val="005615C0"/>
    <w:rsid w:val="00561751"/>
    <w:rsid w:val="005619A9"/>
    <w:rsid w:val="005619D4"/>
    <w:rsid w:val="00561E90"/>
    <w:rsid w:val="00562371"/>
    <w:rsid w:val="005625B3"/>
    <w:rsid w:val="00562682"/>
    <w:rsid w:val="00562C82"/>
    <w:rsid w:val="0056324B"/>
    <w:rsid w:val="00563982"/>
    <w:rsid w:val="00563C98"/>
    <w:rsid w:val="00563D2A"/>
    <w:rsid w:val="00563DF3"/>
    <w:rsid w:val="00563EE8"/>
    <w:rsid w:val="00564607"/>
    <w:rsid w:val="005649E0"/>
    <w:rsid w:val="00564D6B"/>
    <w:rsid w:val="0056511D"/>
    <w:rsid w:val="0056530E"/>
    <w:rsid w:val="00565C63"/>
    <w:rsid w:val="00565CF4"/>
    <w:rsid w:val="00566009"/>
    <w:rsid w:val="005662CD"/>
    <w:rsid w:val="005665AD"/>
    <w:rsid w:val="005669D1"/>
    <w:rsid w:val="005671C8"/>
    <w:rsid w:val="0056721C"/>
    <w:rsid w:val="005672B5"/>
    <w:rsid w:val="005674CB"/>
    <w:rsid w:val="005701B9"/>
    <w:rsid w:val="0057024C"/>
    <w:rsid w:val="00570B50"/>
    <w:rsid w:val="00570F51"/>
    <w:rsid w:val="00571127"/>
    <w:rsid w:val="005713A9"/>
    <w:rsid w:val="0057146D"/>
    <w:rsid w:val="00571570"/>
    <w:rsid w:val="005716EB"/>
    <w:rsid w:val="00571828"/>
    <w:rsid w:val="005719F7"/>
    <w:rsid w:val="005721FD"/>
    <w:rsid w:val="005727BB"/>
    <w:rsid w:val="00572A4E"/>
    <w:rsid w:val="00572A82"/>
    <w:rsid w:val="00572C37"/>
    <w:rsid w:val="00572C83"/>
    <w:rsid w:val="00572D2B"/>
    <w:rsid w:val="00572F1C"/>
    <w:rsid w:val="0057305E"/>
    <w:rsid w:val="005733BE"/>
    <w:rsid w:val="00573E09"/>
    <w:rsid w:val="00573E27"/>
    <w:rsid w:val="00573E6F"/>
    <w:rsid w:val="00573E97"/>
    <w:rsid w:val="00574180"/>
    <w:rsid w:val="005742E3"/>
    <w:rsid w:val="0057471D"/>
    <w:rsid w:val="00574A61"/>
    <w:rsid w:val="00574C34"/>
    <w:rsid w:val="005750D6"/>
    <w:rsid w:val="00575AD6"/>
    <w:rsid w:val="005762F4"/>
    <w:rsid w:val="005766D1"/>
    <w:rsid w:val="00576BF8"/>
    <w:rsid w:val="00576F4F"/>
    <w:rsid w:val="00576FBA"/>
    <w:rsid w:val="00577622"/>
    <w:rsid w:val="005776FA"/>
    <w:rsid w:val="00577E2A"/>
    <w:rsid w:val="0058087B"/>
    <w:rsid w:val="00580959"/>
    <w:rsid w:val="005809F2"/>
    <w:rsid w:val="00580F4E"/>
    <w:rsid w:val="00580F58"/>
    <w:rsid w:val="005813A9"/>
    <w:rsid w:val="0058178D"/>
    <w:rsid w:val="00582272"/>
    <w:rsid w:val="005822BE"/>
    <w:rsid w:val="0058247D"/>
    <w:rsid w:val="005825A8"/>
    <w:rsid w:val="005826C2"/>
    <w:rsid w:val="005829C0"/>
    <w:rsid w:val="00583129"/>
    <w:rsid w:val="0058381C"/>
    <w:rsid w:val="0058410D"/>
    <w:rsid w:val="00584378"/>
    <w:rsid w:val="00584516"/>
    <w:rsid w:val="005845E2"/>
    <w:rsid w:val="00584DF0"/>
    <w:rsid w:val="005856E5"/>
    <w:rsid w:val="00585E74"/>
    <w:rsid w:val="00585F41"/>
    <w:rsid w:val="005863E7"/>
    <w:rsid w:val="005863EC"/>
    <w:rsid w:val="00586758"/>
    <w:rsid w:val="00586A23"/>
    <w:rsid w:val="0058771D"/>
    <w:rsid w:val="005878F6"/>
    <w:rsid w:val="00587F4D"/>
    <w:rsid w:val="005900EB"/>
    <w:rsid w:val="00590144"/>
    <w:rsid w:val="005902F7"/>
    <w:rsid w:val="0059064A"/>
    <w:rsid w:val="00590A53"/>
    <w:rsid w:val="00590B49"/>
    <w:rsid w:val="00590F18"/>
    <w:rsid w:val="00591893"/>
    <w:rsid w:val="00591EF0"/>
    <w:rsid w:val="00591FC9"/>
    <w:rsid w:val="00592D25"/>
    <w:rsid w:val="00592FE0"/>
    <w:rsid w:val="0059334A"/>
    <w:rsid w:val="0059426A"/>
    <w:rsid w:val="005948D2"/>
    <w:rsid w:val="00594938"/>
    <w:rsid w:val="00594A69"/>
    <w:rsid w:val="0059516F"/>
    <w:rsid w:val="00595265"/>
    <w:rsid w:val="00595313"/>
    <w:rsid w:val="0059590D"/>
    <w:rsid w:val="00595A57"/>
    <w:rsid w:val="005962F0"/>
    <w:rsid w:val="00596475"/>
    <w:rsid w:val="005965C5"/>
    <w:rsid w:val="0059663E"/>
    <w:rsid w:val="00596778"/>
    <w:rsid w:val="0059677B"/>
    <w:rsid w:val="00596BFE"/>
    <w:rsid w:val="00596D0B"/>
    <w:rsid w:val="005972B1"/>
    <w:rsid w:val="005973D6"/>
    <w:rsid w:val="00597652"/>
    <w:rsid w:val="005A07AF"/>
    <w:rsid w:val="005A0829"/>
    <w:rsid w:val="005A1173"/>
    <w:rsid w:val="005A11C0"/>
    <w:rsid w:val="005A15CB"/>
    <w:rsid w:val="005A1657"/>
    <w:rsid w:val="005A17B2"/>
    <w:rsid w:val="005A180D"/>
    <w:rsid w:val="005A25D2"/>
    <w:rsid w:val="005A29CD"/>
    <w:rsid w:val="005A2A5C"/>
    <w:rsid w:val="005A3DF9"/>
    <w:rsid w:val="005A40A3"/>
    <w:rsid w:val="005A4831"/>
    <w:rsid w:val="005A4DC2"/>
    <w:rsid w:val="005A51D0"/>
    <w:rsid w:val="005A592A"/>
    <w:rsid w:val="005A595B"/>
    <w:rsid w:val="005A59A8"/>
    <w:rsid w:val="005A5B2D"/>
    <w:rsid w:val="005A5DB7"/>
    <w:rsid w:val="005A64C8"/>
    <w:rsid w:val="005A6617"/>
    <w:rsid w:val="005A673A"/>
    <w:rsid w:val="005A6F73"/>
    <w:rsid w:val="005A7A80"/>
    <w:rsid w:val="005A7B33"/>
    <w:rsid w:val="005B01EC"/>
    <w:rsid w:val="005B0C65"/>
    <w:rsid w:val="005B0D91"/>
    <w:rsid w:val="005B0EE0"/>
    <w:rsid w:val="005B121E"/>
    <w:rsid w:val="005B127F"/>
    <w:rsid w:val="005B1454"/>
    <w:rsid w:val="005B1A8E"/>
    <w:rsid w:val="005B1C0E"/>
    <w:rsid w:val="005B24F2"/>
    <w:rsid w:val="005B260D"/>
    <w:rsid w:val="005B2C3D"/>
    <w:rsid w:val="005B30FA"/>
    <w:rsid w:val="005B31C2"/>
    <w:rsid w:val="005B39E7"/>
    <w:rsid w:val="005B3CFB"/>
    <w:rsid w:val="005B3E7F"/>
    <w:rsid w:val="005B405D"/>
    <w:rsid w:val="005B4361"/>
    <w:rsid w:val="005B4F4D"/>
    <w:rsid w:val="005B5BD3"/>
    <w:rsid w:val="005B5D1A"/>
    <w:rsid w:val="005B5D89"/>
    <w:rsid w:val="005B63FB"/>
    <w:rsid w:val="005B640E"/>
    <w:rsid w:val="005B646C"/>
    <w:rsid w:val="005B66D2"/>
    <w:rsid w:val="005B6D21"/>
    <w:rsid w:val="005B7539"/>
    <w:rsid w:val="005B769E"/>
    <w:rsid w:val="005B7D2A"/>
    <w:rsid w:val="005B7E18"/>
    <w:rsid w:val="005B7E8B"/>
    <w:rsid w:val="005B7EA0"/>
    <w:rsid w:val="005B7F80"/>
    <w:rsid w:val="005C0762"/>
    <w:rsid w:val="005C0B1A"/>
    <w:rsid w:val="005C0B7D"/>
    <w:rsid w:val="005C170E"/>
    <w:rsid w:val="005C18AC"/>
    <w:rsid w:val="005C1DCA"/>
    <w:rsid w:val="005C291D"/>
    <w:rsid w:val="005C2ACA"/>
    <w:rsid w:val="005C2C17"/>
    <w:rsid w:val="005C300B"/>
    <w:rsid w:val="005C367A"/>
    <w:rsid w:val="005C3864"/>
    <w:rsid w:val="005C3BB7"/>
    <w:rsid w:val="005C3E8D"/>
    <w:rsid w:val="005C4041"/>
    <w:rsid w:val="005C40FD"/>
    <w:rsid w:val="005C4504"/>
    <w:rsid w:val="005C4818"/>
    <w:rsid w:val="005C4838"/>
    <w:rsid w:val="005C5632"/>
    <w:rsid w:val="005C5D87"/>
    <w:rsid w:val="005C6012"/>
    <w:rsid w:val="005C6981"/>
    <w:rsid w:val="005C6BC2"/>
    <w:rsid w:val="005C6D22"/>
    <w:rsid w:val="005C6D29"/>
    <w:rsid w:val="005C7154"/>
    <w:rsid w:val="005C7512"/>
    <w:rsid w:val="005C75F0"/>
    <w:rsid w:val="005C7FDB"/>
    <w:rsid w:val="005D0201"/>
    <w:rsid w:val="005D02F3"/>
    <w:rsid w:val="005D0429"/>
    <w:rsid w:val="005D0CD0"/>
    <w:rsid w:val="005D1060"/>
    <w:rsid w:val="005D11F0"/>
    <w:rsid w:val="005D19A1"/>
    <w:rsid w:val="005D1A69"/>
    <w:rsid w:val="005D1CD6"/>
    <w:rsid w:val="005D1DE9"/>
    <w:rsid w:val="005D2AAD"/>
    <w:rsid w:val="005D2E2F"/>
    <w:rsid w:val="005D33DE"/>
    <w:rsid w:val="005D34CB"/>
    <w:rsid w:val="005D3A9A"/>
    <w:rsid w:val="005D3C62"/>
    <w:rsid w:val="005D3CE3"/>
    <w:rsid w:val="005D3DA8"/>
    <w:rsid w:val="005D3F6D"/>
    <w:rsid w:val="005D422E"/>
    <w:rsid w:val="005D4965"/>
    <w:rsid w:val="005D4B2B"/>
    <w:rsid w:val="005D4D1D"/>
    <w:rsid w:val="005D620C"/>
    <w:rsid w:val="005D6361"/>
    <w:rsid w:val="005D6716"/>
    <w:rsid w:val="005D6D0A"/>
    <w:rsid w:val="005D6ECF"/>
    <w:rsid w:val="005D7207"/>
    <w:rsid w:val="005D7444"/>
    <w:rsid w:val="005D7774"/>
    <w:rsid w:val="005E027A"/>
    <w:rsid w:val="005E0787"/>
    <w:rsid w:val="005E0B94"/>
    <w:rsid w:val="005E0D57"/>
    <w:rsid w:val="005E2345"/>
    <w:rsid w:val="005E2881"/>
    <w:rsid w:val="005E29A6"/>
    <w:rsid w:val="005E35EF"/>
    <w:rsid w:val="005E369B"/>
    <w:rsid w:val="005E38BB"/>
    <w:rsid w:val="005E3BF8"/>
    <w:rsid w:val="005E4284"/>
    <w:rsid w:val="005E42EB"/>
    <w:rsid w:val="005E43EF"/>
    <w:rsid w:val="005E495D"/>
    <w:rsid w:val="005E4B24"/>
    <w:rsid w:val="005E4E35"/>
    <w:rsid w:val="005E4EC0"/>
    <w:rsid w:val="005E4EE6"/>
    <w:rsid w:val="005E51D0"/>
    <w:rsid w:val="005E5DF7"/>
    <w:rsid w:val="005E647B"/>
    <w:rsid w:val="005E65B5"/>
    <w:rsid w:val="005E6643"/>
    <w:rsid w:val="005E6875"/>
    <w:rsid w:val="005E6C0C"/>
    <w:rsid w:val="005E70E5"/>
    <w:rsid w:val="005E748D"/>
    <w:rsid w:val="005E74E8"/>
    <w:rsid w:val="005E7523"/>
    <w:rsid w:val="005E7FD5"/>
    <w:rsid w:val="005F0509"/>
    <w:rsid w:val="005F0DC4"/>
    <w:rsid w:val="005F11DD"/>
    <w:rsid w:val="005F233B"/>
    <w:rsid w:val="005F2368"/>
    <w:rsid w:val="005F29B2"/>
    <w:rsid w:val="005F2A65"/>
    <w:rsid w:val="005F2B98"/>
    <w:rsid w:val="005F3439"/>
    <w:rsid w:val="005F3BA3"/>
    <w:rsid w:val="005F40DE"/>
    <w:rsid w:val="005F4816"/>
    <w:rsid w:val="005F48D3"/>
    <w:rsid w:val="005F52C8"/>
    <w:rsid w:val="005F55A5"/>
    <w:rsid w:val="005F5653"/>
    <w:rsid w:val="005F5695"/>
    <w:rsid w:val="005F56EC"/>
    <w:rsid w:val="005F573E"/>
    <w:rsid w:val="005F5ACF"/>
    <w:rsid w:val="005F5DEE"/>
    <w:rsid w:val="005F5EFC"/>
    <w:rsid w:val="005F61EA"/>
    <w:rsid w:val="005F63CC"/>
    <w:rsid w:val="005F67CD"/>
    <w:rsid w:val="005F6B29"/>
    <w:rsid w:val="005F7045"/>
    <w:rsid w:val="005F72FD"/>
    <w:rsid w:val="005F75A8"/>
    <w:rsid w:val="005F770B"/>
    <w:rsid w:val="005F7CE8"/>
    <w:rsid w:val="005F7D30"/>
    <w:rsid w:val="00600BAC"/>
    <w:rsid w:val="00600E90"/>
    <w:rsid w:val="00600FC8"/>
    <w:rsid w:val="0060120E"/>
    <w:rsid w:val="006014D9"/>
    <w:rsid w:val="00602570"/>
    <w:rsid w:val="0060272F"/>
    <w:rsid w:val="00602BE3"/>
    <w:rsid w:val="006032A1"/>
    <w:rsid w:val="006033CD"/>
    <w:rsid w:val="006037F5"/>
    <w:rsid w:val="00603B29"/>
    <w:rsid w:val="00603CFE"/>
    <w:rsid w:val="006041A1"/>
    <w:rsid w:val="00604774"/>
    <w:rsid w:val="006047EF"/>
    <w:rsid w:val="00604B70"/>
    <w:rsid w:val="00604EB1"/>
    <w:rsid w:val="00605129"/>
    <w:rsid w:val="00605269"/>
    <w:rsid w:val="006054CA"/>
    <w:rsid w:val="00605A6E"/>
    <w:rsid w:val="00605D44"/>
    <w:rsid w:val="00605E74"/>
    <w:rsid w:val="00605EE4"/>
    <w:rsid w:val="006065C0"/>
    <w:rsid w:val="00606CB7"/>
    <w:rsid w:val="00606D05"/>
    <w:rsid w:val="00606E52"/>
    <w:rsid w:val="00606F93"/>
    <w:rsid w:val="006071CD"/>
    <w:rsid w:val="006073B7"/>
    <w:rsid w:val="006077E4"/>
    <w:rsid w:val="00607A4D"/>
    <w:rsid w:val="00607CBE"/>
    <w:rsid w:val="00610027"/>
    <w:rsid w:val="0061007F"/>
    <w:rsid w:val="006100E6"/>
    <w:rsid w:val="006102D2"/>
    <w:rsid w:val="00610973"/>
    <w:rsid w:val="0061111B"/>
    <w:rsid w:val="00611E6A"/>
    <w:rsid w:val="0061297C"/>
    <w:rsid w:val="00612A42"/>
    <w:rsid w:val="00612DB3"/>
    <w:rsid w:val="0061303B"/>
    <w:rsid w:val="00613670"/>
    <w:rsid w:val="00613746"/>
    <w:rsid w:val="00613AA4"/>
    <w:rsid w:val="00613B22"/>
    <w:rsid w:val="00613C63"/>
    <w:rsid w:val="00613DEC"/>
    <w:rsid w:val="00614637"/>
    <w:rsid w:val="006147C3"/>
    <w:rsid w:val="00614C1E"/>
    <w:rsid w:val="00614DAC"/>
    <w:rsid w:val="00614EE2"/>
    <w:rsid w:val="00614F06"/>
    <w:rsid w:val="00614F3B"/>
    <w:rsid w:val="00615055"/>
    <w:rsid w:val="00615136"/>
    <w:rsid w:val="006153F1"/>
    <w:rsid w:val="0061544F"/>
    <w:rsid w:val="0061564D"/>
    <w:rsid w:val="00615C9C"/>
    <w:rsid w:val="00615FC2"/>
    <w:rsid w:val="00616C3E"/>
    <w:rsid w:val="006172A9"/>
    <w:rsid w:val="00617390"/>
    <w:rsid w:val="006178D0"/>
    <w:rsid w:val="00617949"/>
    <w:rsid w:val="00617A2E"/>
    <w:rsid w:val="00620368"/>
    <w:rsid w:val="00620609"/>
    <w:rsid w:val="0062083C"/>
    <w:rsid w:val="006211D2"/>
    <w:rsid w:val="006220AA"/>
    <w:rsid w:val="00622321"/>
    <w:rsid w:val="0062268F"/>
    <w:rsid w:val="0062280D"/>
    <w:rsid w:val="006228B0"/>
    <w:rsid w:val="006229C6"/>
    <w:rsid w:val="00622E7B"/>
    <w:rsid w:val="00622FA7"/>
    <w:rsid w:val="0062350A"/>
    <w:rsid w:val="006236A5"/>
    <w:rsid w:val="006236A7"/>
    <w:rsid w:val="0062376E"/>
    <w:rsid w:val="00623B6C"/>
    <w:rsid w:val="00623E56"/>
    <w:rsid w:val="006243AB"/>
    <w:rsid w:val="006245D4"/>
    <w:rsid w:val="006249BF"/>
    <w:rsid w:val="00625095"/>
    <w:rsid w:val="0062656B"/>
    <w:rsid w:val="00626F7F"/>
    <w:rsid w:val="006274F1"/>
    <w:rsid w:val="00627752"/>
    <w:rsid w:val="00627878"/>
    <w:rsid w:val="006278E7"/>
    <w:rsid w:val="0062793A"/>
    <w:rsid w:val="00627DA2"/>
    <w:rsid w:val="00627EB2"/>
    <w:rsid w:val="00630A73"/>
    <w:rsid w:val="00630AFE"/>
    <w:rsid w:val="00630E77"/>
    <w:rsid w:val="00630E95"/>
    <w:rsid w:val="00631300"/>
    <w:rsid w:val="0063164D"/>
    <w:rsid w:val="00631671"/>
    <w:rsid w:val="00631AE4"/>
    <w:rsid w:val="00631C14"/>
    <w:rsid w:val="00631E2C"/>
    <w:rsid w:val="00631EB2"/>
    <w:rsid w:val="00632049"/>
    <w:rsid w:val="00632115"/>
    <w:rsid w:val="0063212B"/>
    <w:rsid w:val="006329A8"/>
    <w:rsid w:val="00632E2A"/>
    <w:rsid w:val="00632FE5"/>
    <w:rsid w:val="00633889"/>
    <w:rsid w:val="006340C9"/>
    <w:rsid w:val="00634704"/>
    <w:rsid w:val="00634ECC"/>
    <w:rsid w:val="006357DF"/>
    <w:rsid w:val="00636707"/>
    <w:rsid w:val="00636724"/>
    <w:rsid w:val="00636B20"/>
    <w:rsid w:val="00636B4B"/>
    <w:rsid w:val="00637013"/>
    <w:rsid w:val="00637026"/>
    <w:rsid w:val="00637A79"/>
    <w:rsid w:val="00637EDE"/>
    <w:rsid w:val="0064021A"/>
    <w:rsid w:val="00640738"/>
    <w:rsid w:val="00640B88"/>
    <w:rsid w:val="00640BCF"/>
    <w:rsid w:val="006412B4"/>
    <w:rsid w:val="0064137C"/>
    <w:rsid w:val="00641ECA"/>
    <w:rsid w:val="006421FA"/>
    <w:rsid w:val="006426CA"/>
    <w:rsid w:val="0064369F"/>
    <w:rsid w:val="00643899"/>
    <w:rsid w:val="00643AC4"/>
    <w:rsid w:val="00643D82"/>
    <w:rsid w:val="00643DA5"/>
    <w:rsid w:val="00644602"/>
    <w:rsid w:val="006450DE"/>
    <w:rsid w:val="0064549B"/>
    <w:rsid w:val="00645B48"/>
    <w:rsid w:val="00645C45"/>
    <w:rsid w:val="00645E0E"/>
    <w:rsid w:val="006467AA"/>
    <w:rsid w:val="00646D97"/>
    <w:rsid w:val="00646EDE"/>
    <w:rsid w:val="0064756D"/>
    <w:rsid w:val="00647B0F"/>
    <w:rsid w:val="00647C55"/>
    <w:rsid w:val="00647DEF"/>
    <w:rsid w:val="00650CE7"/>
    <w:rsid w:val="00650E02"/>
    <w:rsid w:val="0065104F"/>
    <w:rsid w:val="00651616"/>
    <w:rsid w:val="006519FC"/>
    <w:rsid w:val="00651AF5"/>
    <w:rsid w:val="00651BAE"/>
    <w:rsid w:val="00651E8C"/>
    <w:rsid w:val="0065238F"/>
    <w:rsid w:val="0065244C"/>
    <w:rsid w:val="00652A4A"/>
    <w:rsid w:val="00652B06"/>
    <w:rsid w:val="00652F31"/>
    <w:rsid w:val="0065313A"/>
    <w:rsid w:val="006537BA"/>
    <w:rsid w:val="00653DBE"/>
    <w:rsid w:val="00653DE0"/>
    <w:rsid w:val="00653EA8"/>
    <w:rsid w:val="00653FFD"/>
    <w:rsid w:val="00654270"/>
    <w:rsid w:val="00654928"/>
    <w:rsid w:val="00654BF5"/>
    <w:rsid w:val="00654CB0"/>
    <w:rsid w:val="00655D48"/>
    <w:rsid w:val="00655E2F"/>
    <w:rsid w:val="00655FC7"/>
    <w:rsid w:val="0065660E"/>
    <w:rsid w:val="006567C6"/>
    <w:rsid w:val="006568F7"/>
    <w:rsid w:val="00656A64"/>
    <w:rsid w:val="00656AAF"/>
    <w:rsid w:val="00656B60"/>
    <w:rsid w:val="006571D5"/>
    <w:rsid w:val="0065721D"/>
    <w:rsid w:val="006573F8"/>
    <w:rsid w:val="00657E0B"/>
    <w:rsid w:val="00660724"/>
    <w:rsid w:val="00660E51"/>
    <w:rsid w:val="00660FC3"/>
    <w:rsid w:val="00661612"/>
    <w:rsid w:val="00662256"/>
    <w:rsid w:val="00662A57"/>
    <w:rsid w:val="00662E45"/>
    <w:rsid w:val="00662F7B"/>
    <w:rsid w:val="00663175"/>
    <w:rsid w:val="006631F7"/>
    <w:rsid w:val="0066376E"/>
    <w:rsid w:val="006646B0"/>
    <w:rsid w:val="006652E8"/>
    <w:rsid w:val="006656B3"/>
    <w:rsid w:val="006659D6"/>
    <w:rsid w:val="00665DED"/>
    <w:rsid w:val="00665FCC"/>
    <w:rsid w:val="00666536"/>
    <w:rsid w:val="0066657D"/>
    <w:rsid w:val="00666726"/>
    <w:rsid w:val="00666CAD"/>
    <w:rsid w:val="00666D7B"/>
    <w:rsid w:val="00666E9B"/>
    <w:rsid w:val="00667011"/>
    <w:rsid w:val="00667A91"/>
    <w:rsid w:val="00667B0E"/>
    <w:rsid w:val="00670124"/>
    <w:rsid w:val="006701D3"/>
    <w:rsid w:val="00670419"/>
    <w:rsid w:val="0067056E"/>
    <w:rsid w:val="006709E8"/>
    <w:rsid w:val="00670A24"/>
    <w:rsid w:val="00670A53"/>
    <w:rsid w:val="00670A9A"/>
    <w:rsid w:val="00670BB6"/>
    <w:rsid w:val="00670CFC"/>
    <w:rsid w:val="00670ECC"/>
    <w:rsid w:val="00671348"/>
    <w:rsid w:val="006718AD"/>
    <w:rsid w:val="006719C1"/>
    <w:rsid w:val="00671DB1"/>
    <w:rsid w:val="0067253F"/>
    <w:rsid w:val="00672696"/>
    <w:rsid w:val="00672872"/>
    <w:rsid w:val="006729E8"/>
    <w:rsid w:val="00672B52"/>
    <w:rsid w:val="00672FD0"/>
    <w:rsid w:val="00673102"/>
    <w:rsid w:val="00673463"/>
    <w:rsid w:val="006734CE"/>
    <w:rsid w:val="006738B0"/>
    <w:rsid w:val="00673B0B"/>
    <w:rsid w:val="00673D7B"/>
    <w:rsid w:val="00673E7F"/>
    <w:rsid w:val="00674306"/>
    <w:rsid w:val="00674620"/>
    <w:rsid w:val="00674CA8"/>
    <w:rsid w:val="00675383"/>
    <w:rsid w:val="00675730"/>
    <w:rsid w:val="00675E66"/>
    <w:rsid w:val="00676111"/>
    <w:rsid w:val="00677139"/>
    <w:rsid w:val="0067760B"/>
    <w:rsid w:val="0067778B"/>
    <w:rsid w:val="0067786C"/>
    <w:rsid w:val="00677A7C"/>
    <w:rsid w:val="00677BAB"/>
    <w:rsid w:val="00677D84"/>
    <w:rsid w:val="00677E42"/>
    <w:rsid w:val="006800A0"/>
    <w:rsid w:val="00680361"/>
    <w:rsid w:val="006804D2"/>
    <w:rsid w:val="006807DB"/>
    <w:rsid w:val="00680B08"/>
    <w:rsid w:val="00680F9F"/>
    <w:rsid w:val="00680FB6"/>
    <w:rsid w:val="00681612"/>
    <w:rsid w:val="00681B1E"/>
    <w:rsid w:val="00683292"/>
    <w:rsid w:val="00683396"/>
    <w:rsid w:val="00683649"/>
    <w:rsid w:val="00683E0D"/>
    <w:rsid w:val="00683FDC"/>
    <w:rsid w:val="006845F3"/>
    <w:rsid w:val="00684692"/>
    <w:rsid w:val="00684BA8"/>
    <w:rsid w:val="00684CAA"/>
    <w:rsid w:val="00685302"/>
    <w:rsid w:val="0068555B"/>
    <w:rsid w:val="006856B6"/>
    <w:rsid w:val="00686061"/>
    <w:rsid w:val="00686265"/>
    <w:rsid w:val="006862CD"/>
    <w:rsid w:val="006863F0"/>
    <w:rsid w:val="00686965"/>
    <w:rsid w:val="00686AE8"/>
    <w:rsid w:val="00687CE3"/>
    <w:rsid w:val="006906CA"/>
    <w:rsid w:val="00690A93"/>
    <w:rsid w:val="00690D42"/>
    <w:rsid w:val="00691155"/>
    <w:rsid w:val="006912D8"/>
    <w:rsid w:val="0069175B"/>
    <w:rsid w:val="00691A3A"/>
    <w:rsid w:val="00692282"/>
    <w:rsid w:val="00692571"/>
    <w:rsid w:val="00693314"/>
    <w:rsid w:val="00693A31"/>
    <w:rsid w:val="00693BF0"/>
    <w:rsid w:val="00693CD9"/>
    <w:rsid w:val="0069406B"/>
    <w:rsid w:val="00694253"/>
    <w:rsid w:val="00694375"/>
    <w:rsid w:val="006943E6"/>
    <w:rsid w:val="00694525"/>
    <w:rsid w:val="006946D3"/>
    <w:rsid w:val="006948CD"/>
    <w:rsid w:val="00694AA8"/>
    <w:rsid w:val="00695186"/>
    <w:rsid w:val="00695618"/>
    <w:rsid w:val="00695672"/>
    <w:rsid w:val="006959B8"/>
    <w:rsid w:val="00695C63"/>
    <w:rsid w:val="00695E76"/>
    <w:rsid w:val="00695F63"/>
    <w:rsid w:val="006963AD"/>
    <w:rsid w:val="00696416"/>
    <w:rsid w:val="00696DBA"/>
    <w:rsid w:val="00697BF7"/>
    <w:rsid w:val="00697CB1"/>
    <w:rsid w:val="006A00CA"/>
    <w:rsid w:val="006A0114"/>
    <w:rsid w:val="006A0291"/>
    <w:rsid w:val="006A0585"/>
    <w:rsid w:val="006A0BF7"/>
    <w:rsid w:val="006A1264"/>
    <w:rsid w:val="006A13DF"/>
    <w:rsid w:val="006A19EB"/>
    <w:rsid w:val="006A1A00"/>
    <w:rsid w:val="006A1C2C"/>
    <w:rsid w:val="006A23AC"/>
    <w:rsid w:val="006A2484"/>
    <w:rsid w:val="006A26C3"/>
    <w:rsid w:val="006A2A27"/>
    <w:rsid w:val="006A2E9F"/>
    <w:rsid w:val="006A31A4"/>
    <w:rsid w:val="006A36E1"/>
    <w:rsid w:val="006A3951"/>
    <w:rsid w:val="006A3A3C"/>
    <w:rsid w:val="006A4092"/>
    <w:rsid w:val="006A4A1E"/>
    <w:rsid w:val="006A4AE9"/>
    <w:rsid w:val="006A533C"/>
    <w:rsid w:val="006A5C71"/>
    <w:rsid w:val="006A5CB2"/>
    <w:rsid w:val="006A5CB4"/>
    <w:rsid w:val="006A5CE0"/>
    <w:rsid w:val="006A6A7B"/>
    <w:rsid w:val="006A78E3"/>
    <w:rsid w:val="006A7E11"/>
    <w:rsid w:val="006B0A94"/>
    <w:rsid w:val="006B0BAB"/>
    <w:rsid w:val="006B0DB2"/>
    <w:rsid w:val="006B0DCF"/>
    <w:rsid w:val="006B0F7F"/>
    <w:rsid w:val="006B0FFF"/>
    <w:rsid w:val="006B1268"/>
    <w:rsid w:val="006B12DB"/>
    <w:rsid w:val="006B1423"/>
    <w:rsid w:val="006B21A2"/>
    <w:rsid w:val="006B220B"/>
    <w:rsid w:val="006B22A6"/>
    <w:rsid w:val="006B2758"/>
    <w:rsid w:val="006B292C"/>
    <w:rsid w:val="006B2CDE"/>
    <w:rsid w:val="006B307B"/>
    <w:rsid w:val="006B329C"/>
    <w:rsid w:val="006B3E53"/>
    <w:rsid w:val="006B3E55"/>
    <w:rsid w:val="006B43BF"/>
    <w:rsid w:val="006B4509"/>
    <w:rsid w:val="006B4EB0"/>
    <w:rsid w:val="006B5043"/>
    <w:rsid w:val="006B581E"/>
    <w:rsid w:val="006B5D4B"/>
    <w:rsid w:val="006B5EDE"/>
    <w:rsid w:val="006B67C0"/>
    <w:rsid w:val="006B687C"/>
    <w:rsid w:val="006B6A26"/>
    <w:rsid w:val="006B6BF4"/>
    <w:rsid w:val="006B6C02"/>
    <w:rsid w:val="006B6EC9"/>
    <w:rsid w:val="006B72E5"/>
    <w:rsid w:val="006B7461"/>
    <w:rsid w:val="006B7639"/>
    <w:rsid w:val="006B7B0C"/>
    <w:rsid w:val="006B7BDA"/>
    <w:rsid w:val="006B7F2D"/>
    <w:rsid w:val="006C017C"/>
    <w:rsid w:val="006C06A0"/>
    <w:rsid w:val="006C086C"/>
    <w:rsid w:val="006C0901"/>
    <w:rsid w:val="006C09E9"/>
    <w:rsid w:val="006C0A24"/>
    <w:rsid w:val="006C0D7E"/>
    <w:rsid w:val="006C0DFE"/>
    <w:rsid w:val="006C202F"/>
    <w:rsid w:val="006C213A"/>
    <w:rsid w:val="006C2167"/>
    <w:rsid w:val="006C244E"/>
    <w:rsid w:val="006C2646"/>
    <w:rsid w:val="006C2A80"/>
    <w:rsid w:val="006C3470"/>
    <w:rsid w:val="006C3B84"/>
    <w:rsid w:val="006C41F7"/>
    <w:rsid w:val="006C4AD5"/>
    <w:rsid w:val="006C4D8A"/>
    <w:rsid w:val="006C4FF4"/>
    <w:rsid w:val="006C4FF8"/>
    <w:rsid w:val="006C501E"/>
    <w:rsid w:val="006C576A"/>
    <w:rsid w:val="006C587A"/>
    <w:rsid w:val="006C5BDF"/>
    <w:rsid w:val="006C6843"/>
    <w:rsid w:val="006C684A"/>
    <w:rsid w:val="006C69A9"/>
    <w:rsid w:val="006C6A79"/>
    <w:rsid w:val="006C6A7F"/>
    <w:rsid w:val="006C6D5D"/>
    <w:rsid w:val="006C7C34"/>
    <w:rsid w:val="006C7E5E"/>
    <w:rsid w:val="006C7F93"/>
    <w:rsid w:val="006D0481"/>
    <w:rsid w:val="006D0529"/>
    <w:rsid w:val="006D0914"/>
    <w:rsid w:val="006D0FBD"/>
    <w:rsid w:val="006D10EC"/>
    <w:rsid w:val="006D14B7"/>
    <w:rsid w:val="006D1A03"/>
    <w:rsid w:val="006D27B7"/>
    <w:rsid w:val="006D2800"/>
    <w:rsid w:val="006D2B22"/>
    <w:rsid w:val="006D3049"/>
    <w:rsid w:val="006D3470"/>
    <w:rsid w:val="006D3536"/>
    <w:rsid w:val="006D376A"/>
    <w:rsid w:val="006D3A90"/>
    <w:rsid w:val="006D3C17"/>
    <w:rsid w:val="006D41F1"/>
    <w:rsid w:val="006D476D"/>
    <w:rsid w:val="006D48AB"/>
    <w:rsid w:val="006D4CB4"/>
    <w:rsid w:val="006D4D0D"/>
    <w:rsid w:val="006D4DDE"/>
    <w:rsid w:val="006D584F"/>
    <w:rsid w:val="006D5D3A"/>
    <w:rsid w:val="006D5EA6"/>
    <w:rsid w:val="006D688D"/>
    <w:rsid w:val="006D7007"/>
    <w:rsid w:val="006D70D7"/>
    <w:rsid w:val="006D731D"/>
    <w:rsid w:val="006D73FA"/>
    <w:rsid w:val="006D740A"/>
    <w:rsid w:val="006D796C"/>
    <w:rsid w:val="006D7AFC"/>
    <w:rsid w:val="006E02ED"/>
    <w:rsid w:val="006E07D9"/>
    <w:rsid w:val="006E09C4"/>
    <w:rsid w:val="006E0C8A"/>
    <w:rsid w:val="006E0D8D"/>
    <w:rsid w:val="006E10EE"/>
    <w:rsid w:val="006E1820"/>
    <w:rsid w:val="006E1C4F"/>
    <w:rsid w:val="006E1EB2"/>
    <w:rsid w:val="006E2685"/>
    <w:rsid w:val="006E27F9"/>
    <w:rsid w:val="006E283C"/>
    <w:rsid w:val="006E31C6"/>
    <w:rsid w:val="006E35DB"/>
    <w:rsid w:val="006E3BA5"/>
    <w:rsid w:val="006E41C9"/>
    <w:rsid w:val="006E4590"/>
    <w:rsid w:val="006E45B2"/>
    <w:rsid w:val="006E4752"/>
    <w:rsid w:val="006E5977"/>
    <w:rsid w:val="006E598C"/>
    <w:rsid w:val="006E5C58"/>
    <w:rsid w:val="006E5E91"/>
    <w:rsid w:val="006E5EA4"/>
    <w:rsid w:val="006E62FF"/>
    <w:rsid w:val="006E6655"/>
    <w:rsid w:val="006E6E1A"/>
    <w:rsid w:val="006E7089"/>
    <w:rsid w:val="006E70D8"/>
    <w:rsid w:val="006E7593"/>
    <w:rsid w:val="006E76BD"/>
    <w:rsid w:val="006F0537"/>
    <w:rsid w:val="006F103C"/>
    <w:rsid w:val="006F14E7"/>
    <w:rsid w:val="006F1672"/>
    <w:rsid w:val="006F19B3"/>
    <w:rsid w:val="006F1A7F"/>
    <w:rsid w:val="006F1C77"/>
    <w:rsid w:val="006F1DAF"/>
    <w:rsid w:val="006F1E12"/>
    <w:rsid w:val="006F1F43"/>
    <w:rsid w:val="006F23BC"/>
    <w:rsid w:val="006F2613"/>
    <w:rsid w:val="006F289B"/>
    <w:rsid w:val="006F3BC9"/>
    <w:rsid w:val="006F3D0C"/>
    <w:rsid w:val="006F3ED2"/>
    <w:rsid w:val="006F45B9"/>
    <w:rsid w:val="006F4715"/>
    <w:rsid w:val="006F4CE4"/>
    <w:rsid w:val="006F51CA"/>
    <w:rsid w:val="006F5210"/>
    <w:rsid w:val="006F526E"/>
    <w:rsid w:val="006F5768"/>
    <w:rsid w:val="006F6501"/>
    <w:rsid w:val="006F65D3"/>
    <w:rsid w:val="006F6957"/>
    <w:rsid w:val="006F69B4"/>
    <w:rsid w:val="006F6A6C"/>
    <w:rsid w:val="006F6E36"/>
    <w:rsid w:val="006F6E42"/>
    <w:rsid w:val="006F7351"/>
    <w:rsid w:val="006F7460"/>
    <w:rsid w:val="006F7715"/>
    <w:rsid w:val="006F7BC0"/>
    <w:rsid w:val="006F7DA1"/>
    <w:rsid w:val="007002E7"/>
    <w:rsid w:val="00700469"/>
    <w:rsid w:val="007010AA"/>
    <w:rsid w:val="00701103"/>
    <w:rsid w:val="0070161F"/>
    <w:rsid w:val="0070168A"/>
    <w:rsid w:val="00701952"/>
    <w:rsid w:val="00701C29"/>
    <w:rsid w:val="007025BC"/>
    <w:rsid w:val="007027D0"/>
    <w:rsid w:val="0070299E"/>
    <w:rsid w:val="00702AEA"/>
    <w:rsid w:val="00702AEC"/>
    <w:rsid w:val="00702B79"/>
    <w:rsid w:val="00702E8E"/>
    <w:rsid w:val="00703613"/>
    <w:rsid w:val="00703629"/>
    <w:rsid w:val="0070365C"/>
    <w:rsid w:val="00703726"/>
    <w:rsid w:val="00703D18"/>
    <w:rsid w:val="00703FBB"/>
    <w:rsid w:val="00704146"/>
    <w:rsid w:val="00704454"/>
    <w:rsid w:val="00704492"/>
    <w:rsid w:val="00704507"/>
    <w:rsid w:val="00704A1F"/>
    <w:rsid w:val="00704CF5"/>
    <w:rsid w:val="007050EC"/>
    <w:rsid w:val="007050F2"/>
    <w:rsid w:val="0070527B"/>
    <w:rsid w:val="00705ACA"/>
    <w:rsid w:val="00705AFA"/>
    <w:rsid w:val="00705B54"/>
    <w:rsid w:val="00705EC4"/>
    <w:rsid w:val="0070612D"/>
    <w:rsid w:val="007064FF"/>
    <w:rsid w:val="00706A62"/>
    <w:rsid w:val="00706A82"/>
    <w:rsid w:val="00706D0C"/>
    <w:rsid w:val="00706D6A"/>
    <w:rsid w:val="00707011"/>
    <w:rsid w:val="00707593"/>
    <w:rsid w:val="00707669"/>
    <w:rsid w:val="007076B4"/>
    <w:rsid w:val="00707A1C"/>
    <w:rsid w:val="00707D50"/>
    <w:rsid w:val="00707E1F"/>
    <w:rsid w:val="00710763"/>
    <w:rsid w:val="00710879"/>
    <w:rsid w:val="007115AD"/>
    <w:rsid w:val="00711E38"/>
    <w:rsid w:val="007121A1"/>
    <w:rsid w:val="0071224A"/>
    <w:rsid w:val="007122BC"/>
    <w:rsid w:val="00712358"/>
    <w:rsid w:val="007125E1"/>
    <w:rsid w:val="0071292A"/>
    <w:rsid w:val="00712AAB"/>
    <w:rsid w:val="00713064"/>
    <w:rsid w:val="00713707"/>
    <w:rsid w:val="00713B79"/>
    <w:rsid w:val="00713C62"/>
    <w:rsid w:val="00713E8A"/>
    <w:rsid w:val="00714239"/>
    <w:rsid w:val="00714582"/>
    <w:rsid w:val="00714608"/>
    <w:rsid w:val="007149D8"/>
    <w:rsid w:val="00715580"/>
    <w:rsid w:val="00715D43"/>
    <w:rsid w:val="00715F1A"/>
    <w:rsid w:val="00716613"/>
    <w:rsid w:val="00716D15"/>
    <w:rsid w:val="007173FC"/>
    <w:rsid w:val="00717A88"/>
    <w:rsid w:val="00717E63"/>
    <w:rsid w:val="007201AC"/>
    <w:rsid w:val="00720A00"/>
    <w:rsid w:val="00720B07"/>
    <w:rsid w:val="00720D44"/>
    <w:rsid w:val="00720FA3"/>
    <w:rsid w:val="0072151B"/>
    <w:rsid w:val="00721929"/>
    <w:rsid w:val="007219C0"/>
    <w:rsid w:val="00723207"/>
    <w:rsid w:val="00723E2F"/>
    <w:rsid w:val="00724547"/>
    <w:rsid w:val="00724789"/>
    <w:rsid w:val="00725B48"/>
    <w:rsid w:val="00725E5F"/>
    <w:rsid w:val="00725EB9"/>
    <w:rsid w:val="00725EEC"/>
    <w:rsid w:val="007267D0"/>
    <w:rsid w:val="00726804"/>
    <w:rsid w:val="00726A34"/>
    <w:rsid w:val="00726B50"/>
    <w:rsid w:val="0072725E"/>
    <w:rsid w:val="007276F4"/>
    <w:rsid w:val="00727709"/>
    <w:rsid w:val="00727963"/>
    <w:rsid w:val="00727BDD"/>
    <w:rsid w:val="00730375"/>
    <w:rsid w:val="0073045F"/>
    <w:rsid w:val="00730969"/>
    <w:rsid w:val="007309ED"/>
    <w:rsid w:val="00730BC8"/>
    <w:rsid w:val="00730E44"/>
    <w:rsid w:val="00730E84"/>
    <w:rsid w:val="007317AD"/>
    <w:rsid w:val="00732125"/>
    <w:rsid w:val="007322A1"/>
    <w:rsid w:val="00732B1C"/>
    <w:rsid w:val="00732C1B"/>
    <w:rsid w:val="00732E8C"/>
    <w:rsid w:val="00733367"/>
    <w:rsid w:val="00733F32"/>
    <w:rsid w:val="007346D5"/>
    <w:rsid w:val="00734C20"/>
    <w:rsid w:val="007353B3"/>
    <w:rsid w:val="00735738"/>
    <w:rsid w:val="00735E99"/>
    <w:rsid w:val="0073611E"/>
    <w:rsid w:val="00736BC3"/>
    <w:rsid w:val="00736BFE"/>
    <w:rsid w:val="00737181"/>
    <w:rsid w:val="00737613"/>
    <w:rsid w:val="0073781C"/>
    <w:rsid w:val="0073795D"/>
    <w:rsid w:val="00737BD8"/>
    <w:rsid w:val="00737E98"/>
    <w:rsid w:val="00737FB9"/>
    <w:rsid w:val="00740912"/>
    <w:rsid w:val="00740E4B"/>
    <w:rsid w:val="00741297"/>
    <w:rsid w:val="007415B4"/>
    <w:rsid w:val="00742084"/>
    <w:rsid w:val="007423E8"/>
    <w:rsid w:val="00742581"/>
    <w:rsid w:val="00742A04"/>
    <w:rsid w:val="00742AD0"/>
    <w:rsid w:val="00743565"/>
    <w:rsid w:val="0074367C"/>
    <w:rsid w:val="00743735"/>
    <w:rsid w:val="00743C74"/>
    <w:rsid w:val="00743FC5"/>
    <w:rsid w:val="00744027"/>
    <w:rsid w:val="007448CA"/>
    <w:rsid w:val="00744B7E"/>
    <w:rsid w:val="00744C7F"/>
    <w:rsid w:val="007452BB"/>
    <w:rsid w:val="00745842"/>
    <w:rsid w:val="00745B49"/>
    <w:rsid w:val="00745EA5"/>
    <w:rsid w:val="00745F9B"/>
    <w:rsid w:val="0074671F"/>
    <w:rsid w:val="0074679E"/>
    <w:rsid w:val="00746ACB"/>
    <w:rsid w:val="00746BF9"/>
    <w:rsid w:val="00746CCB"/>
    <w:rsid w:val="0074719E"/>
    <w:rsid w:val="007473B6"/>
    <w:rsid w:val="00747A5A"/>
    <w:rsid w:val="00747AAF"/>
    <w:rsid w:val="00747D3E"/>
    <w:rsid w:val="007500B2"/>
    <w:rsid w:val="007507D7"/>
    <w:rsid w:val="0075083D"/>
    <w:rsid w:val="00750B7F"/>
    <w:rsid w:val="00750EE5"/>
    <w:rsid w:val="00750F88"/>
    <w:rsid w:val="007511E4"/>
    <w:rsid w:val="0075176E"/>
    <w:rsid w:val="007517A6"/>
    <w:rsid w:val="0075194F"/>
    <w:rsid w:val="00751D7B"/>
    <w:rsid w:val="00751E20"/>
    <w:rsid w:val="00752140"/>
    <w:rsid w:val="007521CE"/>
    <w:rsid w:val="0075247A"/>
    <w:rsid w:val="0075271B"/>
    <w:rsid w:val="007532C6"/>
    <w:rsid w:val="00753BAA"/>
    <w:rsid w:val="00753C6A"/>
    <w:rsid w:val="00753D87"/>
    <w:rsid w:val="00754173"/>
    <w:rsid w:val="0075442B"/>
    <w:rsid w:val="007544C7"/>
    <w:rsid w:val="00754708"/>
    <w:rsid w:val="0075569F"/>
    <w:rsid w:val="0075584D"/>
    <w:rsid w:val="007559C9"/>
    <w:rsid w:val="00755C6A"/>
    <w:rsid w:val="00755D4F"/>
    <w:rsid w:val="00756024"/>
    <w:rsid w:val="00756420"/>
    <w:rsid w:val="00756B05"/>
    <w:rsid w:val="00756EDD"/>
    <w:rsid w:val="00757057"/>
    <w:rsid w:val="007570FE"/>
    <w:rsid w:val="00757286"/>
    <w:rsid w:val="007604C1"/>
    <w:rsid w:val="00760776"/>
    <w:rsid w:val="00760822"/>
    <w:rsid w:val="0076095D"/>
    <w:rsid w:val="00760F4F"/>
    <w:rsid w:val="00761284"/>
    <w:rsid w:val="00761441"/>
    <w:rsid w:val="007619D3"/>
    <w:rsid w:val="007619E3"/>
    <w:rsid w:val="00762404"/>
    <w:rsid w:val="007624E8"/>
    <w:rsid w:val="00762543"/>
    <w:rsid w:val="00762A2C"/>
    <w:rsid w:val="00762B45"/>
    <w:rsid w:val="00762C17"/>
    <w:rsid w:val="00762EA2"/>
    <w:rsid w:val="00763166"/>
    <w:rsid w:val="007633F8"/>
    <w:rsid w:val="00763DB7"/>
    <w:rsid w:val="0076419C"/>
    <w:rsid w:val="007648E7"/>
    <w:rsid w:val="00764F31"/>
    <w:rsid w:val="00765081"/>
    <w:rsid w:val="00765356"/>
    <w:rsid w:val="007653B0"/>
    <w:rsid w:val="00765421"/>
    <w:rsid w:val="00765439"/>
    <w:rsid w:val="00765575"/>
    <w:rsid w:val="007659C6"/>
    <w:rsid w:val="00765B54"/>
    <w:rsid w:val="00766561"/>
    <w:rsid w:val="00767096"/>
    <w:rsid w:val="007670E5"/>
    <w:rsid w:val="007670EA"/>
    <w:rsid w:val="00767167"/>
    <w:rsid w:val="00767506"/>
    <w:rsid w:val="0076751D"/>
    <w:rsid w:val="00767A4A"/>
    <w:rsid w:val="00767A6D"/>
    <w:rsid w:val="00767CFD"/>
    <w:rsid w:val="00767E75"/>
    <w:rsid w:val="00770756"/>
    <w:rsid w:val="00770A04"/>
    <w:rsid w:val="00770C56"/>
    <w:rsid w:val="007712F8"/>
    <w:rsid w:val="00771D16"/>
    <w:rsid w:val="00771F14"/>
    <w:rsid w:val="00772ABA"/>
    <w:rsid w:val="0077337D"/>
    <w:rsid w:val="00773EC8"/>
    <w:rsid w:val="007746B9"/>
    <w:rsid w:val="00774AC8"/>
    <w:rsid w:val="00774B05"/>
    <w:rsid w:val="00774FF6"/>
    <w:rsid w:val="00775105"/>
    <w:rsid w:val="00775933"/>
    <w:rsid w:val="00775BF6"/>
    <w:rsid w:val="00775CD5"/>
    <w:rsid w:val="00775F76"/>
    <w:rsid w:val="00776141"/>
    <w:rsid w:val="007761BB"/>
    <w:rsid w:val="007765C4"/>
    <w:rsid w:val="00776A51"/>
    <w:rsid w:val="00776B7E"/>
    <w:rsid w:val="007771C9"/>
    <w:rsid w:val="007775FE"/>
    <w:rsid w:val="00780194"/>
    <w:rsid w:val="007801B8"/>
    <w:rsid w:val="00780325"/>
    <w:rsid w:val="00780579"/>
    <w:rsid w:val="0078074C"/>
    <w:rsid w:val="00780C81"/>
    <w:rsid w:val="00780DF3"/>
    <w:rsid w:val="007812DE"/>
    <w:rsid w:val="007813E0"/>
    <w:rsid w:val="00781627"/>
    <w:rsid w:val="00781861"/>
    <w:rsid w:val="0078194E"/>
    <w:rsid w:val="00781B3C"/>
    <w:rsid w:val="007825C0"/>
    <w:rsid w:val="00783919"/>
    <w:rsid w:val="00783BC7"/>
    <w:rsid w:val="00784030"/>
    <w:rsid w:val="007846F0"/>
    <w:rsid w:val="00784B7B"/>
    <w:rsid w:val="00784C5A"/>
    <w:rsid w:val="00785073"/>
    <w:rsid w:val="007855F1"/>
    <w:rsid w:val="007859CB"/>
    <w:rsid w:val="00785A91"/>
    <w:rsid w:val="00785DA6"/>
    <w:rsid w:val="00785DE6"/>
    <w:rsid w:val="0078624F"/>
    <w:rsid w:val="007867B5"/>
    <w:rsid w:val="00786B02"/>
    <w:rsid w:val="00786D3E"/>
    <w:rsid w:val="00786FE9"/>
    <w:rsid w:val="00787082"/>
    <w:rsid w:val="00787652"/>
    <w:rsid w:val="007876FB"/>
    <w:rsid w:val="00787ADA"/>
    <w:rsid w:val="0079003A"/>
    <w:rsid w:val="007904DD"/>
    <w:rsid w:val="00790B92"/>
    <w:rsid w:val="00791494"/>
    <w:rsid w:val="007918B1"/>
    <w:rsid w:val="007922D6"/>
    <w:rsid w:val="00792B9D"/>
    <w:rsid w:val="00793306"/>
    <w:rsid w:val="00793F5A"/>
    <w:rsid w:val="0079487C"/>
    <w:rsid w:val="0079580F"/>
    <w:rsid w:val="00795B6A"/>
    <w:rsid w:val="00796398"/>
    <w:rsid w:val="0079694A"/>
    <w:rsid w:val="00796B54"/>
    <w:rsid w:val="00796D67"/>
    <w:rsid w:val="00796FB2"/>
    <w:rsid w:val="007979D5"/>
    <w:rsid w:val="00797CE0"/>
    <w:rsid w:val="00797D41"/>
    <w:rsid w:val="007A01F0"/>
    <w:rsid w:val="007A0544"/>
    <w:rsid w:val="007A099C"/>
    <w:rsid w:val="007A1286"/>
    <w:rsid w:val="007A1495"/>
    <w:rsid w:val="007A1906"/>
    <w:rsid w:val="007A197B"/>
    <w:rsid w:val="007A1BDF"/>
    <w:rsid w:val="007A231B"/>
    <w:rsid w:val="007A242B"/>
    <w:rsid w:val="007A24C6"/>
    <w:rsid w:val="007A2531"/>
    <w:rsid w:val="007A2B3B"/>
    <w:rsid w:val="007A2ECE"/>
    <w:rsid w:val="007A3138"/>
    <w:rsid w:val="007A31BF"/>
    <w:rsid w:val="007A3766"/>
    <w:rsid w:val="007A3BC4"/>
    <w:rsid w:val="007A3F35"/>
    <w:rsid w:val="007A40E9"/>
    <w:rsid w:val="007A4788"/>
    <w:rsid w:val="007A4876"/>
    <w:rsid w:val="007A5797"/>
    <w:rsid w:val="007A5AD0"/>
    <w:rsid w:val="007A6168"/>
    <w:rsid w:val="007A62B1"/>
    <w:rsid w:val="007A64DB"/>
    <w:rsid w:val="007A6745"/>
    <w:rsid w:val="007A6F2C"/>
    <w:rsid w:val="007A7589"/>
    <w:rsid w:val="007A75C7"/>
    <w:rsid w:val="007A7A7F"/>
    <w:rsid w:val="007A7CB9"/>
    <w:rsid w:val="007A7F70"/>
    <w:rsid w:val="007B0060"/>
    <w:rsid w:val="007B00A2"/>
    <w:rsid w:val="007B0436"/>
    <w:rsid w:val="007B0CC0"/>
    <w:rsid w:val="007B10F0"/>
    <w:rsid w:val="007B119E"/>
    <w:rsid w:val="007B138D"/>
    <w:rsid w:val="007B1799"/>
    <w:rsid w:val="007B185E"/>
    <w:rsid w:val="007B1898"/>
    <w:rsid w:val="007B1903"/>
    <w:rsid w:val="007B1A96"/>
    <w:rsid w:val="007B1F86"/>
    <w:rsid w:val="007B24CA"/>
    <w:rsid w:val="007B2522"/>
    <w:rsid w:val="007B2E71"/>
    <w:rsid w:val="007B2F6A"/>
    <w:rsid w:val="007B3026"/>
    <w:rsid w:val="007B30DD"/>
    <w:rsid w:val="007B3651"/>
    <w:rsid w:val="007B3E34"/>
    <w:rsid w:val="007B40C0"/>
    <w:rsid w:val="007B410A"/>
    <w:rsid w:val="007B43C4"/>
    <w:rsid w:val="007B448C"/>
    <w:rsid w:val="007B49FD"/>
    <w:rsid w:val="007B5101"/>
    <w:rsid w:val="007B52B8"/>
    <w:rsid w:val="007B5F6A"/>
    <w:rsid w:val="007B62A8"/>
    <w:rsid w:val="007B6354"/>
    <w:rsid w:val="007B642E"/>
    <w:rsid w:val="007B673B"/>
    <w:rsid w:val="007B6770"/>
    <w:rsid w:val="007B6E34"/>
    <w:rsid w:val="007B7642"/>
    <w:rsid w:val="007B7917"/>
    <w:rsid w:val="007C078A"/>
    <w:rsid w:val="007C07CB"/>
    <w:rsid w:val="007C093A"/>
    <w:rsid w:val="007C123C"/>
    <w:rsid w:val="007C182A"/>
    <w:rsid w:val="007C1920"/>
    <w:rsid w:val="007C19D8"/>
    <w:rsid w:val="007C2025"/>
    <w:rsid w:val="007C317D"/>
    <w:rsid w:val="007C31B2"/>
    <w:rsid w:val="007C33EF"/>
    <w:rsid w:val="007C3634"/>
    <w:rsid w:val="007C366B"/>
    <w:rsid w:val="007C3884"/>
    <w:rsid w:val="007C3915"/>
    <w:rsid w:val="007C396F"/>
    <w:rsid w:val="007C39D2"/>
    <w:rsid w:val="007C3BB7"/>
    <w:rsid w:val="007C3DBC"/>
    <w:rsid w:val="007C45D1"/>
    <w:rsid w:val="007C4789"/>
    <w:rsid w:val="007C4B19"/>
    <w:rsid w:val="007C4F82"/>
    <w:rsid w:val="007C51D9"/>
    <w:rsid w:val="007C54CE"/>
    <w:rsid w:val="007C5BB8"/>
    <w:rsid w:val="007C635C"/>
    <w:rsid w:val="007C63BA"/>
    <w:rsid w:val="007C640D"/>
    <w:rsid w:val="007C663F"/>
    <w:rsid w:val="007C7D63"/>
    <w:rsid w:val="007C7E9F"/>
    <w:rsid w:val="007D00CC"/>
    <w:rsid w:val="007D0EE3"/>
    <w:rsid w:val="007D1498"/>
    <w:rsid w:val="007D1539"/>
    <w:rsid w:val="007D1576"/>
    <w:rsid w:val="007D192B"/>
    <w:rsid w:val="007D1A0D"/>
    <w:rsid w:val="007D1E4E"/>
    <w:rsid w:val="007D2030"/>
    <w:rsid w:val="007D2871"/>
    <w:rsid w:val="007D342D"/>
    <w:rsid w:val="007D35CD"/>
    <w:rsid w:val="007D3898"/>
    <w:rsid w:val="007D3D7C"/>
    <w:rsid w:val="007D4154"/>
    <w:rsid w:val="007D4272"/>
    <w:rsid w:val="007D4770"/>
    <w:rsid w:val="007D4CF2"/>
    <w:rsid w:val="007D4FB5"/>
    <w:rsid w:val="007D5385"/>
    <w:rsid w:val="007D6448"/>
    <w:rsid w:val="007D6AE4"/>
    <w:rsid w:val="007D6B8F"/>
    <w:rsid w:val="007D6B9B"/>
    <w:rsid w:val="007D7026"/>
    <w:rsid w:val="007D783E"/>
    <w:rsid w:val="007E0AE3"/>
    <w:rsid w:val="007E1488"/>
    <w:rsid w:val="007E1674"/>
    <w:rsid w:val="007E1802"/>
    <w:rsid w:val="007E1B07"/>
    <w:rsid w:val="007E2EC1"/>
    <w:rsid w:val="007E30B7"/>
    <w:rsid w:val="007E358F"/>
    <w:rsid w:val="007E372E"/>
    <w:rsid w:val="007E374C"/>
    <w:rsid w:val="007E3BF5"/>
    <w:rsid w:val="007E42FF"/>
    <w:rsid w:val="007E439C"/>
    <w:rsid w:val="007E4A6B"/>
    <w:rsid w:val="007E4DF5"/>
    <w:rsid w:val="007E5036"/>
    <w:rsid w:val="007E50C2"/>
    <w:rsid w:val="007E56C5"/>
    <w:rsid w:val="007E590B"/>
    <w:rsid w:val="007E5D3A"/>
    <w:rsid w:val="007E6085"/>
    <w:rsid w:val="007E65CE"/>
    <w:rsid w:val="007E6772"/>
    <w:rsid w:val="007E684E"/>
    <w:rsid w:val="007E6D5A"/>
    <w:rsid w:val="007E6DE6"/>
    <w:rsid w:val="007E71D2"/>
    <w:rsid w:val="007E755D"/>
    <w:rsid w:val="007E7653"/>
    <w:rsid w:val="007E7680"/>
    <w:rsid w:val="007E7B65"/>
    <w:rsid w:val="007F016A"/>
    <w:rsid w:val="007F01CB"/>
    <w:rsid w:val="007F07A2"/>
    <w:rsid w:val="007F0A4A"/>
    <w:rsid w:val="007F0AFC"/>
    <w:rsid w:val="007F0CF8"/>
    <w:rsid w:val="007F0D85"/>
    <w:rsid w:val="007F113D"/>
    <w:rsid w:val="007F15FE"/>
    <w:rsid w:val="007F16C3"/>
    <w:rsid w:val="007F1FD7"/>
    <w:rsid w:val="007F253F"/>
    <w:rsid w:val="007F26B5"/>
    <w:rsid w:val="007F2731"/>
    <w:rsid w:val="007F2AB7"/>
    <w:rsid w:val="007F2D67"/>
    <w:rsid w:val="007F2E95"/>
    <w:rsid w:val="007F33A6"/>
    <w:rsid w:val="007F34B6"/>
    <w:rsid w:val="007F3581"/>
    <w:rsid w:val="007F3DF4"/>
    <w:rsid w:val="007F3E1B"/>
    <w:rsid w:val="007F3FD5"/>
    <w:rsid w:val="007F41F7"/>
    <w:rsid w:val="007F428B"/>
    <w:rsid w:val="007F43E7"/>
    <w:rsid w:val="007F446A"/>
    <w:rsid w:val="007F4636"/>
    <w:rsid w:val="007F4B78"/>
    <w:rsid w:val="007F5569"/>
    <w:rsid w:val="007F5584"/>
    <w:rsid w:val="007F56AD"/>
    <w:rsid w:val="007F5E30"/>
    <w:rsid w:val="007F6AE3"/>
    <w:rsid w:val="007F6AF4"/>
    <w:rsid w:val="007F6F15"/>
    <w:rsid w:val="007F710E"/>
    <w:rsid w:val="007F7536"/>
    <w:rsid w:val="007F779A"/>
    <w:rsid w:val="007F792D"/>
    <w:rsid w:val="007F7EDC"/>
    <w:rsid w:val="008005B8"/>
    <w:rsid w:val="00800B2D"/>
    <w:rsid w:val="00801474"/>
    <w:rsid w:val="0080196E"/>
    <w:rsid w:val="00801B2D"/>
    <w:rsid w:val="00801B84"/>
    <w:rsid w:val="00802582"/>
    <w:rsid w:val="008029AF"/>
    <w:rsid w:val="008031E5"/>
    <w:rsid w:val="0080323B"/>
    <w:rsid w:val="00803451"/>
    <w:rsid w:val="0080345D"/>
    <w:rsid w:val="008035C7"/>
    <w:rsid w:val="00803AC4"/>
    <w:rsid w:val="008048EF"/>
    <w:rsid w:val="00805008"/>
    <w:rsid w:val="00805173"/>
    <w:rsid w:val="008053F0"/>
    <w:rsid w:val="00805787"/>
    <w:rsid w:val="008059E1"/>
    <w:rsid w:val="00805B9F"/>
    <w:rsid w:val="00805CD2"/>
    <w:rsid w:val="00806143"/>
    <w:rsid w:val="00806164"/>
    <w:rsid w:val="00806196"/>
    <w:rsid w:val="008067A1"/>
    <w:rsid w:val="00807047"/>
    <w:rsid w:val="0080715D"/>
    <w:rsid w:val="0080743C"/>
    <w:rsid w:val="00807495"/>
    <w:rsid w:val="00807D1C"/>
    <w:rsid w:val="008107F8"/>
    <w:rsid w:val="00810E74"/>
    <w:rsid w:val="00810F0F"/>
    <w:rsid w:val="0081109F"/>
    <w:rsid w:val="0081110C"/>
    <w:rsid w:val="0081132D"/>
    <w:rsid w:val="0081162C"/>
    <w:rsid w:val="00811720"/>
    <w:rsid w:val="00811930"/>
    <w:rsid w:val="008122E9"/>
    <w:rsid w:val="008122EA"/>
    <w:rsid w:val="00812B25"/>
    <w:rsid w:val="00812C2E"/>
    <w:rsid w:val="00812D14"/>
    <w:rsid w:val="00813230"/>
    <w:rsid w:val="00813447"/>
    <w:rsid w:val="00813532"/>
    <w:rsid w:val="00813982"/>
    <w:rsid w:val="008141D9"/>
    <w:rsid w:val="0081426F"/>
    <w:rsid w:val="008144AD"/>
    <w:rsid w:val="008145EA"/>
    <w:rsid w:val="00814937"/>
    <w:rsid w:val="00814C69"/>
    <w:rsid w:val="0081516A"/>
    <w:rsid w:val="008151B1"/>
    <w:rsid w:val="00815AD4"/>
    <w:rsid w:val="00815C33"/>
    <w:rsid w:val="00815DF2"/>
    <w:rsid w:val="0081606D"/>
    <w:rsid w:val="008161F4"/>
    <w:rsid w:val="00816A2E"/>
    <w:rsid w:val="00816A81"/>
    <w:rsid w:val="00816D4A"/>
    <w:rsid w:val="00816F56"/>
    <w:rsid w:val="008177C1"/>
    <w:rsid w:val="00817873"/>
    <w:rsid w:val="008178A8"/>
    <w:rsid w:val="00817FAF"/>
    <w:rsid w:val="00820693"/>
    <w:rsid w:val="008208C3"/>
    <w:rsid w:val="00820D61"/>
    <w:rsid w:val="00821653"/>
    <w:rsid w:val="00821BF0"/>
    <w:rsid w:val="00821DBA"/>
    <w:rsid w:val="008220A9"/>
    <w:rsid w:val="00822333"/>
    <w:rsid w:val="008223B3"/>
    <w:rsid w:val="008223F0"/>
    <w:rsid w:val="008224A7"/>
    <w:rsid w:val="008225D3"/>
    <w:rsid w:val="0082284E"/>
    <w:rsid w:val="008229B9"/>
    <w:rsid w:val="00822C05"/>
    <w:rsid w:val="00822CEC"/>
    <w:rsid w:val="00822F32"/>
    <w:rsid w:val="00823082"/>
    <w:rsid w:val="0082346F"/>
    <w:rsid w:val="008237BA"/>
    <w:rsid w:val="00823CBD"/>
    <w:rsid w:val="00823CE5"/>
    <w:rsid w:val="0082429A"/>
    <w:rsid w:val="0082479E"/>
    <w:rsid w:val="008248B2"/>
    <w:rsid w:val="0082521C"/>
    <w:rsid w:val="00825527"/>
    <w:rsid w:val="00825949"/>
    <w:rsid w:val="00825F5F"/>
    <w:rsid w:val="00826685"/>
    <w:rsid w:val="00826913"/>
    <w:rsid w:val="00826A5E"/>
    <w:rsid w:val="00826F7F"/>
    <w:rsid w:val="00827030"/>
    <w:rsid w:val="0082710E"/>
    <w:rsid w:val="00827B0B"/>
    <w:rsid w:val="00827F3F"/>
    <w:rsid w:val="00830511"/>
    <w:rsid w:val="00830755"/>
    <w:rsid w:val="0083098F"/>
    <w:rsid w:val="00830F7E"/>
    <w:rsid w:val="00831013"/>
    <w:rsid w:val="00831695"/>
    <w:rsid w:val="00831B50"/>
    <w:rsid w:val="008325E9"/>
    <w:rsid w:val="00832773"/>
    <w:rsid w:val="00832A80"/>
    <w:rsid w:val="00832AE9"/>
    <w:rsid w:val="00832C6E"/>
    <w:rsid w:val="00833106"/>
    <w:rsid w:val="00833225"/>
    <w:rsid w:val="0083391B"/>
    <w:rsid w:val="00834309"/>
    <w:rsid w:val="00834616"/>
    <w:rsid w:val="008346FC"/>
    <w:rsid w:val="00834AF5"/>
    <w:rsid w:val="00834E5C"/>
    <w:rsid w:val="00835014"/>
    <w:rsid w:val="00835CCF"/>
    <w:rsid w:val="00836020"/>
    <w:rsid w:val="0083721F"/>
    <w:rsid w:val="00837886"/>
    <w:rsid w:val="00837C7B"/>
    <w:rsid w:val="00840054"/>
    <w:rsid w:val="008402F6"/>
    <w:rsid w:val="00840317"/>
    <w:rsid w:val="008403F8"/>
    <w:rsid w:val="0084123A"/>
    <w:rsid w:val="0084146B"/>
    <w:rsid w:val="00841E96"/>
    <w:rsid w:val="00841F4B"/>
    <w:rsid w:val="008422C1"/>
    <w:rsid w:val="008427B1"/>
    <w:rsid w:val="00842B49"/>
    <w:rsid w:val="00842DCF"/>
    <w:rsid w:val="00842F5B"/>
    <w:rsid w:val="00843088"/>
    <w:rsid w:val="008435D7"/>
    <w:rsid w:val="00843626"/>
    <w:rsid w:val="008438B9"/>
    <w:rsid w:val="00843FBB"/>
    <w:rsid w:val="00844406"/>
    <w:rsid w:val="00845115"/>
    <w:rsid w:val="00845477"/>
    <w:rsid w:val="00845482"/>
    <w:rsid w:val="00845CAD"/>
    <w:rsid w:val="0084621D"/>
    <w:rsid w:val="008466CF"/>
    <w:rsid w:val="008468B4"/>
    <w:rsid w:val="00846A05"/>
    <w:rsid w:val="00846EA8"/>
    <w:rsid w:val="008470B5"/>
    <w:rsid w:val="0084745B"/>
    <w:rsid w:val="008478D6"/>
    <w:rsid w:val="00847B8E"/>
    <w:rsid w:val="00847EAC"/>
    <w:rsid w:val="00850129"/>
    <w:rsid w:val="008505E0"/>
    <w:rsid w:val="00850746"/>
    <w:rsid w:val="008509D2"/>
    <w:rsid w:val="00850AB2"/>
    <w:rsid w:val="00850E3D"/>
    <w:rsid w:val="00850EAB"/>
    <w:rsid w:val="00850F8A"/>
    <w:rsid w:val="0085204D"/>
    <w:rsid w:val="008520F7"/>
    <w:rsid w:val="00852519"/>
    <w:rsid w:val="00852BC9"/>
    <w:rsid w:val="00853110"/>
    <w:rsid w:val="0085347B"/>
    <w:rsid w:val="0085398E"/>
    <w:rsid w:val="00853DA8"/>
    <w:rsid w:val="00853F28"/>
    <w:rsid w:val="008544EF"/>
    <w:rsid w:val="0085452D"/>
    <w:rsid w:val="00854557"/>
    <w:rsid w:val="008547F6"/>
    <w:rsid w:val="0085496B"/>
    <w:rsid w:val="00854C4E"/>
    <w:rsid w:val="0085505F"/>
    <w:rsid w:val="0085546C"/>
    <w:rsid w:val="008554BA"/>
    <w:rsid w:val="00855552"/>
    <w:rsid w:val="00855B6D"/>
    <w:rsid w:val="00855FF8"/>
    <w:rsid w:val="00855FF9"/>
    <w:rsid w:val="0085603F"/>
    <w:rsid w:val="00856116"/>
    <w:rsid w:val="008563EA"/>
    <w:rsid w:val="00856654"/>
    <w:rsid w:val="008566F0"/>
    <w:rsid w:val="00856763"/>
    <w:rsid w:val="00856858"/>
    <w:rsid w:val="00856A8F"/>
    <w:rsid w:val="00856BB5"/>
    <w:rsid w:val="00856CA6"/>
    <w:rsid w:val="00856E06"/>
    <w:rsid w:val="00856E1A"/>
    <w:rsid w:val="008575EA"/>
    <w:rsid w:val="0085760F"/>
    <w:rsid w:val="00857A2A"/>
    <w:rsid w:val="0086056F"/>
    <w:rsid w:val="008606C2"/>
    <w:rsid w:val="00860D2A"/>
    <w:rsid w:val="00860ED0"/>
    <w:rsid w:val="00860F82"/>
    <w:rsid w:val="008610F1"/>
    <w:rsid w:val="00861186"/>
    <w:rsid w:val="00861420"/>
    <w:rsid w:val="00861523"/>
    <w:rsid w:val="008617F4"/>
    <w:rsid w:val="00861F64"/>
    <w:rsid w:val="00862049"/>
    <w:rsid w:val="008620C2"/>
    <w:rsid w:val="0086260F"/>
    <w:rsid w:val="00862D95"/>
    <w:rsid w:val="00863761"/>
    <w:rsid w:val="00863A46"/>
    <w:rsid w:val="00863F60"/>
    <w:rsid w:val="00863FC6"/>
    <w:rsid w:val="00864CFD"/>
    <w:rsid w:val="00864D70"/>
    <w:rsid w:val="00865116"/>
    <w:rsid w:val="0086557E"/>
    <w:rsid w:val="00865A82"/>
    <w:rsid w:val="00865C12"/>
    <w:rsid w:val="00866293"/>
    <w:rsid w:val="008662B3"/>
    <w:rsid w:val="008662CB"/>
    <w:rsid w:val="00866810"/>
    <w:rsid w:val="008669D4"/>
    <w:rsid w:val="00866F5E"/>
    <w:rsid w:val="00866F5F"/>
    <w:rsid w:val="00867061"/>
    <w:rsid w:val="008672B2"/>
    <w:rsid w:val="008674D2"/>
    <w:rsid w:val="00867528"/>
    <w:rsid w:val="00867647"/>
    <w:rsid w:val="00867AE2"/>
    <w:rsid w:val="00867AEA"/>
    <w:rsid w:val="00867D14"/>
    <w:rsid w:val="00867EC5"/>
    <w:rsid w:val="008700BA"/>
    <w:rsid w:val="00870625"/>
    <w:rsid w:val="00870A0E"/>
    <w:rsid w:val="00870CB4"/>
    <w:rsid w:val="00871422"/>
    <w:rsid w:val="00871650"/>
    <w:rsid w:val="00871A43"/>
    <w:rsid w:val="00871ABF"/>
    <w:rsid w:val="00871AD5"/>
    <w:rsid w:val="00871E44"/>
    <w:rsid w:val="00872570"/>
    <w:rsid w:val="008726CB"/>
    <w:rsid w:val="00872833"/>
    <w:rsid w:val="00872AFD"/>
    <w:rsid w:val="00872CD5"/>
    <w:rsid w:val="00872FC0"/>
    <w:rsid w:val="00872FD1"/>
    <w:rsid w:val="008730EA"/>
    <w:rsid w:val="008731B5"/>
    <w:rsid w:val="0087321E"/>
    <w:rsid w:val="008734E4"/>
    <w:rsid w:val="0087353B"/>
    <w:rsid w:val="008735EB"/>
    <w:rsid w:val="008736A8"/>
    <w:rsid w:val="00873746"/>
    <w:rsid w:val="00874B7F"/>
    <w:rsid w:val="0087505B"/>
    <w:rsid w:val="008750C3"/>
    <w:rsid w:val="0087511F"/>
    <w:rsid w:val="00875575"/>
    <w:rsid w:val="00875733"/>
    <w:rsid w:val="00875D84"/>
    <w:rsid w:val="0087636E"/>
    <w:rsid w:val="008764D5"/>
    <w:rsid w:val="00876679"/>
    <w:rsid w:val="008767EA"/>
    <w:rsid w:val="008768E5"/>
    <w:rsid w:val="00876C42"/>
    <w:rsid w:val="0087700C"/>
    <w:rsid w:val="008770DB"/>
    <w:rsid w:val="008773DE"/>
    <w:rsid w:val="00877ADB"/>
    <w:rsid w:val="00880211"/>
    <w:rsid w:val="0088076D"/>
    <w:rsid w:val="008809C4"/>
    <w:rsid w:val="00880A11"/>
    <w:rsid w:val="00880F00"/>
    <w:rsid w:val="00880FF2"/>
    <w:rsid w:val="00881712"/>
    <w:rsid w:val="00881F11"/>
    <w:rsid w:val="008822BD"/>
    <w:rsid w:val="0088256E"/>
    <w:rsid w:val="008828C1"/>
    <w:rsid w:val="008828DF"/>
    <w:rsid w:val="008829D3"/>
    <w:rsid w:val="00882C57"/>
    <w:rsid w:val="00882E84"/>
    <w:rsid w:val="00882FF0"/>
    <w:rsid w:val="00882FFF"/>
    <w:rsid w:val="00883096"/>
    <w:rsid w:val="008833AE"/>
    <w:rsid w:val="00883525"/>
    <w:rsid w:val="008836BE"/>
    <w:rsid w:val="00883E7D"/>
    <w:rsid w:val="00885007"/>
    <w:rsid w:val="008867CC"/>
    <w:rsid w:val="00886CDB"/>
    <w:rsid w:val="00886E86"/>
    <w:rsid w:val="00886FFA"/>
    <w:rsid w:val="008876B6"/>
    <w:rsid w:val="00890135"/>
    <w:rsid w:val="008904F5"/>
    <w:rsid w:val="008907AF"/>
    <w:rsid w:val="008912ED"/>
    <w:rsid w:val="008920DB"/>
    <w:rsid w:val="00892212"/>
    <w:rsid w:val="0089245E"/>
    <w:rsid w:val="008925D2"/>
    <w:rsid w:val="008927F2"/>
    <w:rsid w:val="00892AE0"/>
    <w:rsid w:val="00892FD6"/>
    <w:rsid w:val="00892FDE"/>
    <w:rsid w:val="008930F5"/>
    <w:rsid w:val="00893737"/>
    <w:rsid w:val="00893B7F"/>
    <w:rsid w:val="00893DF9"/>
    <w:rsid w:val="008940E1"/>
    <w:rsid w:val="00894318"/>
    <w:rsid w:val="0089472D"/>
    <w:rsid w:val="00894DC7"/>
    <w:rsid w:val="00894E5E"/>
    <w:rsid w:val="0089533F"/>
    <w:rsid w:val="00895526"/>
    <w:rsid w:val="00895892"/>
    <w:rsid w:val="00895968"/>
    <w:rsid w:val="0089634E"/>
    <w:rsid w:val="00896829"/>
    <w:rsid w:val="00896C5B"/>
    <w:rsid w:val="00896C8C"/>
    <w:rsid w:val="00896D2F"/>
    <w:rsid w:val="00897FDD"/>
    <w:rsid w:val="008A03B2"/>
    <w:rsid w:val="008A0555"/>
    <w:rsid w:val="008A0B0A"/>
    <w:rsid w:val="008A0CCC"/>
    <w:rsid w:val="008A0F42"/>
    <w:rsid w:val="008A1487"/>
    <w:rsid w:val="008A14E1"/>
    <w:rsid w:val="008A19B6"/>
    <w:rsid w:val="008A1C35"/>
    <w:rsid w:val="008A1F66"/>
    <w:rsid w:val="008A2925"/>
    <w:rsid w:val="008A2E58"/>
    <w:rsid w:val="008A2E68"/>
    <w:rsid w:val="008A3192"/>
    <w:rsid w:val="008A324D"/>
    <w:rsid w:val="008A36BA"/>
    <w:rsid w:val="008A3973"/>
    <w:rsid w:val="008A3E12"/>
    <w:rsid w:val="008A4130"/>
    <w:rsid w:val="008A4757"/>
    <w:rsid w:val="008A4FC9"/>
    <w:rsid w:val="008A53BF"/>
    <w:rsid w:val="008A6241"/>
    <w:rsid w:val="008A62D4"/>
    <w:rsid w:val="008A62F9"/>
    <w:rsid w:val="008A67D6"/>
    <w:rsid w:val="008A75B8"/>
    <w:rsid w:val="008B02FB"/>
    <w:rsid w:val="008B1327"/>
    <w:rsid w:val="008B15DC"/>
    <w:rsid w:val="008B160F"/>
    <w:rsid w:val="008B19CE"/>
    <w:rsid w:val="008B2462"/>
    <w:rsid w:val="008B2727"/>
    <w:rsid w:val="008B2A27"/>
    <w:rsid w:val="008B2F36"/>
    <w:rsid w:val="008B3424"/>
    <w:rsid w:val="008B3A4C"/>
    <w:rsid w:val="008B3B6F"/>
    <w:rsid w:val="008B4015"/>
    <w:rsid w:val="008B42F4"/>
    <w:rsid w:val="008B4651"/>
    <w:rsid w:val="008B4708"/>
    <w:rsid w:val="008B4A6C"/>
    <w:rsid w:val="008B520F"/>
    <w:rsid w:val="008B523F"/>
    <w:rsid w:val="008B575E"/>
    <w:rsid w:val="008B5E13"/>
    <w:rsid w:val="008B612E"/>
    <w:rsid w:val="008B62DC"/>
    <w:rsid w:val="008B63C2"/>
    <w:rsid w:val="008B65C2"/>
    <w:rsid w:val="008B6D06"/>
    <w:rsid w:val="008B6DCA"/>
    <w:rsid w:val="008B6E6D"/>
    <w:rsid w:val="008B7178"/>
    <w:rsid w:val="008C17C2"/>
    <w:rsid w:val="008C1B7F"/>
    <w:rsid w:val="008C2132"/>
    <w:rsid w:val="008C2867"/>
    <w:rsid w:val="008C2C9E"/>
    <w:rsid w:val="008C36A4"/>
    <w:rsid w:val="008C3946"/>
    <w:rsid w:val="008C408F"/>
    <w:rsid w:val="008C4A9B"/>
    <w:rsid w:val="008C4AE9"/>
    <w:rsid w:val="008C4B9E"/>
    <w:rsid w:val="008C51B8"/>
    <w:rsid w:val="008C51C7"/>
    <w:rsid w:val="008C529F"/>
    <w:rsid w:val="008C563A"/>
    <w:rsid w:val="008C5732"/>
    <w:rsid w:val="008C5E2C"/>
    <w:rsid w:val="008C6098"/>
    <w:rsid w:val="008C7078"/>
    <w:rsid w:val="008C708B"/>
    <w:rsid w:val="008C7141"/>
    <w:rsid w:val="008C7719"/>
    <w:rsid w:val="008C7F14"/>
    <w:rsid w:val="008D0274"/>
    <w:rsid w:val="008D035E"/>
    <w:rsid w:val="008D0639"/>
    <w:rsid w:val="008D0A27"/>
    <w:rsid w:val="008D0B7F"/>
    <w:rsid w:val="008D0D46"/>
    <w:rsid w:val="008D129A"/>
    <w:rsid w:val="008D24EF"/>
    <w:rsid w:val="008D2595"/>
    <w:rsid w:val="008D25F1"/>
    <w:rsid w:val="008D2782"/>
    <w:rsid w:val="008D2972"/>
    <w:rsid w:val="008D2B15"/>
    <w:rsid w:val="008D2BD1"/>
    <w:rsid w:val="008D2E88"/>
    <w:rsid w:val="008D3DD6"/>
    <w:rsid w:val="008D3F08"/>
    <w:rsid w:val="008D4369"/>
    <w:rsid w:val="008D4440"/>
    <w:rsid w:val="008D4853"/>
    <w:rsid w:val="008D49E5"/>
    <w:rsid w:val="008D4B2D"/>
    <w:rsid w:val="008D4E3A"/>
    <w:rsid w:val="008D4F72"/>
    <w:rsid w:val="008D5385"/>
    <w:rsid w:val="008D58A5"/>
    <w:rsid w:val="008D5BCC"/>
    <w:rsid w:val="008D5F33"/>
    <w:rsid w:val="008D5F7B"/>
    <w:rsid w:val="008D60ED"/>
    <w:rsid w:val="008D6251"/>
    <w:rsid w:val="008D655C"/>
    <w:rsid w:val="008D668D"/>
    <w:rsid w:val="008D66F7"/>
    <w:rsid w:val="008D6D50"/>
    <w:rsid w:val="008D6FD6"/>
    <w:rsid w:val="008D768F"/>
    <w:rsid w:val="008E0B03"/>
    <w:rsid w:val="008E0B17"/>
    <w:rsid w:val="008E0DA0"/>
    <w:rsid w:val="008E1161"/>
    <w:rsid w:val="008E12BB"/>
    <w:rsid w:val="008E1E8D"/>
    <w:rsid w:val="008E20D3"/>
    <w:rsid w:val="008E2653"/>
    <w:rsid w:val="008E31F2"/>
    <w:rsid w:val="008E3291"/>
    <w:rsid w:val="008E36CC"/>
    <w:rsid w:val="008E3A99"/>
    <w:rsid w:val="008E4334"/>
    <w:rsid w:val="008E4B1C"/>
    <w:rsid w:val="008E563E"/>
    <w:rsid w:val="008E5B42"/>
    <w:rsid w:val="008E5DC3"/>
    <w:rsid w:val="008E61A0"/>
    <w:rsid w:val="008E6363"/>
    <w:rsid w:val="008E6420"/>
    <w:rsid w:val="008E642F"/>
    <w:rsid w:val="008E656C"/>
    <w:rsid w:val="008E67DB"/>
    <w:rsid w:val="008E69B5"/>
    <w:rsid w:val="008E7519"/>
    <w:rsid w:val="008E7862"/>
    <w:rsid w:val="008E7947"/>
    <w:rsid w:val="008E79C0"/>
    <w:rsid w:val="008F0336"/>
    <w:rsid w:val="008F0C0F"/>
    <w:rsid w:val="008F0C1F"/>
    <w:rsid w:val="008F1162"/>
    <w:rsid w:val="008F1921"/>
    <w:rsid w:val="008F1AD9"/>
    <w:rsid w:val="008F2119"/>
    <w:rsid w:val="008F2231"/>
    <w:rsid w:val="008F2B70"/>
    <w:rsid w:val="008F2B93"/>
    <w:rsid w:val="008F3133"/>
    <w:rsid w:val="008F3C8C"/>
    <w:rsid w:val="008F3EF6"/>
    <w:rsid w:val="008F3F10"/>
    <w:rsid w:val="008F4397"/>
    <w:rsid w:val="008F43FC"/>
    <w:rsid w:val="008F478A"/>
    <w:rsid w:val="008F4ABE"/>
    <w:rsid w:val="008F4E3B"/>
    <w:rsid w:val="008F4EBE"/>
    <w:rsid w:val="008F4FB6"/>
    <w:rsid w:val="008F5713"/>
    <w:rsid w:val="008F5945"/>
    <w:rsid w:val="008F5A3A"/>
    <w:rsid w:val="008F5D7B"/>
    <w:rsid w:val="008F646B"/>
    <w:rsid w:val="008F64C9"/>
    <w:rsid w:val="008F6658"/>
    <w:rsid w:val="008F6759"/>
    <w:rsid w:val="008F6B44"/>
    <w:rsid w:val="008F6DA1"/>
    <w:rsid w:val="008F71E8"/>
    <w:rsid w:val="008F72EF"/>
    <w:rsid w:val="008F74B6"/>
    <w:rsid w:val="008F760A"/>
    <w:rsid w:val="008F7AF8"/>
    <w:rsid w:val="008F7CC9"/>
    <w:rsid w:val="008F7D2D"/>
    <w:rsid w:val="0090081E"/>
    <w:rsid w:val="00900A10"/>
    <w:rsid w:val="00900C6F"/>
    <w:rsid w:val="00900DF9"/>
    <w:rsid w:val="00901212"/>
    <w:rsid w:val="0090130A"/>
    <w:rsid w:val="00901334"/>
    <w:rsid w:val="00901393"/>
    <w:rsid w:val="00901652"/>
    <w:rsid w:val="009020E8"/>
    <w:rsid w:val="00902227"/>
    <w:rsid w:val="009028D1"/>
    <w:rsid w:val="009029E4"/>
    <w:rsid w:val="00902B8A"/>
    <w:rsid w:val="00902D2D"/>
    <w:rsid w:val="009032FC"/>
    <w:rsid w:val="0090330E"/>
    <w:rsid w:val="009036E5"/>
    <w:rsid w:val="009039DC"/>
    <w:rsid w:val="00903ADF"/>
    <w:rsid w:val="009043FF"/>
    <w:rsid w:val="00904495"/>
    <w:rsid w:val="0090488F"/>
    <w:rsid w:val="00904E5F"/>
    <w:rsid w:val="00905037"/>
    <w:rsid w:val="00905363"/>
    <w:rsid w:val="009059FA"/>
    <w:rsid w:val="00905F34"/>
    <w:rsid w:val="00906176"/>
    <w:rsid w:val="00906781"/>
    <w:rsid w:val="0090690D"/>
    <w:rsid w:val="009069CC"/>
    <w:rsid w:val="00906A5E"/>
    <w:rsid w:val="00906BF3"/>
    <w:rsid w:val="00906C9A"/>
    <w:rsid w:val="00907062"/>
    <w:rsid w:val="00907433"/>
    <w:rsid w:val="00907670"/>
    <w:rsid w:val="00907DD2"/>
    <w:rsid w:val="00910014"/>
    <w:rsid w:val="00910615"/>
    <w:rsid w:val="00910B5B"/>
    <w:rsid w:val="00910CCF"/>
    <w:rsid w:val="00910EB5"/>
    <w:rsid w:val="0091231B"/>
    <w:rsid w:val="009123E1"/>
    <w:rsid w:val="00912613"/>
    <w:rsid w:val="009126DD"/>
    <w:rsid w:val="0091274F"/>
    <w:rsid w:val="00912CA0"/>
    <w:rsid w:val="009133FB"/>
    <w:rsid w:val="009135F6"/>
    <w:rsid w:val="00913B53"/>
    <w:rsid w:val="00913CD8"/>
    <w:rsid w:val="00913F68"/>
    <w:rsid w:val="009146D6"/>
    <w:rsid w:val="00914A45"/>
    <w:rsid w:val="009154C6"/>
    <w:rsid w:val="00915595"/>
    <w:rsid w:val="009157BF"/>
    <w:rsid w:val="00915CC3"/>
    <w:rsid w:val="00916561"/>
    <w:rsid w:val="0091670C"/>
    <w:rsid w:val="0091691D"/>
    <w:rsid w:val="00916A66"/>
    <w:rsid w:val="00916C82"/>
    <w:rsid w:val="00916D4A"/>
    <w:rsid w:val="00916D51"/>
    <w:rsid w:val="00916E00"/>
    <w:rsid w:val="009178AB"/>
    <w:rsid w:val="00917A06"/>
    <w:rsid w:val="00917BF8"/>
    <w:rsid w:val="00917CC1"/>
    <w:rsid w:val="009200A2"/>
    <w:rsid w:val="0092053D"/>
    <w:rsid w:val="00920836"/>
    <w:rsid w:val="00920C24"/>
    <w:rsid w:val="00920D8D"/>
    <w:rsid w:val="00920EC1"/>
    <w:rsid w:val="009211DA"/>
    <w:rsid w:val="009215C4"/>
    <w:rsid w:val="00921AA3"/>
    <w:rsid w:val="00921B0A"/>
    <w:rsid w:val="00921BC9"/>
    <w:rsid w:val="00921D1A"/>
    <w:rsid w:val="00922459"/>
    <w:rsid w:val="0092268D"/>
    <w:rsid w:val="00922945"/>
    <w:rsid w:val="00922C39"/>
    <w:rsid w:val="00922E4D"/>
    <w:rsid w:val="00922EF2"/>
    <w:rsid w:val="009230B6"/>
    <w:rsid w:val="009230CC"/>
    <w:rsid w:val="00923AE0"/>
    <w:rsid w:val="0092413E"/>
    <w:rsid w:val="0092431A"/>
    <w:rsid w:val="0092451F"/>
    <w:rsid w:val="00925116"/>
    <w:rsid w:val="0092514E"/>
    <w:rsid w:val="009252A2"/>
    <w:rsid w:val="00925DCB"/>
    <w:rsid w:val="00925ED9"/>
    <w:rsid w:val="00925F24"/>
    <w:rsid w:val="009268C5"/>
    <w:rsid w:val="00926A9B"/>
    <w:rsid w:val="009272D4"/>
    <w:rsid w:val="00927654"/>
    <w:rsid w:val="00927825"/>
    <w:rsid w:val="00927A68"/>
    <w:rsid w:val="00927B37"/>
    <w:rsid w:val="00927B91"/>
    <w:rsid w:val="00927D16"/>
    <w:rsid w:val="009301A2"/>
    <w:rsid w:val="00930772"/>
    <w:rsid w:val="009307FF"/>
    <w:rsid w:val="00930859"/>
    <w:rsid w:val="00931B85"/>
    <w:rsid w:val="00931CEC"/>
    <w:rsid w:val="0093214D"/>
    <w:rsid w:val="009323AE"/>
    <w:rsid w:val="00932446"/>
    <w:rsid w:val="009329C0"/>
    <w:rsid w:val="00932BE3"/>
    <w:rsid w:val="00932C24"/>
    <w:rsid w:val="00932EA1"/>
    <w:rsid w:val="00932F1F"/>
    <w:rsid w:val="009334E2"/>
    <w:rsid w:val="00934151"/>
    <w:rsid w:val="00934243"/>
    <w:rsid w:val="00934323"/>
    <w:rsid w:val="00934746"/>
    <w:rsid w:val="00934DB9"/>
    <w:rsid w:val="0093551A"/>
    <w:rsid w:val="00935549"/>
    <w:rsid w:val="00935685"/>
    <w:rsid w:val="0093575C"/>
    <w:rsid w:val="00936212"/>
    <w:rsid w:val="009367A3"/>
    <w:rsid w:val="00936C5F"/>
    <w:rsid w:val="00936C7F"/>
    <w:rsid w:val="00936CF1"/>
    <w:rsid w:val="00936D10"/>
    <w:rsid w:val="00937059"/>
    <w:rsid w:val="0093742E"/>
    <w:rsid w:val="00937BA8"/>
    <w:rsid w:val="009409CC"/>
    <w:rsid w:val="00940CDD"/>
    <w:rsid w:val="00940D31"/>
    <w:rsid w:val="00940E0E"/>
    <w:rsid w:val="00940F8C"/>
    <w:rsid w:val="009412A0"/>
    <w:rsid w:val="00941381"/>
    <w:rsid w:val="0094141F"/>
    <w:rsid w:val="00942330"/>
    <w:rsid w:val="009427CF"/>
    <w:rsid w:val="00942980"/>
    <w:rsid w:val="009429DB"/>
    <w:rsid w:val="00942EF2"/>
    <w:rsid w:val="00944396"/>
    <w:rsid w:val="00944D25"/>
    <w:rsid w:val="00944E70"/>
    <w:rsid w:val="0094513E"/>
    <w:rsid w:val="009460E8"/>
    <w:rsid w:val="009465FD"/>
    <w:rsid w:val="0094692E"/>
    <w:rsid w:val="00946A94"/>
    <w:rsid w:val="00946C82"/>
    <w:rsid w:val="0094700B"/>
    <w:rsid w:val="00947693"/>
    <w:rsid w:val="0094789D"/>
    <w:rsid w:val="00947E96"/>
    <w:rsid w:val="00950156"/>
    <w:rsid w:val="00950453"/>
    <w:rsid w:val="00950DDA"/>
    <w:rsid w:val="0095114A"/>
    <w:rsid w:val="00951646"/>
    <w:rsid w:val="00951862"/>
    <w:rsid w:val="009518D2"/>
    <w:rsid w:val="00951E16"/>
    <w:rsid w:val="00952517"/>
    <w:rsid w:val="00952703"/>
    <w:rsid w:val="00952867"/>
    <w:rsid w:val="00952AF0"/>
    <w:rsid w:val="00952D9B"/>
    <w:rsid w:val="00952DE4"/>
    <w:rsid w:val="0095300D"/>
    <w:rsid w:val="00953474"/>
    <w:rsid w:val="009535FF"/>
    <w:rsid w:val="00953A67"/>
    <w:rsid w:val="00954237"/>
    <w:rsid w:val="00954A1F"/>
    <w:rsid w:val="00954AF1"/>
    <w:rsid w:val="009550CE"/>
    <w:rsid w:val="009552B4"/>
    <w:rsid w:val="009552DB"/>
    <w:rsid w:val="00955385"/>
    <w:rsid w:val="00955BD0"/>
    <w:rsid w:val="0095605F"/>
    <w:rsid w:val="0095642B"/>
    <w:rsid w:val="00956BC4"/>
    <w:rsid w:val="00956DB1"/>
    <w:rsid w:val="0095727B"/>
    <w:rsid w:val="00957486"/>
    <w:rsid w:val="00957488"/>
    <w:rsid w:val="00957733"/>
    <w:rsid w:val="00957E02"/>
    <w:rsid w:val="0096064C"/>
    <w:rsid w:val="0096082C"/>
    <w:rsid w:val="00960851"/>
    <w:rsid w:val="00960A50"/>
    <w:rsid w:val="00960F41"/>
    <w:rsid w:val="00961175"/>
    <w:rsid w:val="00961480"/>
    <w:rsid w:val="009615D8"/>
    <w:rsid w:val="0096178F"/>
    <w:rsid w:val="00961A92"/>
    <w:rsid w:val="009620AC"/>
    <w:rsid w:val="00962523"/>
    <w:rsid w:val="009627F1"/>
    <w:rsid w:val="00962A52"/>
    <w:rsid w:val="00962A76"/>
    <w:rsid w:val="00962D03"/>
    <w:rsid w:val="00962FA5"/>
    <w:rsid w:val="00963644"/>
    <w:rsid w:val="00963779"/>
    <w:rsid w:val="009637CE"/>
    <w:rsid w:val="00963A1C"/>
    <w:rsid w:val="00963C0A"/>
    <w:rsid w:val="009642DF"/>
    <w:rsid w:val="00964404"/>
    <w:rsid w:val="009650DB"/>
    <w:rsid w:val="009651E2"/>
    <w:rsid w:val="009658C0"/>
    <w:rsid w:val="00965AA4"/>
    <w:rsid w:val="00965E2A"/>
    <w:rsid w:val="00966BC5"/>
    <w:rsid w:val="00967718"/>
    <w:rsid w:val="0096780B"/>
    <w:rsid w:val="00967AF0"/>
    <w:rsid w:val="00967CEB"/>
    <w:rsid w:val="00970487"/>
    <w:rsid w:val="00970573"/>
    <w:rsid w:val="00970EB2"/>
    <w:rsid w:val="00971CF4"/>
    <w:rsid w:val="00971DAF"/>
    <w:rsid w:val="00971E98"/>
    <w:rsid w:val="0097232A"/>
    <w:rsid w:val="0097287A"/>
    <w:rsid w:val="00972A1C"/>
    <w:rsid w:val="00972EEF"/>
    <w:rsid w:val="00972F7E"/>
    <w:rsid w:val="0097319D"/>
    <w:rsid w:val="00973DA1"/>
    <w:rsid w:val="00974267"/>
    <w:rsid w:val="00974574"/>
    <w:rsid w:val="00974746"/>
    <w:rsid w:val="0097489D"/>
    <w:rsid w:val="0097559F"/>
    <w:rsid w:val="00975C36"/>
    <w:rsid w:val="00975E91"/>
    <w:rsid w:val="009763FD"/>
    <w:rsid w:val="009765C9"/>
    <w:rsid w:val="00977B1B"/>
    <w:rsid w:val="00977ECE"/>
    <w:rsid w:val="009802BA"/>
    <w:rsid w:val="00980A6B"/>
    <w:rsid w:val="00980B79"/>
    <w:rsid w:val="00980E66"/>
    <w:rsid w:val="0098111E"/>
    <w:rsid w:val="00981358"/>
    <w:rsid w:val="00981996"/>
    <w:rsid w:val="00981A73"/>
    <w:rsid w:val="00981B22"/>
    <w:rsid w:val="00982715"/>
    <w:rsid w:val="009827E2"/>
    <w:rsid w:val="0098398E"/>
    <w:rsid w:val="009839E8"/>
    <w:rsid w:val="00983B8F"/>
    <w:rsid w:val="00983C84"/>
    <w:rsid w:val="00983D8C"/>
    <w:rsid w:val="009847EC"/>
    <w:rsid w:val="00984E36"/>
    <w:rsid w:val="00984ED7"/>
    <w:rsid w:val="009852CC"/>
    <w:rsid w:val="00985404"/>
    <w:rsid w:val="00985452"/>
    <w:rsid w:val="00985CF8"/>
    <w:rsid w:val="0098600A"/>
    <w:rsid w:val="0098623F"/>
    <w:rsid w:val="0098630D"/>
    <w:rsid w:val="00986745"/>
    <w:rsid w:val="00986C43"/>
    <w:rsid w:val="0098701E"/>
    <w:rsid w:val="00987C4C"/>
    <w:rsid w:val="009900AD"/>
    <w:rsid w:val="00990683"/>
    <w:rsid w:val="00990825"/>
    <w:rsid w:val="00990B81"/>
    <w:rsid w:val="00990FE1"/>
    <w:rsid w:val="0099103F"/>
    <w:rsid w:val="009911FD"/>
    <w:rsid w:val="009912EE"/>
    <w:rsid w:val="00991385"/>
    <w:rsid w:val="009914BB"/>
    <w:rsid w:val="00991A57"/>
    <w:rsid w:val="00991F31"/>
    <w:rsid w:val="00992242"/>
    <w:rsid w:val="00992D02"/>
    <w:rsid w:val="00992F8A"/>
    <w:rsid w:val="00992FFB"/>
    <w:rsid w:val="00993550"/>
    <w:rsid w:val="009936EB"/>
    <w:rsid w:val="0099383A"/>
    <w:rsid w:val="00993959"/>
    <w:rsid w:val="00993D17"/>
    <w:rsid w:val="00993D99"/>
    <w:rsid w:val="00993DDA"/>
    <w:rsid w:val="009946BE"/>
    <w:rsid w:val="0099497A"/>
    <w:rsid w:val="0099498C"/>
    <w:rsid w:val="00994B11"/>
    <w:rsid w:val="00994D05"/>
    <w:rsid w:val="009952EF"/>
    <w:rsid w:val="00995748"/>
    <w:rsid w:val="009959C2"/>
    <w:rsid w:val="00995BFF"/>
    <w:rsid w:val="00995DD6"/>
    <w:rsid w:val="00996172"/>
    <w:rsid w:val="009968BD"/>
    <w:rsid w:val="00996B32"/>
    <w:rsid w:val="00996D17"/>
    <w:rsid w:val="009970F7"/>
    <w:rsid w:val="009974D1"/>
    <w:rsid w:val="009978A6"/>
    <w:rsid w:val="009A0362"/>
    <w:rsid w:val="009A058A"/>
    <w:rsid w:val="009A05A8"/>
    <w:rsid w:val="009A0D79"/>
    <w:rsid w:val="009A1932"/>
    <w:rsid w:val="009A1A87"/>
    <w:rsid w:val="009A1D21"/>
    <w:rsid w:val="009A20B2"/>
    <w:rsid w:val="009A2520"/>
    <w:rsid w:val="009A2F0E"/>
    <w:rsid w:val="009A30D1"/>
    <w:rsid w:val="009A30DB"/>
    <w:rsid w:val="009A3264"/>
    <w:rsid w:val="009A38DE"/>
    <w:rsid w:val="009A390A"/>
    <w:rsid w:val="009A3A61"/>
    <w:rsid w:val="009A406E"/>
    <w:rsid w:val="009A4846"/>
    <w:rsid w:val="009A4BE7"/>
    <w:rsid w:val="009A4E33"/>
    <w:rsid w:val="009A4F3A"/>
    <w:rsid w:val="009A5864"/>
    <w:rsid w:val="009A5D13"/>
    <w:rsid w:val="009A5D38"/>
    <w:rsid w:val="009A609D"/>
    <w:rsid w:val="009A635C"/>
    <w:rsid w:val="009A6973"/>
    <w:rsid w:val="009A6A73"/>
    <w:rsid w:val="009A6C12"/>
    <w:rsid w:val="009A6CB8"/>
    <w:rsid w:val="009A6DD8"/>
    <w:rsid w:val="009A75CB"/>
    <w:rsid w:val="009A78A5"/>
    <w:rsid w:val="009A7A06"/>
    <w:rsid w:val="009B06C7"/>
    <w:rsid w:val="009B07DC"/>
    <w:rsid w:val="009B092F"/>
    <w:rsid w:val="009B0B37"/>
    <w:rsid w:val="009B0CA4"/>
    <w:rsid w:val="009B10B5"/>
    <w:rsid w:val="009B18F7"/>
    <w:rsid w:val="009B190A"/>
    <w:rsid w:val="009B1BE9"/>
    <w:rsid w:val="009B2334"/>
    <w:rsid w:val="009B240D"/>
    <w:rsid w:val="009B2755"/>
    <w:rsid w:val="009B289B"/>
    <w:rsid w:val="009B2A55"/>
    <w:rsid w:val="009B2BF8"/>
    <w:rsid w:val="009B3202"/>
    <w:rsid w:val="009B3262"/>
    <w:rsid w:val="009B36E3"/>
    <w:rsid w:val="009B37CF"/>
    <w:rsid w:val="009B382B"/>
    <w:rsid w:val="009B38BD"/>
    <w:rsid w:val="009B3CD0"/>
    <w:rsid w:val="009B3F77"/>
    <w:rsid w:val="009B3FA4"/>
    <w:rsid w:val="009B3FD7"/>
    <w:rsid w:val="009B43CE"/>
    <w:rsid w:val="009B4401"/>
    <w:rsid w:val="009B473F"/>
    <w:rsid w:val="009B4756"/>
    <w:rsid w:val="009B4986"/>
    <w:rsid w:val="009B4B04"/>
    <w:rsid w:val="009B532D"/>
    <w:rsid w:val="009B567E"/>
    <w:rsid w:val="009B5D57"/>
    <w:rsid w:val="009B5F70"/>
    <w:rsid w:val="009B62A6"/>
    <w:rsid w:val="009B6458"/>
    <w:rsid w:val="009B69C9"/>
    <w:rsid w:val="009B6E7D"/>
    <w:rsid w:val="009B6EE3"/>
    <w:rsid w:val="009B7EBB"/>
    <w:rsid w:val="009B7EBC"/>
    <w:rsid w:val="009C0258"/>
    <w:rsid w:val="009C04A2"/>
    <w:rsid w:val="009C0BC0"/>
    <w:rsid w:val="009C0D3A"/>
    <w:rsid w:val="009C0F21"/>
    <w:rsid w:val="009C1470"/>
    <w:rsid w:val="009C1D2C"/>
    <w:rsid w:val="009C2681"/>
    <w:rsid w:val="009C26E3"/>
    <w:rsid w:val="009C2757"/>
    <w:rsid w:val="009C2A3A"/>
    <w:rsid w:val="009C2FF8"/>
    <w:rsid w:val="009C3223"/>
    <w:rsid w:val="009C3C28"/>
    <w:rsid w:val="009C3F08"/>
    <w:rsid w:val="009C4568"/>
    <w:rsid w:val="009C549F"/>
    <w:rsid w:val="009C55A3"/>
    <w:rsid w:val="009C58B0"/>
    <w:rsid w:val="009C5A3A"/>
    <w:rsid w:val="009C5B0D"/>
    <w:rsid w:val="009C5CD8"/>
    <w:rsid w:val="009C5EB0"/>
    <w:rsid w:val="009C5F15"/>
    <w:rsid w:val="009C6158"/>
    <w:rsid w:val="009C620F"/>
    <w:rsid w:val="009C6594"/>
    <w:rsid w:val="009C67C0"/>
    <w:rsid w:val="009C6FD7"/>
    <w:rsid w:val="009C7435"/>
    <w:rsid w:val="009C7788"/>
    <w:rsid w:val="009D0290"/>
    <w:rsid w:val="009D0E0C"/>
    <w:rsid w:val="009D0F90"/>
    <w:rsid w:val="009D154A"/>
    <w:rsid w:val="009D16E3"/>
    <w:rsid w:val="009D1C6C"/>
    <w:rsid w:val="009D1D34"/>
    <w:rsid w:val="009D2044"/>
    <w:rsid w:val="009D21D7"/>
    <w:rsid w:val="009D2433"/>
    <w:rsid w:val="009D2DC3"/>
    <w:rsid w:val="009D2E53"/>
    <w:rsid w:val="009D38FA"/>
    <w:rsid w:val="009D397A"/>
    <w:rsid w:val="009D3DF1"/>
    <w:rsid w:val="009D3EC1"/>
    <w:rsid w:val="009D3FD1"/>
    <w:rsid w:val="009D3FF2"/>
    <w:rsid w:val="009D435D"/>
    <w:rsid w:val="009D454A"/>
    <w:rsid w:val="009D48C5"/>
    <w:rsid w:val="009D4AE7"/>
    <w:rsid w:val="009D5001"/>
    <w:rsid w:val="009D5240"/>
    <w:rsid w:val="009D549B"/>
    <w:rsid w:val="009D57A3"/>
    <w:rsid w:val="009D57A8"/>
    <w:rsid w:val="009D5D59"/>
    <w:rsid w:val="009D5E0B"/>
    <w:rsid w:val="009D63BE"/>
    <w:rsid w:val="009D750E"/>
    <w:rsid w:val="009D7816"/>
    <w:rsid w:val="009D7AD5"/>
    <w:rsid w:val="009E03A1"/>
    <w:rsid w:val="009E0A89"/>
    <w:rsid w:val="009E0B53"/>
    <w:rsid w:val="009E0C38"/>
    <w:rsid w:val="009E0C5B"/>
    <w:rsid w:val="009E0D43"/>
    <w:rsid w:val="009E12F0"/>
    <w:rsid w:val="009E17B8"/>
    <w:rsid w:val="009E1BCD"/>
    <w:rsid w:val="009E2029"/>
    <w:rsid w:val="009E23D7"/>
    <w:rsid w:val="009E243C"/>
    <w:rsid w:val="009E27A3"/>
    <w:rsid w:val="009E27B2"/>
    <w:rsid w:val="009E2807"/>
    <w:rsid w:val="009E3256"/>
    <w:rsid w:val="009E32F5"/>
    <w:rsid w:val="009E344E"/>
    <w:rsid w:val="009E3505"/>
    <w:rsid w:val="009E3930"/>
    <w:rsid w:val="009E3D3D"/>
    <w:rsid w:val="009E3F7E"/>
    <w:rsid w:val="009E40F2"/>
    <w:rsid w:val="009E41BF"/>
    <w:rsid w:val="009E429C"/>
    <w:rsid w:val="009E4610"/>
    <w:rsid w:val="009E4720"/>
    <w:rsid w:val="009E473F"/>
    <w:rsid w:val="009E478D"/>
    <w:rsid w:val="009E4A5C"/>
    <w:rsid w:val="009E4B02"/>
    <w:rsid w:val="009E4E0C"/>
    <w:rsid w:val="009E4F5F"/>
    <w:rsid w:val="009E568A"/>
    <w:rsid w:val="009E64B9"/>
    <w:rsid w:val="009F0223"/>
    <w:rsid w:val="009F03D0"/>
    <w:rsid w:val="009F03EC"/>
    <w:rsid w:val="009F04A2"/>
    <w:rsid w:val="009F04EC"/>
    <w:rsid w:val="009F079F"/>
    <w:rsid w:val="009F0A0E"/>
    <w:rsid w:val="009F0C7F"/>
    <w:rsid w:val="009F1783"/>
    <w:rsid w:val="009F1805"/>
    <w:rsid w:val="009F199C"/>
    <w:rsid w:val="009F19E1"/>
    <w:rsid w:val="009F22B4"/>
    <w:rsid w:val="009F254D"/>
    <w:rsid w:val="009F2883"/>
    <w:rsid w:val="009F2A55"/>
    <w:rsid w:val="009F2BB0"/>
    <w:rsid w:val="009F2D18"/>
    <w:rsid w:val="009F317E"/>
    <w:rsid w:val="009F3A06"/>
    <w:rsid w:val="009F3A89"/>
    <w:rsid w:val="009F3AFF"/>
    <w:rsid w:val="009F3FB2"/>
    <w:rsid w:val="009F41C3"/>
    <w:rsid w:val="009F45D3"/>
    <w:rsid w:val="009F47C6"/>
    <w:rsid w:val="009F4BBA"/>
    <w:rsid w:val="009F4C89"/>
    <w:rsid w:val="009F4D44"/>
    <w:rsid w:val="009F52DD"/>
    <w:rsid w:val="009F5994"/>
    <w:rsid w:val="009F5ABD"/>
    <w:rsid w:val="009F6089"/>
    <w:rsid w:val="009F6160"/>
    <w:rsid w:val="009F61C9"/>
    <w:rsid w:val="009F644F"/>
    <w:rsid w:val="009F6F2E"/>
    <w:rsid w:val="009F71E2"/>
    <w:rsid w:val="009F7414"/>
    <w:rsid w:val="009F7638"/>
    <w:rsid w:val="009F76E1"/>
    <w:rsid w:val="009F7DAF"/>
    <w:rsid w:val="00A00127"/>
    <w:rsid w:val="00A006BF"/>
    <w:rsid w:val="00A008E3"/>
    <w:rsid w:val="00A00A6B"/>
    <w:rsid w:val="00A00B96"/>
    <w:rsid w:val="00A00F3A"/>
    <w:rsid w:val="00A011C0"/>
    <w:rsid w:val="00A01999"/>
    <w:rsid w:val="00A0219D"/>
    <w:rsid w:val="00A023AE"/>
    <w:rsid w:val="00A0260E"/>
    <w:rsid w:val="00A027E3"/>
    <w:rsid w:val="00A029F6"/>
    <w:rsid w:val="00A03C1C"/>
    <w:rsid w:val="00A03D5C"/>
    <w:rsid w:val="00A046D6"/>
    <w:rsid w:val="00A04B6D"/>
    <w:rsid w:val="00A052A4"/>
    <w:rsid w:val="00A05CED"/>
    <w:rsid w:val="00A062B1"/>
    <w:rsid w:val="00A063D5"/>
    <w:rsid w:val="00A06648"/>
    <w:rsid w:val="00A06F94"/>
    <w:rsid w:val="00A07798"/>
    <w:rsid w:val="00A077DD"/>
    <w:rsid w:val="00A07A9F"/>
    <w:rsid w:val="00A07BBF"/>
    <w:rsid w:val="00A113BC"/>
    <w:rsid w:val="00A11957"/>
    <w:rsid w:val="00A11A3E"/>
    <w:rsid w:val="00A11B8F"/>
    <w:rsid w:val="00A11FAE"/>
    <w:rsid w:val="00A12023"/>
    <w:rsid w:val="00A12268"/>
    <w:rsid w:val="00A12316"/>
    <w:rsid w:val="00A12397"/>
    <w:rsid w:val="00A127DC"/>
    <w:rsid w:val="00A12C33"/>
    <w:rsid w:val="00A12D56"/>
    <w:rsid w:val="00A1332F"/>
    <w:rsid w:val="00A135C5"/>
    <w:rsid w:val="00A13670"/>
    <w:rsid w:val="00A13C25"/>
    <w:rsid w:val="00A13E18"/>
    <w:rsid w:val="00A1416E"/>
    <w:rsid w:val="00A141EB"/>
    <w:rsid w:val="00A142B7"/>
    <w:rsid w:val="00A1436D"/>
    <w:rsid w:val="00A14426"/>
    <w:rsid w:val="00A14F7B"/>
    <w:rsid w:val="00A14FEF"/>
    <w:rsid w:val="00A152FE"/>
    <w:rsid w:val="00A15A77"/>
    <w:rsid w:val="00A15CDA"/>
    <w:rsid w:val="00A1600E"/>
    <w:rsid w:val="00A16A6A"/>
    <w:rsid w:val="00A16AC7"/>
    <w:rsid w:val="00A16F7C"/>
    <w:rsid w:val="00A17595"/>
    <w:rsid w:val="00A1766A"/>
    <w:rsid w:val="00A177F6"/>
    <w:rsid w:val="00A17C62"/>
    <w:rsid w:val="00A20222"/>
    <w:rsid w:val="00A208D6"/>
    <w:rsid w:val="00A20948"/>
    <w:rsid w:val="00A20985"/>
    <w:rsid w:val="00A20A0D"/>
    <w:rsid w:val="00A21AAC"/>
    <w:rsid w:val="00A21CE0"/>
    <w:rsid w:val="00A224E4"/>
    <w:rsid w:val="00A226B1"/>
    <w:rsid w:val="00A22CF6"/>
    <w:rsid w:val="00A22D61"/>
    <w:rsid w:val="00A22FEA"/>
    <w:rsid w:val="00A232ED"/>
    <w:rsid w:val="00A23711"/>
    <w:rsid w:val="00A237B5"/>
    <w:rsid w:val="00A23B44"/>
    <w:rsid w:val="00A23CD4"/>
    <w:rsid w:val="00A23E89"/>
    <w:rsid w:val="00A24C4E"/>
    <w:rsid w:val="00A250DF"/>
    <w:rsid w:val="00A252A4"/>
    <w:rsid w:val="00A25B15"/>
    <w:rsid w:val="00A26328"/>
    <w:rsid w:val="00A269D4"/>
    <w:rsid w:val="00A26E7F"/>
    <w:rsid w:val="00A27AC7"/>
    <w:rsid w:val="00A27C7D"/>
    <w:rsid w:val="00A27D58"/>
    <w:rsid w:val="00A27E19"/>
    <w:rsid w:val="00A301DE"/>
    <w:rsid w:val="00A3087D"/>
    <w:rsid w:val="00A30C31"/>
    <w:rsid w:val="00A31141"/>
    <w:rsid w:val="00A317A3"/>
    <w:rsid w:val="00A3235E"/>
    <w:rsid w:val="00A32E53"/>
    <w:rsid w:val="00A33033"/>
    <w:rsid w:val="00A3341B"/>
    <w:rsid w:val="00A33B4B"/>
    <w:rsid w:val="00A34017"/>
    <w:rsid w:val="00A341EF"/>
    <w:rsid w:val="00A34794"/>
    <w:rsid w:val="00A3498E"/>
    <w:rsid w:val="00A3518D"/>
    <w:rsid w:val="00A355E1"/>
    <w:rsid w:val="00A35728"/>
    <w:rsid w:val="00A35BA7"/>
    <w:rsid w:val="00A35C76"/>
    <w:rsid w:val="00A36497"/>
    <w:rsid w:val="00A367F6"/>
    <w:rsid w:val="00A36A4D"/>
    <w:rsid w:val="00A36BF9"/>
    <w:rsid w:val="00A370B8"/>
    <w:rsid w:val="00A371BE"/>
    <w:rsid w:val="00A371D7"/>
    <w:rsid w:val="00A373C8"/>
    <w:rsid w:val="00A37405"/>
    <w:rsid w:val="00A37A38"/>
    <w:rsid w:val="00A37BDF"/>
    <w:rsid w:val="00A37E56"/>
    <w:rsid w:val="00A40415"/>
    <w:rsid w:val="00A405DD"/>
    <w:rsid w:val="00A40634"/>
    <w:rsid w:val="00A408C2"/>
    <w:rsid w:val="00A40CC4"/>
    <w:rsid w:val="00A415EE"/>
    <w:rsid w:val="00A417A3"/>
    <w:rsid w:val="00A41DED"/>
    <w:rsid w:val="00A420D5"/>
    <w:rsid w:val="00A42BE9"/>
    <w:rsid w:val="00A43429"/>
    <w:rsid w:val="00A4361F"/>
    <w:rsid w:val="00A437F4"/>
    <w:rsid w:val="00A439B9"/>
    <w:rsid w:val="00A43A79"/>
    <w:rsid w:val="00A43BF2"/>
    <w:rsid w:val="00A442BE"/>
    <w:rsid w:val="00A44580"/>
    <w:rsid w:val="00A445DA"/>
    <w:rsid w:val="00A4462C"/>
    <w:rsid w:val="00A44999"/>
    <w:rsid w:val="00A44A7C"/>
    <w:rsid w:val="00A44B93"/>
    <w:rsid w:val="00A44E9A"/>
    <w:rsid w:val="00A45089"/>
    <w:rsid w:val="00A45D16"/>
    <w:rsid w:val="00A45EED"/>
    <w:rsid w:val="00A47343"/>
    <w:rsid w:val="00A4764F"/>
    <w:rsid w:val="00A477C2"/>
    <w:rsid w:val="00A477E6"/>
    <w:rsid w:val="00A4781C"/>
    <w:rsid w:val="00A47D08"/>
    <w:rsid w:val="00A47F9F"/>
    <w:rsid w:val="00A50266"/>
    <w:rsid w:val="00A50770"/>
    <w:rsid w:val="00A51151"/>
    <w:rsid w:val="00A51483"/>
    <w:rsid w:val="00A51703"/>
    <w:rsid w:val="00A51D91"/>
    <w:rsid w:val="00A520B0"/>
    <w:rsid w:val="00A52178"/>
    <w:rsid w:val="00A5223D"/>
    <w:rsid w:val="00A522E0"/>
    <w:rsid w:val="00A52514"/>
    <w:rsid w:val="00A52925"/>
    <w:rsid w:val="00A532C2"/>
    <w:rsid w:val="00A5364C"/>
    <w:rsid w:val="00A53774"/>
    <w:rsid w:val="00A54433"/>
    <w:rsid w:val="00A5486C"/>
    <w:rsid w:val="00A54919"/>
    <w:rsid w:val="00A54F0A"/>
    <w:rsid w:val="00A54FE4"/>
    <w:rsid w:val="00A55113"/>
    <w:rsid w:val="00A55190"/>
    <w:rsid w:val="00A5561F"/>
    <w:rsid w:val="00A55A1E"/>
    <w:rsid w:val="00A55BB1"/>
    <w:rsid w:val="00A55F60"/>
    <w:rsid w:val="00A5615B"/>
    <w:rsid w:val="00A56644"/>
    <w:rsid w:val="00A56F15"/>
    <w:rsid w:val="00A576B8"/>
    <w:rsid w:val="00A5770B"/>
    <w:rsid w:val="00A57A9A"/>
    <w:rsid w:val="00A6024A"/>
    <w:rsid w:val="00A6046C"/>
    <w:rsid w:val="00A60A82"/>
    <w:rsid w:val="00A612BD"/>
    <w:rsid w:val="00A6139B"/>
    <w:rsid w:val="00A6188F"/>
    <w:rsid w:val="00A61C46"/>
    <w:rsid w:val="00A61E88"/>
    <w:rsid w:val="00A61EF4"/>
    <w:rsid w:val="00A6236B"/>
    <w:rsid w:val="00A62EF5"/>
    <w:rsid w:val="00A6302A"/>
    <w:rsid w:val="00A6305C"/>
    <w:rsid w:val="00A6314B"/>
    <w:rsid w:val="00A63912"/>
    <w:rsid w:val="00A639CD"/>
    <w:rsid w:val="00A639CF"/>
    <w:rsid w:val="00A63A9B"/>
    <w:rsid w:val="00A64C0E"/>
    <w:rsid w:val="00A64FC1"/>
    <w:rsid w:val="00A65035"/>
    <w:rsid w:val="00A653D8"/>
    <w:rsid w:val="00A654D8"/>
    <w:rsid w:val="00A65636"/>
    <w:rsid w:val="00A65BB3"/>
    <w:rsid w:val="00A65C3A"/>
    <w:rsid w:val="00A66D13"/>
    <w:rsid w:val="00A66D9E"/>
    <w:rsid w:val="00A67425"/>
    <w:rsid w:val="00A674AE"/>
    <w:rsid w:val="00A678EB"/>
    <w:rsid w:val="00A67B53"/>
    <w:rsid w:val="00A67BE1"/>
    <w:rsid w:val="00A7080F"/>
    <w:rsid w:val="00A70D4A"/>
    <w:rsid w:val="00A7114E"/>
    <w:rsid w:val="00A71247"/>
    <w:rsid w:val="00A7141E"/>
    <w:rsid w:val="00A7182B"/>
    <w:rsid w:val="00A718EF"/>
    <w:rsid w:val="00A7191A"/>
    <w:rsid w:val="00A71B4E"/>
    <w:rsid w:val="00A72009"/>
    <w:rsid w:val="00A7205B"/>
    <w:rsid w:val="00A721E3"/>
    <w:rsid w:val="00A72692"/>
    <w:rsid w:val="00A72B8C"/>
    <w:rsid w:val="00A72D55"/>
    <w:rsid w:val="00A72DF9"/>
    <w:rsid w:val="00A73FD5"/>
    <w:rsid w:val="00A74B73"/>
    <w:rsid w:val="00A74E61"/>
    <w:rsid w:val="00A753CB"/>
    <w:rsid w:val="00A75913"/>
    <w:rsid w:val="00A75945"/>
    <w:rsid w:val="00A75C62"/>
    <w:rsid w:val="00A75D81"/>
    <w:rsid w:val="00A76250"/>
    <w:rsid w:val="00A7626E"/>
    <w:rsid w:val="00A77045"/>
    <w:rsid w:val="00A77106"/>
    <w:rsid w:val="00A77878"/>
    <w:rsid w:val="00A7792B"/>
    <w:rsid w:val="00A77A06"/>
    <w:rsid w:val="00A805F7"/>
    <w:rsid w:val="00A806CB"/>
    <w:rsid w:val="00A80796"/>
    <w:rsid w:val="00A809A3"/>
    <w:rsid w:val="00A80E89"/>
    <w:rsid w:val="00A81570"/>
    <w:rsid w:val="00A81795"/>
    <w:rsid w:val="00A81BE6"/>
    <w:rsid w:val="00A81E36"/>
    <w:rsid w:val="00A82029"/>
    <w:rsid w:val="00A821EE"/>
    <w:rsid w:val="00A822FA"/>
    <w:rsid w:val="00A825CE"/>
    <w:rsid w:val="00A829FA"/>
    <w:rsid w:val="00A82A84"/>
    <w:rsid w:val="00A82C90"/>
    <w:rsid w:val="00A831AE"/>
    <w:rsid w:val="00A8322B"/>
    <w:rsid w:val="00A83258"/>
    <w:rsid w:val="00A833A1"/>
    <w:rsid w:val="00A8387A"/>
    <w:rsid w:val="00A83A00"/>
    <w:rsid w:val="00A83D9A"/>
    <w:rsid w:val="00A848EB"/>
    <w:rsid w:val="00A855AC"/>
    <w:rsid w:val="00A85750"/>
    <w:rsid w:val="00A85A20"/>
    <w:rsid w:val="00A85CF5"/>
    <w:rsid w:val="00A85ED1"/>
    <w:rsid w:val="00A863F6"/>
    <w:rsid w:val="00A86A05"/>
    <w:rsid w:val="00A86BC0"/>
    <w:rsid w:val="00A87C4C"/>
    <w:rsid w:val="00A87CAC"/>
    <w:rsid w:val="00A87E96"/>
    <w:rsid w:val="00A90454"/>
    <w:rsid w:val="00A90CCA"/>
    <w:rsid w:val="00A910D7"/>
    <w:rsid w:val="00A9127D"/>
    <w:rsid w:val="00A9155A"/>
    <w:rsid w:val="00A91644"/>
    <w:rsid w:val="00A91744"/>
    <w:rsid w:val="00A9188D"/>
    <w:rsid w:val="00A91C1C"/>
    <w:rsid w:val="00A92093"/>
    <w:rsid w:val="00A9214B"/>
    <w:rsid w:val="00A9217D"/>
    <w:rsid w:val="00A92309"/>
    <w:rsid w:val="00A92958"/>
    <w:rsid w:val="00A92A0C"/>
    <w:rsid w:val="00A92B39"/>
    <w:rsid w:val="00A92B87"/>
    <w:rsid w:val="00A9313C"/>
    <w:rsid w:val="00A93161"/>
    <w:rsid w:val="00A934C7"/>
    <w:rsid w:val="00A937F6"/>
    <w:rsid w:val="00A939B2"/>
    <w:rsid w:val="00A93B2E"/>
    <w:rsid w:val="00A93CE2"/>
    <w:rsid w:val="00A9447E"/>
    <w:rsid w:val="00A947B6"/>
    <w:rsid w:val="00A947C0"/>
    <w:rsid w:val="00A94F8F"/>
    <w:rsid w:val="00A951B2"/>
    <w:rsid w:val="00A9539E"/>
    <w:rsid w:val="00A95648"/>
    <w:rsid w:val="00A959E3"/>
    <w:rsid w:val="00A9629A"/>
    <w:rsid w:val="00A966C2"/>
    <w:rsid w:val="00A96C7A"/>
    <w:rsid w:val="00A970C2"/>
    <w:rsid w:val="00A977D1"/>
    <w:rsid w:val="00A97822"/>
    <w:rsid w:val="00A97DF8"/>
    <w:rsid w:val="00A97E27"/>
    <w:rsid w:val="00AA0691"/>
    <w:rsid w:val="00AA0775"/>
    <w:rsid w:val="00AA08BD"/>
    <w:rsid w:val="00AA0F34"/>
    <w:rsid w:val="00AA1001"/>
    <w:rsid w:val="00AA24D5"/>
    <w:rsid w:val="00AA265C"/>
    <w:rsid w:val="00AA27B0"/>
    <w:rsid w:val="00AA299C"/>
    <w:rsid w:val="00AA30E9"/>
    <w:rsid w:val="00AA319C"/>
    <w:rsid w:val="00AA38C7"/>
    <w:rsid w:val="00AA4478"/>
    <w:rsid w:val="00AA4B52"/>
    <w:rsid w:val="00AA4BE7"/>
    <w:rsid w:val="00AA4C99"/>
    <w:rsid w:val="00AA52C5"/>
    <w:rsid w:val="00AA548F"/>
    <w:rsid w:val="00AA58BA"/>
    <w:rsid w:val="00AA6082"/>
    <w:rsid w:val="00AA6209"/>
    <w:rsid w:val="00AA6247"/>
    <w:rsid w:val="00AA6816"/>
    <w:rsid w:val="00AA6B68"/>
    <w:rsid w:val="00AA7722"/>
    <w:rsid w:val="00AA7916"/>
    <w:rsid w:val="00AA7957"/>
    <w:rsid w:val="00AA7FB7"/>
    <w:rsid w:val="00AB000D"/>
    <w:rsid w:val="00AB1285"/>
    <w:rsid w:val="00AB17D7"/>
    <w:rsid w:val="00AB1A7F"/>
    <w:rsid w:val="00AB1B61"/>
    <w:rsid w:val="00AB2640"/>
    <w:rsid w:val="00AB2A3C"/>
    <w:rsid w:val="00AB3080"/>
    <w:rsid w:val="00AB3383"/>
    <w:rsid w:val="00AB33C7"/>
    <w:rsid w:val="00AB357B"/>
    <w:rsid w:val="00AB4110"/>
    <w:rsid w:val="00AB424F"/>
    <w:rsid w:val="00AB42EB"/>
    <w:rsid w:val="00AB4368"/>
    <w:rsid w:val="00AB464C"/>
    <w:rsid w:val="00AB4A98"/>
    <w:rsid w:val="00AB4AF5"/>
    <w:rsid w:val="00AB4BCC"/>
    <w:rsid w:val="00AB4D89"/>
    <w:rsid w:val="00AB4FAF"/>
    <w:rsid w:val="00AB5016"/>
    <w:rsid w:val="00AB5985"/>
    <w:rsid w:val="00AB5D53"/>
    <w:rsid w:val="00AB5F23"/>
    <w:rsid w:val="00AB64B1"/>
    <w:rsid w:val="00AB6620"/>
    <w:rsid w:val="00AB7071"/>
    <w:rsid w:val="00AB72C8"/>
    <w:rsid w:val="00AB776A"/>
    <w:rsid w:val="00AB79F8"/>
    <w:rsid w:val="00AB7D89"/>
    <w:rsid w:val="00AC0294"/>
    <w:rsid w:val="00AC0633"/>
    <w:rsid w:val="00AC072D"/>
    <w:rsid w:val="00AC07BD"/>
    <w:rsid w:val="00AC0D25"/>
    <w:rsid w:val="00AC1AC7"/>
    <w:rsid w:val="00AC1DDF"/>
    <w:rsid w:val="00AC20E0"/>
    <w:rsid w:val="00AC24A2"/>
    <w:rsid w:val="00AC24E3"/>
    <w:rsid w:val="00AC2BD7"/>
    <w:rsid w:val="00AC2DE2"/>
    <w:rsid w:val="00AC2E7E"/>
    <w:rsid w:val="00AC2F85"/>
    <w:rsid w:val="00AC3224"/>
    <w:rsid w:val="00AC3498"/>
    <w:rsid w:val="00AC3744"/>
    <w:rsid w:val="00AC375D"/>
    <w:rsid w:val="00AC3A53"/>
    <w:rsid w:val="00AC3CA4"/>
    <w:rsid w:val="00AC4008"/>
    <w:rsid w:val="00AC4104"/>
    <w:rsid w:val="00AC4248"/>
    <w:rsid w:val="00AC4657"/>
    <w:rsid w:val="00AC47A4"/>
    <w:rsid w:val="00AC4D85"/>
    <w:rsid w:val="00AC5011"/>
    <w:rsid w:val="00AC50B3"/>
    <w:rsid w:val="00AC5301"/>
    <w:rsid w:val="00AC63CB"/>
    <w:rsid w:val="00AC6772"/>
    <w:rsid w:val="00AC6F2C"/>
    <w:rsid w:val="00AC7243"/>
    <w:rsid w:val="00AC7A5B"/>
    <w:rsid w:val="00AC7AFC"/>
    <w:rsid w:val="00AC7DDD"/>
    <w:rsid w:val="00AC7E2C"/>
    <w:rsid w:val="00AC7F35"/>
    <w:rsid w:val="00AD0098"/>
    <w:rsid w:val="00AD034E"/>
    <w:rsid w:val="00AD0464"/>
    <w:rsid w:val="00AD0736"/>
    <w:rsid w:val="00AD0B94"/>
    <w:rsid w:val="00AD10E0"/>
    <w:rsid w:val="00AD11ED"/>
    <w:rsid w:val="00AD120E"/>
    <w:rsid w:val="00AD14D1"/>
    <w:rsid w:val="00AD1D93"/>
    <w:rsid w:val="00AD1E0C"/>
    <w:rsid w:val="00AD225C"/>
    <w:rsid w:val="00AD2263"/>
    <w:rsid w:val="00AD2515"/>
    <w:rsid w:val="00AD2901"/>
    <w:rsid w:val="00AD2A52"/>
    <w:rsid w:val="00AD2CB0"/>
    <w:rsid w:val="00AD2D75"/>
    <w:rsid w:val="00AD33E6"/>
    <w:rsid w:val="00AD3548"/>
    <w:rsid w:val="00AD3D8F"/>
    <w:rsid w:val="00AD4553"/>
    <w:rsid w:val="00AD47BD"/>
    <w:rsid w:val="00AD4A1C"/>
    <w:rsid w:val="00AD5446"/>
    <w:rsid w:val="00AD56E9"/>
    <w:rsid w:val="00AD5C21"/>
    <w:rsid w:val="00AD5EEB"/>
    <w:rsid w:val="00AD6FA4"/>
    <w:rsid w:val="00AD7021"/>
    <w:rsid w:val="00AD71E9"/>
    <w:rsid w:val="00AD730B"/>
    <w:rsid w:val="00AD743C"/>
    <w:rsid w:val="00AD748F"/>
    <w:rsid w:val="00AD76F3"/>
    <w:rsid w:val="00AD79F0"/>
    <w:rsid w:val="00AD7CA7"/>
    <w:rsid w:val="00AD7CDF"/>
    <w:rsid w:val="00AE0252"/>
    <w:rsid w:val="00AE08F7"/>
    <w:rsid w:val="00AE0AAF"/>
    <w:rsid w:val="00AE0CE5"/>
    <w:rsid w:val="00AE0D8C"/>
    <w:rsid w:val="00AE15C2"/>
    <w:rsid w:val="00AE2551"/>
    <w:rsid w:val="00AE260A"/>
    <w:rsid w:val="00AE2A83"/>
    <w:rsid w:val="00AE2AA0"/>
    <w:rsid w:val="00AE2CE3"/>
    <w:rsid w:val="00AE3140"/>
    <w:rsid w:val="00AE359D"/>
    <w:rsid w:val="00AE35B3"/>
    <w:rsid w:val="00AE45FD"/>
    <w:rsid w:val="00AE50E0"/>
    <w:rsid w:val="00AE59DD"/>
    <w:rsid w:val="00AE5ABC"/>
    <w:rsid w:val="00AE5D47"/>
    <w:rsid w:val="00AE656D"/>
    <w:rsid w:val="00AE6A86"/>
    <w:rsid w:val="00AE6C5A"/>
    <w:rsid w:val="00AE755A"/>
    <w:rsid w:val="00AE7809"/>
    <w:rsid w:val="00AE7E1E"/>
    <w:rsid w:val="00AF12D6"/>
    <w:rsid w:val="00AF15DF"/>
    <w:rsid w:val="00AF19EB"/>
    <w:rsid w:val="00AF2015"/>
    <w:rsid w:val="00AF216B"/>
    <w:rsid w:val="00AF21D3"/>
    <w:rsid w:val="00AF2456"/>
    <w:rsid w:val="00AF2794"/>
    <w:rsid w:val="00AF2A5E"/>
    <w:rsid w:val="00AF2E37"/>
    <w:rsid w:val="00AF2F41"/>
    <w:rsid w:val="00AF3775"/>
    <w:rsid w:val="00AF3FF1"/>
    <w:rsid w:val="00AF4030"/>
    <w:rsid w:val="00AF40D3"/>
    <w:rsid w:val="00AF4167"/>
    <w:rsid w:val="00AF4862"/>
    <w:rsid w:val="00AF48BC"/>
    <w:rsid w:val="00AF49F6"/>
    <w:rsid w:val="00AF4A3A"/>
    <w:rsid w:val="00AF4D71"/>
    <w:rsid w:val="00AF4E0D"/>
    <w:rsid w:val="00AF5395"/>
    <w:rsid w:val="00AF5547"/>
    <w:rsid w:val="00AF588B"/>
    <w:rsid w:val="00AF5EC5"/>
    <w:rsid w:val="00AF6345"/>
    <w:rsid w:val="00AF644F"/>
    <w:rsid w:val="00AF65A3"/>
    <w:rsid w:val="00AF672F"/>
    <w:rsid w:val="00AF686B"/>
    <w:rsid w:val="00AF6B37"/>
    <w:rsid w:val="00AF6EE3"/>
    <w:rsid w:val="00AF7066"/>
    <w:rsid w:val="00AF71B4"/>
    <w:rsid w:val="00AF73C1"/>
    <w:rsid w:val="00AF76A5"/>
    <w:rsid w:val="00AF7D6C"/>
    <w:rsid w:val="00B00438"/>
    <w:rsid w:val="00B01865"/>
    <w:rsid w:val="00B018A9"/>
    <w:rsid w:val="00B01FBE"/>
    <w:rsid w:val="00B020B9"/>
    <w:rsid w:val="00B022AE"/>
    <w:rsid w:val="00B026BE"/>
    <w:rsid w:val="00B02E3E"/>
    <w:rsid w:val="00B02EA9"/>
    <w:rsid w:val="00B033F3"/>
    <w:rsid w:val="00B0351D"/>
    <w:rsid w:val="00B036B7"/>
    <w:rsid w:val="00B04CD6"/>
    <w:rsid w:val="00B04E04"/>
    <w:rsid w:val="00B05943"/>
    <w:rsid w:val="00B05E16"/>
    <w:rsid w:val="00B05E6A"/>
    <w:rsid w:val="00B05ED6"/>
    <w:rsid w:val="00B05FF0"/>
    <w:rsid w:val="00B0630A"/>
    <w:rsid w:val="00B06782"/>
    <w:rsid w:val="00B06906"/>
    <w:rsid w:val="00B06957"/>
    <w:rsid w:val="00B073AD"/>
    <w:rsid w:val="00B07B84"/>
    <w:rsid w:val="00B07BED"/>
    <w:rsid w:val="00B07D91"/>
    <w:rsid w:val="00B1021E"/>
    <w:rsid w:val="00B102FC"/>
    <w:rsid w:val="00B10542"/>
    <w:rsid w:val="00B10AC3"/>
    <w:rsid w:val="00B10ADC"/>
    <w:rsid w:val="00B10FDF"/>
    <w:rsid w:val="00B119BE"/>
    <w:rsid w:val="00B123F5"/>
    <w:rsid w:val="00B128C4"/>
    <w:rsid w:val="00B12C8C"/>
    <w:rsid w:val="00B1306F"/>
    <w:rsid w:val="00B131D9"/>
    <w:rsid w:val="00B1351D"/>
    <w:rsid w:val="00B139AD"/>
    <w:rsid w:val="00B13B38"/>
    <w:rsid w:val="00B13E41"/>
    <w:rsid w:val="00B13EC5"/>
    <w:rsid w:val="00B140F7"/>
    <w:rsid w:val="00B1427B"/>
    <w:rsid w:val="00B142E2"/>
    <w:rsid w:val="00B14472"/>
    <w:rsid w:val="00B14509"/>
    <w:rsid w:val="00B15365"/>
    <w:rsid w:val="00B15435"/>
    <w:rsid w:val="00B162E6"/>
    <w:rsid w:val="00B16332"/>
    <w:rsid w:val="00B165DD"/>
    <w:rsid w:val="00B165FA"/>
    <w:rsid w:val="00B16834"/>
    <w:rsid w:val="00B174D3"/>
    <w:rsid w:val="00B17860"/>
    <w:rsid w:val="00B17988"/>
    <w:rsid w:val="00B17C58"/>
    <w:rsid w:val="00B17DAC"/>
    <w:rsid w:val="00B20050"/>
    <w:rsid w:val="00B200CD"/>
    <w:rsid w:val="00B201C2"/>
    <w:rsid w:val="00B201D6"/>
    <w:rsid w:val="00B202F0"/>
    <w:rsid w:val="00B20457"/>
    <w:rsid w:val="00B20461"/>
    <w:rsid w:val="00B2088E"/>
    <w:rsid w:val="00B20E00"/>
    <w:rsid w:val="00B21718"/>
    <w:rsid w:val="00B22262"/>
    <w:rsid w:val="00B22351"/>
    <w:rsid w:val="00B23299"/>
    <w:rsid w:val="00B239EB"/>
    <w:rsid w:val="00B240F2"/>
    <w:rsid w:val="00B2414B"/>
    <w:rsid w:val="00B2417A"/>
    <w:rsid w:val="00B24184"/>
    <w:rsid w:val="00B24917"/>
    <w:rsid w:val="00B2549D"/>
    <w:rsid w:val="00B2560A"/>
    <w:rsid w:val="00B257A2"/>
    <w:rsid w:val="00B258D9"/>
    <w:rsid w:val="00B25D9C"/>
    <w:rsid w:val="00B2655A"/>
    <w:rsid w:val="00B26F14"/>
    <w:rsid w:val="00B2700E"/>
    <w:rsid w:val="00B275AB"/>
    <w:rsid w:val="00B27B73"/>
    <w:rsid w:val="00B27FA7"/>
    <w:rsid w:val="00B30037"/>
    <w:rsid w:val="00B303DE"/>
    <w:rsid w:val="00B30663"/>
    <w:rsid w:val="00B307A5"/>
    <w:rsid w:val="00B30A71"/>
    <w:rsid w:val="00B30B0C"/>
    <w:rsid w:val="00B30D74"/>
    <w:rsid w:val="00B30E7E"/>
    <w:rsid w:val="00B30E96"/>
    <w:rsid w:val="00B31189"/>
    <w:rsid w:val="00B3155E"/>
    <w:rsid w:val="00B31C73"/>
    <w:rsid w:val="00B321F7"/>
    <w:rsid w:val="00B33121"/>
    <w:rsid w:val="00B335FA"/>
    <w:rsid w:val="00B337DB"/>
    <w:rsid w:val="00B33FFF"/>
    <w:rsid w:val="00B34100"/>
    <w:rsid w:val="00B3487E"/>
    <w:rsid w:val="00B34B8B"/>
    <w:rsid w:val="00B34C4A"/>
    <w:rsid w:val="00B35523"/>
    <w:rsid w:val="00B35696"/>
    <w:rsid w:val="00B356D5"/>
    <w:rsid w:val="00B35C07"/>
    <w:rsid w:val="00B35F14"/>
    <w:rsid w:val="00B36F34"/>
    <w:rsid w:val="00B36F9E"/>
    <w:rsid w:val="00B3727D"/>
    <w:rsid w:val="00B372B5"/>
    <w:rsid w:val="00B373C8"/>
    <w:rsid w:val="00B37478"/>
    <w:rsid w:val="00B3748F"/>
    <w:rsid w:val="00B37749"/>
    <w:rsid w:val="00B37B9F"/>
    <w:rsid w:val="00B37EAF"/>
    <w:rsid w:val="00B402AF"/>
    <w:rsid w:val="00B40448"/>
    <w:rsid w:val="00B4051D"/>
    <w:rsid w:val="00B40579"/>
    <w:rsid w:val="00B413CC"/>
    <w:rsid w:val="00B422CE"/>
    <w:rsid w:val="00B42637"/>
    <w:rsid w:val="00B437AD"/>
    <w:rsid w:val="00B4383E"/>
    <w:rsid w:val="00B43F3F"/>
    <w:rsid w:val="00B44419"/>
    <w:rsid w:val="00B445D2"/>
    <w:rsid w:val="00B44727"/>
    <w:rsid w:val="00B447D8"/>
    <w:rsid w:val="00B44BC1"/>
    <w:rsid w:val="00B450AA"/>
    <w:rsid w:val="00B4515C"/>
    <w:rsid w:val="00B451C1"/>
    <w:rsid w:val="00B46079"/>
    <w:rsid w:val="00B463B3"/>
    <w:rsid w:val="00B46D6A"/>
    <w:rsid w:val="00B46D96"/>
    <w:rsid w:val="00B50873"/>
    <w:rsid w:val="00B50882"/>
    <w:rsid w:val="00B508B7"/>
    <w:rsid w:val="00B50A24"/>
    <w:rsid w:val="00B50A2A"/>
    <w:rsid w:val="00B50F35"/>
    <w:rsid w:val="00B51175"/>
    <w:rsid w:val="00B51997"/>
    <w:rsid w:val="00B51D03"/>
    <w:rsid w:val="00B51D69"/>
    <w:rsid w:val="00B52045"/>
    <w:rsid w:val="00B52261"/>
    <w:rsid w:val="00B524CA"/>
    <w:rsid w:val="00B5252A"/>
    <w:rsid w:val="00B52801"/>
    <w:rsid w:val="00B52FCF"/>
    <w:rsid w:val="00B53545"/>
    <w:rsid w:val="00B535F6"/>
    <w:rsid w:val="00B53D50"/>
    <w:rsid w:val="00B53F9B"/>
    <w:rsid w:val="00B54467"/>
    <w:rsid w:val="00B545FA"/>
    <w:rsid w:val="00B54776"/>
    <w:rsid w:val="00B5481C"/>
    <w:rsid w:val="00B54959"/>
    <w:rsid w:val="00B54B89"/>
    <w:rsid w:val="00B54C05"/>
    <w:rsid w:val="00B5586B"/>
    <w:rsid w:val="00B55F88"/>
    <w:rsid w:val="00B561B5"/>
    <w:rsid w:val="00B567BC"/>
    <w:rsid w:val="00B5715E"/>
    <w:rsid w:val="00B57227"/>
    <w:rsid w:val="00B57285"/>
    <w:rsid w:val="00B57408"/>
    <w:rsid w:val="00B578DE"/>
    <w:rsid w:val="00B57CE1"/>
    <w:rsid w:val="00B57E5C"/>
    <w:rsid w:val="00B57EA6"/>
    <w:rsid w:val="00B601AA"/>
    <w:rsid w:val="00B60A98"/>
    <w:rsid w:val="00B60F9F"/>
    <w:rsid w:val="00B61256"/>
    <w:rsid w:val="00B61275"/>
    <w:rsid w:val="00B61399"/>
    <w:rsid w:val="00B6195C"/>
    <w:rsid w:val="00B6199F"/>
    <w:rsid w:val="00B61CF1"/>
    <w:rsid w:val="00B61ECA"/>
    <w:rsid w:val="00B62332"/>
    <w:rsid w:val="00B62479"/>
    <w:rsid w:val="00B626AC"/>
    <w:rsid w:val="00B62DE6"/>
    <w:rsid w:val="00B62E66"/>
    <w:rsid w:val="00B63132"/>
    <w:rsid w:val="00B638B6"/>
    <w:rsid w:val="00B638D9"/>
    <w:rsid w:val="00B63957"/>
    <w:rsid w:val="00B63FBC"/>
    <w:rsid w:val="00B642F1"/>
    <w:rsid w:val="00B65C40"/>
    <w:rsid w:val="00B65C79"/>
    <w:rsid w:val="00B65EBE"/>
    <w:rsid w:val="00B65F11"/>
    <w:rsid w:val="00B65F79"/>
    <w:rsid w:val="00B663B7"/>
    <w:rsid w:val="00B66583"/>
    <w:rsid w:val="00B66A0F"/>
    <w:rsid w:val="00B66BAC"/>
    <w:rsid w:val="00B66D16"/>
    <w:rsid w:val="00B66FD9"/>
    <w:rsid w:val="00B67292"/>
    <w:rsid w:val="00B673B6"/>
    <w:rsid w:val="00B674D8"/>
    <w:rsid w:val="00B67913"/>
    <w:rsid w:val="00B67D98"/>
    <w:rsid w:val="00B704A1"/>
    <w:rsid w:val="00B706A8"/>
    <w:rsid w:val="00B70936"/>
    <w:rsid w:val="00B70CC2"/>
    <w:rsid w:val="00B71232"/>
    <w:rsid w:val="00B71322"/>
    <w:rsid w:val="00B71481"/>
    <w:rsid w:val="00B71578"/>
    <w:rsid w:val="00B71679"/>
    <w:rsid w:val="00B71A21"/>
    <w:rsid w:val="00B71A43"/>
    <w:rsid w:val="00B71EB8"/>
    <w:rsid w:val="00B722F6"/>
    <w:rsid w:val="00B7263D"/>
    <w:rsid w:val="00B72A73"/>
    <w:rsid w:val="00B72F84"/>
    <w:rsid w:val="00B73CDB"/>
    <w:rsid w:val="00B74194"/>
    <w:rsid w:val="00B744AF"/>
    <w:rsid w:val="00B746FB"/>
    <w:rsid w:val="00B74E0C"/>
    <w:rsid w:val="00B74E81"/>
    <w:rsid w:val="00B7560E"/>
    <w:rsid w:val="00B75722"/>
    <w:rsid w:val="00B757B5"/>
    <w:rsid w:val="00B75905"/>
    <w:rsid w:val="00B75F0E"/>
    <w:rsid w:val="00B762EC"/>
    <w:rsid w:val="00B77515"/>
    <w:rsid w:val="00B77627"/>
    <w:rsid w:val="00B77970"/>
    <w:rsid w:val="00B779F0"/>
    <w:rsid w:val="00B77F13"/>
    <w:rsid w:val="00B77F82"/>
    <w:rsid w:val="00B8009F"/>
    <w:rsid w:val="00B8032B"/>
    <w:rsid w:val="00B80452"/>
    <w:rsid w:val="00B8056C"/>
    <w:rsid w:val="00B81267"/>
    <w:rsid w:val="00B814E1"/>
    <w:rsid w:val="00B81648"/>
    <w:rsid w:val="00B8188B"/>
    <w:rsid w:val="00B81AEC"/>
    <w:rsid w:val="00B81B19"/>
    <w:rsid w:val="00B81F35"/>
    <w:rsid w:val="00B82AB3"/>
    <w:rsid w:val="00B83143"/>
    <w:rsid w:val="00B83672"/>
    <w:rsid w:val="00B8392C"/>
    <w:rsid w:val="00B83992"/>
    <w:rsid w:val="00B83CAD"/>
    <w:rsid w:val="00B83EEC"/>
    <w:rsid w:val="00B843D5"/>
    <w:rsid w:val="00B8467F"/>
    <w:rsid w:val="00B847B5"/>
    <w:rsid w:val="00B84907"/>
    <w:rsid w:val="00B84C7C"/>
    <w:rsid w:val="00B84FE5"/>
    <w:rsid w:val="00B85201"/>
    <w:rsid w:val="00B85691"/>
    <w:rsid w:val="00B85978"/>
    <w:rsid w:val="00B85AF6"/>
    <w:rsid w:val="00B85D7F"/>
    <w:rsid w:val="00B86176"/>
    <w:rsid w:val="00B87329"/>
    <w:rsid w:val="00B875E1"/>
    <w:rsid w:val="00B87737"/>
    <w:rsid w:val="00B87911"/>
    <w:rsid w:val="00B879F6"/>
    <w:rsid w:val="00B87DFB"/>
    <w:rsid w:val="00B903F5"/>
    <w:rsid w:val="00B9061B"/>
    <w:rsid w:val="00B90745"/>
    <w:rsid w:val="00B90C71"/>
    <w:rsid w:val="00B90CBA"/>
    <w:rsid w:val="00B90E07"/>
    <w:rsid w:val="00B91244"/>
    <w:rsid w:val="00B931E2"/>
    <w:rsid w:val="00B933E9"/>
    <w:rsid w:val="00B935F4"/>
    <w:rsid w:val="00B9371D"/>
    <w:rsid w:val="00B93CC5"/>
    <w:rsid w:val="00B93DAC"/>
    <w:rsid w:val="00B93F9F"/>
    <w:rsid w:val="00B9447B"/>
    <w:rsid w:val="00B9456E"/>
    <w:rsid w:val="00B94608"/>
    <w:rsid w:val="00B94959"/>
    <w:rsid w:val="00B94BE4"/>
    <w:rsid w:val="00B95954"/>
    <w:rsid w:val="00B95EB1"/>
    <w:rsid w:val="00B96056"/>
    <w:rsid w:val="00B96488"/>
    <w:rsid w:val="00B96591"/>
    <w:rsid w:val="00B965A6"/>
    <w:rsid w:val="00B96ED9"/>
    <w:rsid w:val="00B976D0"/>
    <w:rsid w:val="00B97A60"/>
    <w:rsid w:val="00B97A7D"/>
    <w:rsid w:val="00B97B1D"/>
    <w:rsid w:val="00B97FCD"/>
    <w:rsid w:val="00BA04F6"/>
    <w:rsid w:val="00BA0977"/>
    <w:rsid w:val="00BA0A6F"/>
    <w:rsid w:val="00BA0E0D"/>
    <w:rsid w:val="00BA0EA5"/>
    <w:rsid w:val="00BA15CF"/>
    <w:rsid w:val="00BA16A3"/>
    <w:rsid w:val="00BA1B30"/>
    <w:rsid w:val="00BA1E1E"/>
    <w:rsid w:val="00BA2055"/>
    <w:rsid w:val="00BA2316"/>
    <w:rsid w:val="00BA2847"/>
    <w:rsid w:val="00BA2B96"/>
    <w:rsid w:val="00BA2D6B"/>
    <w:rsid w:val="00BA3823"/>
    <w:rsid w:val="00BA3C7A"/>
    <w:rsid w:val="00BA3CF3"/>
    <w:rsid w:val="00BA3EF7"/>
    <w:rsid w:val="00BA40F5"/>
    <w:rsid w:val="00BA4A81"/>
    <w:rsid w:val="00BA4DBB"/>
    <w:rsid w:val="00BA4DF5"/>
    <w:rsid w:val="00BA4EB3"/>
    <w:rsid w:val="00BA5112"/>
    <w:rsid w:val="00BA535A"/>
    <w:rsid w:val="00BA57AC"/>
    <w:rsid w:val="00BA591A"/>
    <w:rsid w:val="00BA5BEF"/>
    <w:rsid w:val="00BA5C31"/>
    <w:rsid w:val="00BA6142"/>
    <w:rsid w:val="00BA631E"/>
    <w:rsid w:val="00BA647C"/>
    <w:rsid w:val="00BA658A"/>
    <w:rsid w:val="00BA65D8"/>
    <w:rsid w:val="00BA67DF"/>
    <w:rsid w:val="00BA68C4"/>
    <w:rsid w:val="00BA6943"/>
    <w:rsid w:val="00BA7D22"/>
    <w:rsid w:val="00BA7D2D"/>
    <w:rsid w:val="00BA7DFF"/>
    <w:rsid w:val="00BB00BC"/>
    <w:rsid w:val="00BB0625"/>
    <w:rsid w:val="00BB0883"/>
    <w:rsid w:val="00BB099E"/>
    <w:rsid w:val="00BB0B0D"/>
    <w:rsid w:val="00BB119E"/>
    <w:rsid w:val="00BB11E4"/>
    <w:rsid w:val="00BB12C6"/>
    <w:rsid w:val="00BB13DD"/>
    <w:rsid w:val="00BB1506"/>
    <w:rsid w:val="00BB1A9D"/>
    <w:rsid w:val="00BB2591"/>
    <w:rsid w:val="00BB3581"/>
    <w:rsid w:val="00BB3891"/>
    <w:rsid w:val="00BB3923"/>
    <w:rsid w:val="00BB3C96"/>
    <w:rsid w:val="00BB3CEE"/>
    <w:rsid w:val="00BB44F4"/>
    <w:rsid w:val="00BB45D5"/>
    <w:rsid w:val="00BB498B"/>
    <w:rsid w:val="00BB4B90"/>
    <w:rsid w:val="00BB5751"/>
    <w:rsid w:val="00BB58D9"/>
    <w:rsid w:val="00BB5914"/>
    <w:rsid w:val="00BB5D1C"/>
    <w:rsid w:val="00BB627B"/>
    <w:rsid w:val="00BB6C48"/>
    <w:rsid w:val="00BB6D23"/>
    <w:rsid w:val="00BB6D78"/>
    <w:rsid w:val="00BB71E1"/>
    <w:rsid w:val="00BB721C"/>
    <w:rsid w:val="00BB7AAE"/>
    <w:rsid w:val="00BB7EE8"/>
    <w:rsid w:val="00BB7FC2"/>
    <w:rsid w:val="00BC03A3"/>
    <w:rsid w:val="00BC099C"/>
    <w:rsid w:val="00BC0F9C"/>
    <w:rsid w:val="00BC1A54"/>
    <w:rsid w:val="00BC1E98"/>
    <w:rsid w:val="00BC22C3"/>
    <w:rsid w:val="00BC237F"/>
    <w:rsid w:val="00BC2573"/>
    <w:rsid w:val="00BC2B9A"/>
    <w:rsid w:val="00BC2EF3"/>
    <w:rsid w:val="00BC32D5"/>
    <w:rsid w:val="00BC3A04"/>
    <w:rsid w:val="00BC3DFC"/>
    <w:rsid w:val="00BC4687"/>
    <w:rsid w:val="00BC4A9F"/>
    <w:rsid w:val="00BC4AB2"/>
    <w:rsid w:val="00BC4D1A"/>
    <w:rsid w:val="00BC4E7C"/>
    <w:rsid w:val="00BC51E4"/>
    <w:rsid w:val="00BC53D6"/>
    <w:rsid w:val="00BC5466"/>
    <w:rsid w:val="00BC5770"/>
    <w:rsid w:val="00BC589B"/>
    <w:rsid w:val="00BC592C"/>
    <w:rsid w:val="00BC5CF5"/>
    <w:rsid w:val="00BC6226"/>
    <w:rsid w:val="00BC65F4"/>
    <w:rsid w:val="00BC6757"/>
    <w:rsid w:val="00BC69E2"/>
    <w:rsid w:val="00BC71A8"/>
    <w:rsid w:val="00BC754E"/>
    <w:rsid w:val="00BC75AF"/>
    <w:rsid w:val="00BC786C"/>
    <w:rsid w:val="00BC7957"/>
    <w:rsid w:val="00BC7BA3"/>
    <w:rsid w:val="00BC7F91"/>
    <w:rsid w:val="00BD029B"/>
    <w:rsid w:val="00BD052F"/>
    <w:rsid w:val="00BD09E6"/>
    <w:rsid w:val="00BD0A98"/>
    <w:rsid w:val="00BD0B5A"/>
    <w:rsid w:val="00BD0C04"/>
    <w:rsid w:val="00BD0CD6"/>
    <w:rsid w:val="00BD0F96"/>
    <w:rsid w:val="00BD12A7"/>
    <w:rsid w:val="00BD1640"/>
    <w:rsid w:val="00BD18B5"/>
    <w:rsid w:val="00BD1B5F"/>
    <w:rsid w:val="00BD1E0D"/>
    <w:rsid w:val="00BD1F6E"/>
    <w:rsid w:val="00BD1FFD"/>
    <w:rsid w:val="00BD24CB"/>
    <w:rsid w:val="00BD2810"/>
    <w:rsid w:val="00BD2893"/>
    <w:rsid w:val="00BD2D6D"/>
    <w:rsid w:val="00BD2D91"/>
    <w:rsid w:val="00BD3904"/>
    <w:rsid w:val="00BD3D10"/>
    <w:rsid w:val="00BD41D5"/>
    <w:rsid w:val="00BD4320"/>
    <w:rsid w:val="00BD45A5"/>
    <w:rsid w:val="00BD4601"/>
    <w:rsid w:val="00BD47B8"/>
    <w:rsid w:val="00BD50D1"/>
    <w:rsid w:val="00BD55D2"/>
    <w:rsid w:val="00BD5AD7"/>
    <w:rsid w:val="00BD5E14"/>
    <w:rsid w:val="00BD5E4E"/>
    <w:rsid w:val="00BD5E91"/>
    <w:rsid w:val="00BD5F8E"/>
    <w:rsid w:val="00BD6B29"/>
    <w:rsid w:val="00BD6E94"/>
    <w:rsid w:val="00BD732B"/>
    <w:rsid w:val="00BD753B"/>
    <w:rsid w:val="00BD78D8"/>
    <w:rsid w:val="00BD7A61"/>
    <w:rsid w:val="00BD7E2A"/>
    <w:rsid w:val="00BE0088"/>
    <w:rsid w:val="00BE05F1"/>
    <w:rsid w:val="00BE0B7E"/>
    <w:rsid w:val="00BE0ECA"/>
    <w:rsid w:val="00BE167F"/>
    <w:rsid w:val="00BE21E5"/>
    <w:rsid w:val="00BE2DEF"/>
    <w:rsid w:val="00BE3335"/>
    <w:rsid w:val="00BE351F"/>
    <w:rsid w:val="00BE378C"/>
    <w:rsid w:val="00BE3CC7"/>
    <w:rsid w:val="00BE4105"/>
    <w:rsid w:val="00BE4524"/>
    <w:rsid w:val="00BE453C"/>
    <w:rsid w:val="00BE455B"/>
    <w:rsid w:val="00BE5036"/>
    <w:rsid w:val="00BE5740"/>
    <w:rsid w:val="00BE5D83"/>
    <w:rsid w:val="00BE64E0"/>
    <w:rsid w:val="00BE67AD"/>
    <w:rsid w:val="00BE67C1"/>
    <w:rsid w:val="00BE67F2"/>
    <w:rsid w:val="00BE6B13"/>
    <w:rsid w:val="00BE6D88"/>
    <w:rsid w:val="00BE7326"/>
    <w:rsid w:val="00BE749F"/>
    <w:rsid w:val="00BE7903"/>
    <w:rsid w:val="00BE7F39"/>
    <w:rsid w:val="00BF001F"/>
    <w:rsid w:val="00BF00CA"/>
    <w:rsid w:val="00BF05FB"/>
    <w:rsid w:val="00BF09D5"/>
    <w:rsid w:val="00BF14C7"/>
    <w:rsid w:val="00BF1677"/>
    <w:rsid w:val="00BF177A"/>
    <w:rsid w:val="00BF17DE"/>
    <w:rsid w:val="00BF198E"/>
    <w:rsid w:val="00BF1AF6"/>
    <w:rsid w:val="00BF1C02"/>
    <w:rsid w:val="00BF24F3"/>
    <w:rsid w:val="00BF28E1"/>
    <w:rsid w:val="00BF2A3F"/>
    <w:rsid w:val="00BF2AD3"/>
    <w:rsid w:val="00BF36E8"/>
    <w:rsid w:val="00BF3A05"/>
    <w:rsid w:val="00BF3D95"/>
    <w:rsid w:val="00BF3E50"/>
    <w:rsid w:val="00BF42FD"/>
    <w:rsid w:val="00BF4424"/>
    <w:rsid w:val="00BF45F7"/>
    <w:rsid w:val="00BF4758"/>
    <w:rsid w:val="00BF4C32"/>
    <w:rsid w:val="00BF52C4"/>
    <w:rsid w:val="00BF5348"/>
    <w:rsid w:val="00BF538A"/>
    <w:rsid w:val="00BF588E"/>
    <w:rsid w:val="00BF5A82"/>
    <w:rsid w:val="00BF5AD6"/>
    <w:rsid w:val="00BF6017"/>
    <w:rsid w:val="00BF60DB"/>
    <w:rsid w:val="00BF62A4"/>
    <w:rsid w:val="00BF679A"/>
    <w:rsid w:val="00BF69FC"/>
    <w:rsid w:val="00BF6B9C"/>
    <w:rsid w:val="00BF6E16"/>
    <w:rsid w:val="00BF6EB5"/>
    <w:rsid w:val="00BF6F80"/>
    <w:rsid w:val="00BF72D3"/>
    <w:rsid w:val="00BF77D3"/>
    <w:rsid w:val="00C0002B"/>
    <w:rsid w:val="00C000A1"/>
    <w:rsid w:val="00C001A4"/>
    <w:rsid w:val="00C0058D"/>
    <w:rsid w:val="00C009EC"/>
    <w:rsid w:val="00C01621"/>
    <w:rsid w:val="00C01889"/>
    <w:rsid w:val="00C01C73"/>
    <w:rsid w:val="00C01DEC"/>
    <w:rsid w:val="00C02A57"/>
    <w:rsid w:val="00C02ABD"/>
    <w:rsid w:val="00C02D0B"/>
    <w:rsid w:val="00C02EDE"/>
    <w:rsid w:val="00C03682"/>
    <w:rsid w:val="00C03CF6"/>
    <w:rsid w:val="00C04464"/>
    <w:rsid w:val="00C047E2"/>
    <w:rsid w:val="00C04E5D"/>
    <w:rsid w:val="00C05052"/>
    <w:rsid w:val="00C058FE"/>
    <w:rsid w:val="00C05C3E"/>
    <w:rsid w:val="00C05E00"/>
    <w:rsid w:val="00C0669C"/>
    <w:rsid w:val="00C06844"/>
    <w:rsid w:val="00C06D17"/>
    <w:rsid w:val="00C0781D"/>
    <w:rsid w:val="00C07927"/>
    <w:rsid w:val="00C07F1B"/>
    <w:rsid w:val="00C10253"/>
    <w:rsid w:val="00C10392"/>
    <w:rsid w:val="00C10784"/>
    <w:rsid w:val="00C107F2"/>
    <w:rsid w:val="00C1091B"/>
    <w:rsid w:val="00C1119D"/>
    <w:rsid w:val="00C11402"/>
    <w:rsid w:val="00C11494"/>
    <w:rsid w:val="00C11967"/>
    <w:rsid w:val="00C121FD"/>
    <w:rsid w:val="00C124EF"/>
    <w:rsid w:val="00C125BF"/>
    <w:rsid w:val="00C12775"/>
    <w:rsid w:val="00C13576"/>
    <w:rsid w:val="00C13799"/>
    <w:rsid w:val="00C13E07"/>
    <w:rsid w:val="00C1474F"/>
    <w:rsid w:val="00C14A55"/>
    <w:rsid w:val="00C14C3E"/>
    <w:rsid w:val="00C14CDC"/>
    <w:rsid w:val="00C14DD3"/>
    <w:rsid w:val="00C14FB2"/>
    <w:rsid w:val="00C150AE"/>
    <w:rsid w:val="00C15D65"/>
    <w:rsid w:val="00C15E33"/>
    <w:rsid w:val="00C161B9"/>
    <w:rsid w:val="00C16261"/>
    <w:rsid w:val="00C1633D"/>
    <w:rsid w:val="00C169A7"/>
    <w:rsid w:val="00C16BAD"/>
    <w:rsid w:val="00C16BE3"/>
    <w:rsid w:val="00C16EA8"/>
    <w:rsid w:val="00C20390"/>
    <w:rsid w:val="00C20FEC"/>
    <w:rsid w:val="00C21B4B"/>
    <w:rsid w:val="00C226A3"/>
    <w:rsid w:val="00C226C8"/>
    <w:rsid w:val="00C22791"/>
    <w:rsid w:val="00C229E4"/>
    <w:rsid w:val="00C22E2F"/>
    <w:rsid w:val="00C236C9"/>
    <w:rsid w:val="00C23B92"/>
    <w:rsid w:val="00C24852"/>
    <w:rsid w:val="00C2487C"/>
    <w:rsid w:val="00C249C7"/>
    <w:rsid w:val="00C24A0C"/>
    <w:rsid w:val="00C24C51"/>
    <w:rsid w:val="00C251ED"/>
    <w:rsid w:val="00C25249"/>
    <w:rsid w:val="00C2615A"/>
    <w:rsid w:val="00C262C0"/>
    <w:rsid w:val="00C2636D"/>
    <w:rsid w:val="00C276A5"/>
    <w:rsid w:val="00C27A16"/>
    <w:rsid w:val="00C3065E"/>
    <w:rsid w:val="00C30979"/>
    <w:rsid w:val="00C310C5"/>
    <w:rsid w:val="00C31627"/>
    <w:rsid w:val="00C31888"/>
    <w:rsid w:val="00C31BA4"/>
    <w:rsid w:val="00C32212"/>
    <w:rsid w:val="00C32653"/>
    <w:rsid w:val="00C32701"/>
    <w:rsid w:val="00C32DEC"/>
    <w:rsid w:val="00C32F85"/>
    <w:rsid w:val="00C3325C"/>
    <w:rsid w:val="00C33AA3"/>
    <w:rsid w:val="00C34028"/>
    <w:rsid w:val="00C341BB"/>
    <w:rsid w:val="00C34A92"/>
    <w:rsid w:val="00C34ACE"/>
    <w:rsid w:val="00C34D15"/>
    <w:rsid w:val="00C34DC8"/>
    <w:rsid w:val="00C34EDF"/>
    <w:rsid w:val="00C34FCB"/>
    <w:rsid w:val="00C35007"/>
    <w:rsid w:val="00C351D3"/>
    <w:rsid w:val="00C357C0"/>
    <w:rsid w:val="00C35809"/>
    <w:rsid w:val="00C3596E"/>
    <w:rsid w:val="00C35A05"/>
    <w:rsid w:val="00C35B6C"/>
    <w:rsid w:val="00C36B86"/>
    <w:rsid w:val="00C37377"/>
    <w:rsid w:val="00C37941"/>
    <w:rsid w:val="00C37C9D"/>
    <w:rsid w:val="00C37CBE"/>
    <w:rsid w:val="00C40051"/>
    <w:rsid w:val="00C40CD7"/>
    <w:rsid w:val="00C40DCD"/>
    <w:rsid w:val="00C40FE9"/>
    <w:rsid w:val="00C4134E"/>
    <w:rsid w:val="00C41859"/>
    <w:rsid w:val="00C419B8"/>
    <w:rsid w:val="00C419E8"/>
    <w:rsid w:val="00C41B43"/>
    <w:rsid w:val="00C41B7B"/>
    <w:rsid w:val="00C41F16"/>
    <w:rsid w:val="00C42163"/>
    <w:rsid w:val="00C42523"/>
    <w:rsid w:val="00C42541"/>
    <w:rsid w:val="00C426EC"/>
    <w:rsid w:val="00C42BA3"/>
    <w:rsid w:val="00C431D1"/>
    <w:rsid w:val="00C441C7"/>
    <w:rsid w:val="00C44918"/>
    <w:rsid w:val="00C452AF"/>
    <w:rsid w:val="00C45774"/>
    <w:rsid w:val="00C45A66"/>
    <w:rsid w:val="00C45D3B"/>
    <w:rsid w:val="00C4610B"/>
    <w:rsid w:val="00C4627A"/>
    <w:rsid w:val="00C46581"/>
    <w:rsid w:val="00C47608"/>
    <w:rsid w:val="00C4770E"/>
    <w:rsid w:val="00C47B84"/>
    <w:rsid w:val="00C47BA6"/>
    <w:rsid w:val="00C501DD"/>
    <w:rsid w:val="00C50793"/>
    <w:rsid w:val="00C50C2E"/>
    <w:rsid w:val="00C50C94"/>
    <w:rsid w:val="00C50E5F"/>
    <w:rsid w:val="00C51556"/>
    <w:rsid w:val="00C51AC5"/>
    <w:rsid w:val="00C52D42"/>
    <w:rsid w:val="00C52E44"/>
    <w:rsid w:val="00C53097"/>
    <w:rsid w:val="00C538D1"/>
    <w:rsid w:val="00C538D7"/>
    <w:rsid w:val="00C53BD3"/>
    <w:rsid w:val="00C53C4D"/>
    <w:rsid w:val="00C53EA0"/>
    <w:rsid w:val="00C5414E"/>
    <w:rsid w:val="00C54200"/>
    <w:rsid w:val="00C54633"/>
    <w:rsid w:val="00C54736"/>
    <w:rsid w:val="00C54A41"/>
    <w:rsid w:val="00C54A5C"/>
    <w:rsid w:val="00C54F5D"/>
    <w:rsid w:val="00C5616F"/>
    <w:rsid w:val="00C56D78"/>
    <w:rsid w:val="00C56DC2"/>
    <w:rsid w:val="00C56DFE"/>
    <w:rsid w:val="00C5763E"/>
    <w:rsid w:val="00C57F09"/>
    <w:rsid w:val="00C6013A"/>
    <w:rsid w:val="00C6070D"/>
    <w:rsid w:val="00C60970"/>
    <w:rsid w:val="00C60A2C"/>
    <w:rsid w:val="00C60F8D"/>
    <w:rsid w:val="00C6141B"/>
    <w:rsid w:val="00C614A4"/>
    <w:rsid w:val="00C61E90"/>
    <w:rsid w:val="00C62050"/>
    <w:rsid w:val="00C62337"/>
    <w:rsid w:val="00C625FE"/>
    <w:rsid w:val="00C62623"/>
    <w:rsid w:val="00C628D6"/>
    <w:rsid w:val="00C62C9C"/>
    <w:rsid w:val="00C63C6F"/>
    <w:rsid w:val="00C647D4"/>
    <w:rsid w:val="00C64B8B"/>
    <w:rsid w:val="00C6508B"/>
    <w:rsid w:val="00C65870"/>
    <w:rsid w:val="00C65C44"/>
    <w:rsid w:val="00C6676B"/>
    <w:rsid w:val="00C667F4"/>
    <w:rsid w:val="00C66B19"/>
    <w:rsid w:val="00C66C47"/>
    <w:rsid w:val="00C6704D"/>
    <w:rsid w:val="00C673C5"/>
    <w:rsid w:val="00C67735"/>
    <w:rsid w:val="00C677EC"/>
    <w:rsid w:val="00C67E78"/>
    <w:rsid w:val="00C70182"/>
    <w:rsid w:val="00C707CC"/>
    <w:rsid w:val="00C70885"/>
    <w:rsid w:val="00C7098F"/>
    <w:rsid w:val="00C70C77"/>
    <w:rsid w:val="00C70DA7"/>
    <w:rsid w:val="00C71056"/>
    <w:rsid w:val="00C71844"/>
    <w:rsid w:val="00C71892"/>
    <w:rsid w:val="00C7195B"/>
    <w:rsid w:val="00C71BD2"/>
    <w:rsid w:val="00C71DE2"/>
    <w:rsid w:val="00C721D5"/>
    <w:rsid w:val="00C723B4"/>
    <w:rsid w:val="00C728A7"/>
    <w:rsid w:val="00C72C71"/>
    <w:rsid w:val="00C72E82"/>
    <w:rsid w:val="00C72FF3"/>
    <w:rsid w:val="00C73B63"/>
    <w:rsid w:val="00C73BCD"/>
    <w:rsid w:val="00C73BD6"/>
    <w:rsid w:val="00C73C85"/>
    <w:rsid w:val="00C73F9E"/>
    <w:rsid w:val="00C740F8"/>
    <w:rsid w:val="00C741D4"/>
    <w:rsid w:val="00C74DD9"/>
    <w:rsid w:val="00C74EF0"/>
    <w:rsid w:val="00C7522D"/>
    <w:rsid w:val="00C754A8"/>
    <w:rsid w:val="00C756FF"/>
    <w:rsid w:val="00C75F39"/>
    <w:rsid w:val="00C769D5"/>
    <w:rsid w:val="00C80352"/>
    <w:rsid w:val="00C809D6"/>
    <w:rsid w:val="00C80F63"/>
    <w:rsid w:val="00C8122F"/>
    <w:rsid w:val="00C818D8"/>
    <w:rsid w:val="00C81B72"/>
    <w:rsid w:val="00C81CED"/>
    <w:rsid w:val="00C8208E"/>
    <w:rsid w:val="00C821DF"/>
    <w:rsid w:val="00C8227D"/>
    <w:rsid w:val="00C82346"/>
    <w:rsid w:val="00C8262E"/>
    <w:rsid w:val="00C82658"/>
    <w:rsid w:val="00C828E6"/>
    <w:rsid w:val="00C82952"/>
    <w:rsid w:val="00C82A87"/>
    <w:rsid w:val="00C82EA4"/>
    <w:rsid w:val="00C83511"/>
    <w:rsid w:val="00C839CD"/>
    <w:rsid w:val="00C83D01"/>
    <w:rsid w:val="00C83EC2"/>
    <w:rsid w:val="00C8420B"/>
    <w:rsid w:val="00C843FC"/>
    <w:rsid w:val="00C84BB6"/>
    <w:rsid w:val="00C84D3D"/>
    <w:rsid w:val="00C85424"/>
    <w:rsid w:val="00C85744"/>
    <w:rsid w:val="00C85822"/>
    <w:rsid w:val="00C85B86"/>
    <w:rsid w:val="00C85E3E"/>
    <w:rsid w:val="00C85FC1"/>
    <w:rsid w:val="00C8624E"/>
    <w:rsid w:val="00C86C52"/>
    <w:rsid w:val="00C86F33"/>
    <w:rsid w:val="00C8707B"/>
    <w:rsid w:val="00C871C3"/>
    <w:rsid w:val="00C87366"/>
    <w:rsid w:val="00C87486"/>
    <w:rsid w:val="00C8750A"/>
    <w:rsid w:val="00C877E1"/>
    <w:rsid w:val="00C87D9D"/>
    <w:rsid w:val="00C87FA8"/>
    <w:rsid w:val="00C90000"/>
    <w:rsid w:val="00C904D8"/>
    <w:rsid w:val="00C9079C"/>
    <w:rsid w:val="00C90C34"/>
    <w:rsid w:val="00C910AB"/>
    <w:rsid w:val="00C91299"/>
    <w:rsid w:val="00C91614"/>
    <w:rsid w:val="00C91B9D"/>
    <w:rsid w:val="00C92D17"/>
    <w:rsid w:val="00C92D64"/>
    <w:rsid w:val="00C92FF2"/>
    <w:rsid w:val="00C934F0"/>
    <w:rsid w:val="00C94461"/>
    <w:rsid w:val="00C9491B"/>
    <w:rsid w:val="00C94AF0"/>
    <w:rsid w:val="00C94CDB"/>
    <w:rsid w:val="00C94E07"/>
    <w:rsid w:val="00C95C49"/>
    <w:rsid w:val="00C95F6A"/>
    <w:rsid w:val="00C9632C"/>
    <w:rsid w:val="00C968A9"/>
    <w:rsid w:val="00C96DA6"/>
    <w:rsid w:val="00C9769F"/>
    <w:rsid w:val="00C976C4"/>
    <w:rsid w:val="00C976FC"/>
    <w:rsid w:val="00C97BA8"/>
    <w:rsid w:val="00C97D14"/>
    <w:rsid w:val="00CA00DF"/>
    <w:rsid w:val="00CA01E2"/>
    <w:rsid w:val="00CA0662"/>
    <w:rsid w:val="00CA0A78"/>
    <w:rsid w:val="00CA2067"/>
    <w:rsid w:val="00CA20AF"/>
    <w:rsid w:val="00CA2365"/>
    <w:rsid w:val="00CA25F3"/>
    <w:rsid w:val="00CA2744"/>
    <w:rsid w:val="00CA3338"/>
    <w:rsid w:val="00CA3710"/>
    <w:rsid w:val="00CA381F"/>
    <w:rsid w:val="00CA3E06"/>
    <w:rsid w:val="00CA49DE"/>
    <w:rsid w:val="00CA4AE2"/>
    <w:rsid w:val="00CA4F8F"/>
    <w:rsid w:val="00CA5008"/>
    <w:rsid w:val="00CA50BD"/>
    <w:rsid w:val="00CA50DE"/>
    <w:rsid w:val="00CA557F"/>
    <w:rsid w:val="00CA5C43"/>
    <w:rsid w:val="00CA5CCD"/>
    <w:rsid w:val="00CA64AE"/>
    <w:rsid w:val="00CA6813"/>
    <w:rsid w:val="00CA763B"/>
    <w:rsid w:val="00CA7A12"/>
    <w:rsid w:val="00CA7C48"/>
    <w:rsid w:val="00CB01A2"/>
    <w:rsid w:val="00CB04DC"/>
    <w:rsid w:val="00CB0916"/>
    <w:rsid w:val="00CB0A48"/>
    <w:rsid w:val="00CB10EC"/>
    <w:rsid w:val="00CB1AF6"/>
    <w:rsid w:val="00CB2006"/>
    <w:rsid w:val="00CB24B5"/>
    <w:rsid w:val="00CB254C"/>
    <w:rsid w:val="00CB2B8F"/>
    <w:rsid w:val="00CB2D23"/>
    <w:rsid w:val="00CB2EE6"/>
    <w:rsid w:val="00CB3613"/>
    <w:rsid w:val="00CB3B77"/>
    <w:rsid w:val="00CB3C00"/>
    <w:rsid w:val="00CB3C57"/>
    <w:rsid w:val="00CB3F08"/>
    <w:rsid w:val="00CB41C4"/>
    <w:rsid w:val="00CB41EA"/>
    <w:rsid w:val="00CB458E"/>
    <w:rsid w:val="00CB4710"/>
    <w:rsid w:val="00CB4A00"/>
    <w:rsid w:val="00CB54CB"/>
    <w:rsid w:val="00CB5637"/>
    <w:rsid w:val="00CB5AA0"/>
    <w:rsid w:val="00CB5BF1"/>
    <w:rsid w:val="00CB5C10"/>
    <w:rsid w:val="00CB5ECD"/>
    <w:rsid w:val="00CB6060"/>
    <w:rsid w:val="00CB60B2"/>
    <w:rsid w:val="00CB61DE"/>
    <w:rsid w:val="00CB6432"/>
    <w:rsid w:val="00CB6485"/>
    <w:rsid w:val="00CB69C2"/>
    <w:rsid w:val="00CB6D0E"/>
    <w:rsid w:val="00CB7232"/>
    <w:rsid w:val="00CB7360"/>
    <w:rsid w:val="00CB7562"/>
    <w:rsid w:val="00CC0000"/>
    <w:rsid w:val="00CC0521"/>
    <w:rsid w:val="00CC064A"/>
    <w:rsid w:val="00CC076B"/>
    <w:rsid w:val="00CC0F89"/>
    <w:rsid w:val="00CC1090"/>
    <w:rsid w:val="00CC1125"/>
    <w:rsid w:val="00CC1788"/>
    <w:rsid w:val="00CC1789"/>
    <w:rsid w:val="00CC1957"/>
    <w:rsid w:val="00CC1DA3"/>
    <w:rsid w:val="00CC1E8D"/>
    <w:rsid w:val="00CC1EDA"/>
    <w:rsid w:val="00CC20BA"/>
    <w:rsid w:val="00CC2133"/>
    <w:rsid w:val="00CC2637"/>
    <w:rsid w:val="00CC273F"/>
    <w:rsid w:val="00CC30A3"/>
    <w:rsid w:val="00CC316D"/>
    <w:rsid w:val="00CC37FB"/>
    <w:rsid w:val="00CC3837"/>
    <w:rsid w:val="00CC3980"/>
    <w:rsid w:val="00CC3E18"/>
    <w:rsid w:val="00CC440B"/>
    <w:rsid w:val="00CC4B0D"/>
    <w:rsid w:val="00CC50DC"/>
    <w:rsid w:val="00CC517B"/>
    <w:rsid w:val="00CC5513"/>
    <w:rsid w:val="00CC578F"/>
    <w:rsid w:val="00CC5793"/>
    <w:rsid w:val="00CC5859"/>
    <w:rsid w:val="00CC5F86"/>
    <w:rsid w:val="00CC60C5"/>
    <w:rsid w:val="00CC6198"/>
    <w:rsid w:val="00CC66D8"/>
    <w:rsid w:val="00CC66F1"/>
    <w:rsid w:val="00CC6721"/>
    <w:rsid w:val="00CC6A61"/>
    <w:rsid w:val="00CC6CCA"/>
    <w:rsid w:val="00CD0738"/>
    <w:rsid w:val="00CD0D15"/>
    <w:rsid w:val="00CD0FE5"/>
    <w:rsid w:val="00CD1915"/>
    <w:rsid w:val="00CD1BC0"/>
    <w:rsid w:val="00CD23A2"/>
    <w:rsid w:val="00CD2750"/>
    <w:rsid w:val="00CD2C51"/>
    <w:rsid w:val="00CD366F"/>
    <w:rsid w:val="00CD3DD6"/>
    <w:rsid w:val="00CD4629"/>
    <w:rsid w:val="00CD4646"/>
    <w:rsid w:val="00CD4AFB"/>
    <w:rsid w:val="00CD4C35"/>
    <w:rsid w:val="00CD4C7A"/>
    <w:rsid w:val="00CD4F96"/>
    <w:rsid w:val="00CD51CE"/>
    <w:rsid w:val="00CD53FD"/>
    <w:rsid w:val="00CD5426"/>
    <w:rsid w:val="00CD591A"/>
    <w:rsid w:val="00CD5C8D"/>
    <w:rsid w:val="00CD5CDC"/>
    <w:rsid w:val="00CD6215"/>
    <w:rsid w:val="00CD63C2"/>
    <w:rsid w:val="00CD6682"/>
    <w:rsid w:val="00CD6953"/>
    <w:rsid w:val="00CD6C45"/>
    <w:rsid w:val="00CD6CA3"/>
    <w:rsid w:val="00CD730C"/>
    <w:rsid w:val="00CD7364"/>
    <w:rsid w:val="00CD7410"/>
    <w:rsid w:val="00CD7B6A"/>
    <w:rsid w:val="00CE06D6"/>
    <w:rsid w:val="00CE079D"/>
    <w:rsid w:val="00CE081C"/>
    <w:rsid w:val="00CE0DC6"/>
    <w:rsid w:val="00CE14BD"/>
    <w:rsid w:val="00CE179A"/>
    <w:rsid w:val="00CE1D9F"/>
    <w:rsid w:val="00CE1DAD"/>
    <w:rsid w:val="00CE2069"/>
    <w:rsid w:val="00CE220D"/>
    <w:rsid w:val="00CE23A3"/>
    <w:rsid w:val="00CE290A"/>
    <w:rsid w:val="00CE3055"/>
    <w:rsid w:val="00CE38B5"/>
    <w:rsid w:val="00CE3DA3"/>
    <w:rsid w:val="00CE4A08"/>
    <w:rsid w:val="00CE4EEF"/>
    <w:rsid w:val="00CE4F11"/>
    <w:rsid w:val="00CE5490"/>
    <w:rsid w:val="00CE5B01"/>
    <w:rsid w:val="00CE5C13"/>
    <w:rsid w:val="00CE5F27"/>
    <w:rsid w:val="00CE61AC"/>
    <w:rsid w:val="00CE6CA9"/>
    <w:rsid w:val="00CE7FA4"/>
    <w:rsid w:val="00CF0B79"/>
    <w:rsid w:val="00CF0D29"/>
    <w:rsid w:val="00CF0F4B"/>
    <w:rsid w:val="00CF13DE"/>
    <w:rsid w:val="00CF14B5"/>
    <w:rsid w:val="00CF1633"/>
    <w:rsid w:val="00CF2021"/>
    <w:rsid w:val="00CF2DA7"/>
    <w:rsid w:val="00CF2E45"/>
    <w:rsid w:val="00CF2E5A"/>
    <w:rsid w:val="00CF33C0"/>
    <w:rsid w:val="00CF366B"/>
    <w:rsid w:val="00CF462B"/>
    <w:rsid w:val="00CF465D"/>
    <w:rsid w:val="00CF49C9"/>
    <w:rsid w:val="00CF4B57"/>
    <w:rsid w:val="00CF501D"/>
    <w:rsid w:val="00CF51D8"/>
    <w:rsid w:val="00CF5268"/>
    <w:rsid w:val="00CF5449"/>
    <w:rsid w:val="00CF6148"/>
    <w:rsid w:val="00CF6183"/>
    <w:rsid w:val="00CF659B"/>
    <w:rsid w:val="00CF68DE"/>
    <w:rsid w:val="00CF6DBC"/>
    <w:rsid w:val="00CF791F"/>
    <w:rsid w:val="00CF7AAD"/>
    <w:rsid w:val="00CF7B17"/>
    <w:rsid w:val="00CF7C5E"/>
    <w:rsid w:val="00D00397"/>
    <w:rsid w:val="00D00D62"/>
    <w:rsid w:val="00D0116A"/>
    <w:rsid w:val="00D01295"/>
    <w:rsid w:val="00D0157F"/>
    <w:rsid w:val="00D01A32"/>
    <w:rsid w:val="00D0214D"/>
    <w:rsid w:val="00D028CF"/>
    <w:rsid w:val="00D02B3A"/>
    <w:rsid w:val="00D02CD6"/>
    <w:rsid w:val="00D032F6"/>
    <w:rsid w:val="00D034E3"/>
    <w:rsid w:val="00D03536"/>
    <w:rsid w:val="00D03FE7"/>
    <w:rsid w:val="00D045AD"/>
    <w:rsid w:val="00D045FF"/>
    <w:rsid w:val="00D04615"/>
    <w:rsid w:val="00D046E0"/>
    <w:rsid w:val="00D048EE"/>
    <w:rsid w:val="00D04D66"/>
    <w:rsid w:val="00D04E19"/>
    <w:rsid w:val="00D04F67"/>
    <w:rsid w:val="00D051F4"/>
    <w:rsid w:val="00D05353"/>
    <w:rsid w:val="00D05404"/>
    <w:rsid w:val="00D0547A"/>
    <w:rsid w:val="00D05E3E"/>
    <w:rsid w:val="00D060E6"/>
    <w:rsid w:val="00D06414"/>
    <w:rsid w:val="00D0662A"/>
    <w:rsid w:val="00D06DBE"/>
    <w:rsid w:val="00D06F39"/>
    <w:rsid w:val="00D06F4B"/>
    <w:rsid w:val="00D076AD"/>
    <w:rsid w:val="00D0774F"/>
    <w:rsid w:val="00D0796B"/>
    <w:rsid w:val="00D07AF8"/>
    <w:rsid w:val="00D07C5B"/>
    <w:rsid w:val="00D07C66"/>
    <w:rsid w:val="00D07C6C"/>
    <w:rsid w:val="00D07D24"/>
    <w:rsid w:val="00D07DA8"/>
    <w:rsid w:val="00D07FE8"/>
    <w:rsid w:val="00D10E71"/>
    <w:rsid w:val="00D1115C"/>
    <w:rsid w:val="00D11187"/>
    <w:rsid w:val="00D127A4"/>
    <w:rsid w:val="00D1288D"/>
    <w:rsid w:val="00D12C46"/>
    <w:rsid w:val="00D12E81"/>
    <w:rsid w:val="00D12ED1"/>
    <w:rsid w:val="00D12F70"/>
    <w:rsid w:val="00D13182"/>
    <w:rsid w:val="00D131E1"/>
    <w:rsid w:val="00D13443"/>
    <w:rsid w:val="00D140E9"/>
    <w:rsid w:val="00D14117"/>
    <w:rsid w:val="00D1411B"/>
    <w:rsid w:val="00D14898"/>
    <w:rsid w:val="00D1499F"/>
    <w:rsid w:val="00D155AA"/>
    <w:rsid w:val="00D15713"/>
    <w:rsid w:val="00D15985"/>
    <w:rsid w:val="00D15FAB"/>
    <w:rsid w:val="00D160D3"/>
    <w:rsid w:val="00D1668C"/>
    <w:rsid w:val="00D1694A"/>
    <w:rsid w:val="00D17884"/>
    <w:rsid w:val="00D17E71"/>
    <w:rsid w:val="00D17F9F"/>
    <w:rsid w:val="00D17FF2"/>
    <w:rsid w:val="00D200B6"/>
    <w:rsid w:val="00D21111"/>
    <w:rsid w:val="00D2132F"/>
    <w:rsid w:val="00D216E1"/>
    <w:rsid w:val="00D218CC"/>
    <w:rsid w:val="00D2280E"/>
    <w:rsid w:val="00D22AD4"/>
    <w:rsid w:val="00D22D03"/>
    <w:rsid w:val="00D22F00"/>
    <w:rsid w:val="00D22F37"/>
    <w:rsid w:val="00D22F8C"/>
    <w:rsid w:val="00D23B11"/>
    <w:rsid w:val="00D23DE7"/>
    <w:rsid w:val="00D24255"/>
    <w:rsid w:val="00D24529"/>
    <w:rsid w:val="00D245D7"/>
    <w:rsid w:val="00D246E9"/>
    <w:rsid w:val="00D24F0E"/>
    <w:rsid w:val="00D25220"/>
    <w:rsid w:val="00D255EB"/>
    <w:rsid w:val="00D256E4"/>
    <w:rsid w:val="00D2583A"/>
    <w:rsid w:val="00D25BE7"/>
    <w:rsid w:val="00D25EB2"/>
    <w:rsid w:val="00D2618E"/>
    <w:rsid w:val="00D2634B"/>
    <w:rsid w:val="00D26D9C"/>
    <w:rsid w:val="00D26F16"/>
    <w:rsid w:val="00D270D1"/>
    <w:rsid w:val="00D2747F"/>
    <w:rsid w:val="00D27A5E"/>
    <w:rsid w:val="00D27FB3"/>
    <w:rsid w:val="00D3016F"/>
    <w:rsid w:val="00D307DA"/>
    <w:rsid w:val="00D31223"/>
    <w:rsid w:val="00D313D4"/>
    <w:rsid w:val="00D31455"/>
    <w:rsid w:val="00D318AF"/>
    <w:rsid w:val="00D31B3A"/>
    <w:rsid w:val="00D31C5A"/>
    <w:rsid w:val="00D31FD1"/>
    <w:rsid w:val="00D31FEE"/>
    <w:rsid w:val="00D32188"/>
    <w:rsid w:val="00D32651"/>
    <w:rsid w:val="00D326DF"/>
    <w:rsid w:val="00D33CC7"/>
    <w:rsid w:val="00D340AD"/>
    <w:rsid w:val="00D34521"/>
    <w:rsid w:val="00D3496A"/>
    <w:rsid w:val="00D34E60"/>
    <w:rsid w:val="00D35202"/>
    <w:rsid w:val="00D35424"/>
    <w:rsid w:val="00D357C0"/>
    <w:rsid w:val="00D35BA2"/>
    <w:rsid w:val="00D360A5"/>
    <w:rsid w:val="00D36289"/>
    <w:rsid w:val="00D36301"/>
    <w:rsid w:val="00D36597"/>
    <w:rsid w:val="00D36889"/>
    <w:rsid w:val="00D36A64"/>
    <w:rsid w:val="00D37025"/>
    <w:rsid w:val="00D40322"/>
    <w:rsid w:val="00D404E4"/>
    <w:rsid w:val="00D406C8"/>
    <w:rsid w:val="00D40ABB"/>
    <w:rsid w:val="00D40AE3"/>
    <w:rsid w:val="00D412A1"/>
    <w:rsid w:val="00D41B16"/>
    <w:rsid w:val="00D41BCF"/>
    <w:rsid w:val="00D41EEC"/>
    <w:rsid w:val="00D41FC8"/>
    <w:rsid w:val="00D41FE3"/>
    <w:rsid w:val="00D42623"/>
    <w:rsid w:val="00D428BF"/>
    <w:rsid w:val="00D43F46"/>
    <w:rsid w:val="00D4404C"/>
    <w:rsid w:val="00D44310"/>
    <w:rsid w:val="00D4467D"/>
    <w:rsid w:val="00D44820"/>
    <w:rsid w:val="00D45288"/>
    <w:rsid w:val="00D4579C"/>
    <w:rsid w:val="00D460C7"/>
    <w:rsid w:val="00D4635A"/>
    <w:rsid w:val="00D46752"/>
    <w:rsid w:val="00D46953"/>
    <w:rsid w:val="00D46C30"/>
    <w:rsid w:val="00D471B9"/>
    <w:rsid w:val="00D473AC"/>
    <w:rsid w:val="00D50138"/>
    <w:rsid w:val="00D5029B"/>
    <w:rsid w:val="00D50345"/>
    <w:rsid w:val="00D50559"/>
    <w:rsid w:val="00D50A25"/>
    <w:rsid w:val="00D50F83"/>
    <w:rsid w:val="00D515BA"/>
    <w:rsid w:val="00D51845"/>
    <w:rsid w:val="00D519A6"/>
    <w:rsid w:val="00D51A62"/>
    <w:rsid w:val="00D51C53"/>
    <w:rsid w:val="00D51C66"/>
    <w:rsid w:val="00D51F53"/>
    <w:rsid w:val="00D52112"/>
    <w:rsid w:val="00D522CD"/>
    <w:rsid w:val="00D52751"/>
    <w:rsid w:val="00D52906"/>
    <w:rsid w:val="00D52B41"/>
    <w:rsid w:val="00D530B2"/>
    <w:rsid w:val="00D532B2"/>
    <w:rsid w:val="00D53830"/>
    <w:rsid w:val="00D53BDC"/>
    <w:rsid w:val="00D54F79"/>
    <w:rsid w:val="00D552B4"/>
    <w:rsid w:val="00D55C0F"/>
    <w:rsid w:val="00D56165"/>
    <w:rsid w:val="00D56267"/>
    <w:rsid w:val="00D56499"/>
    <w:rsid w:val="00D56716"/>
    <w:rsid w:val="00D56BC0"/>
    <w:rsid w:val="00D57188"/>
    <w:rsid w:val="00D579BD"/>
    <w:rsid w:val="00D57FDF"/>
    <w:rsid w:val="00D6092E"/>
    <w:rsid w:val="00D60C41"/>
    <w:rsid w:val="00D60CA5"/>
    <w:rsid w:val="00D60D8D"/>
    <w:rsid w:val="00D60FEE"/>
    <w:rsid w:val="00D611FF"/>
    <w:rsid w:val="00D612D4"/>
    <w:rsid w:val="00D61495"/>
    <w:rsid w:val="00D61656"/>
    <w:rsid w:val="00D62052"/>
    <w:rsid w:val="00D6245C"/>
    <w:rsid w:val="00D62576"/>
    <w:rsid w:val="00D62694"/>
    <w:rsid w:val="00D6280F"/>
    <w:rsid w:val="00D62A19"/>
    <w:rsid w:val="00D633EB"/>
    <w:rsid w:val="00D63757"/>
    <w:rsid w:val="00D6468D"/>
    <w:rsid w:val="00D646D1"/>
    <w:rsid w:val="00D64F52"/>
    <w:rsid w:val="00D64FF2"/>
    <w:rsid w:val="00D650F4"/>
    <w:rsid w:val="00D653DF"/>
    <w:rsid w:val="00D66BBB"/>
    <w:rsid w:val="00D66EC2"/>
    <w:rsid w:val="00D66EE0"/>
    <w:rsid w:val="00D67455"/>
    <w:rsid w:val="00D67702"/>
    <w:rsid w:val="00D67FF4"/>
    <w:rsid w:val="00D70135"/>
    <w:rsid w:val="00D709A2"/>
    <w:rsid w:val="00D70AEC"/>
    <w:rsid w:val="00D70D09"/>
    <w:rsid w:val="00D70F37"/>
    <w:rsid w:val="00D71092"/>
    <w:rsid w:val="00D71B32"/>
    <w:rsid w:val="00D71F74"/>
    <w:rsid w:val="00D728BD"/>
    <w:rsid w:val="00D72938"/>
    <w:rsid w:val="00D72BDB"/>
    <w:rsid w:val="00D72CD4"/>
    <w:rsid w:val="00D72D99"/>
    <w:rsid w:val="00D741F1"/>
    <w:rsid w:val="00D74323"/>
    <w:rsid w:val="00D7451A"/>
    <w:rsid w:val="00D74595"/>
    <w:rsid w:val="00D746D0"/>
    <w:rsid w:val="00D74870"/>
    <w:rsid w:val="00D748FE"/>
    <w:rsid w:val="00D74FAA"/>
    <w:rsid w:val="00D7533F"/>
    <w:rsid w:val="00D75341"/>
    <w:rsid w:val="00D755B6"/>
    <w:rsid w:val="00D75C81"/>
    <w:rsid w:val="00D75CAE"/>
    <w:rsid w:val="00D75DDA"/>
    <w:rsid w:val="00D75DE4"/>
    <w:rsid w:val="00D762A1"/>
    <w:rsid w:val="00D762BE"/>
    <w:rsid w:val="00D7638D"/>
    <w:rsid w:val="00D7645A"/>
    <w:rsid w:val="00D76590"/>
    <w:rsid w:val="00D7688D"/>
    <w:rsid w:val="00D773DD"/>
    <w:rsid w:val="00D7767B"/>
    <w:rsid w:val="00D77804"/>
    <w:rsid w:val="00D77994"/>
    <w:rsid w:val="00D80094"/>
    <w:rsid w:val="00D80463"/>
    <w:rsid w:val="00D80773"/>
    <w:rsid w:val="00D80947"/>
    <w:rsid w:val="00D80F8B"/>
    <w:rsid w:val="00D80F95"/>
    <w:rsid w:val="00D81479"/>
    <w:rsid w:val="00D81D21"/>
    <w:rsid w:val="00D81D97"/>
    <w:rsid w:val="00D81E83"/>
    <w:rsid w:val="00D81EEE"/>
    <w:rsid w:val="00D8220A"/>
    <w:rsid w:val="00D82C29"/>
    <w:rsid w:val="00D82FA2"/>
    <w:rsid w:val="00D8368C"/>
    <w:rsid w:val="00D83753"/>
    <w:rsid w:val="00D83A64"/>
    <w:rsid w:val="00D83FC8"/>
    <w:rsid w:val="00D841A1"/>
    <w:rsid w:val="00D8425F"/>
    <w:rsid w:val="00D84598"/>
    <w:rsid w:val="00D8481F"/>
    <w:rsid w:val="00D84EBC"/>
    <w:rsid w:val="00D86597"/>
    <w:rsid w:val="00D8680A"/>
    <w:rsid w:val="00D869A0"/>
    <w:rsid w:val="00D871E8"/>
    <w:rsid w:val="00D87AF1"/>
    <w:rsid w:val="00D87B1E"/>
    <w:rsid w:val="00D900C1"/>
    <w:rsid w:val="00D911DB"/>
    <w:rsid w:val="00D9129A"/>
    <w:rsid w:val="00D91467"/>
    <w:rsid w:val="00D92459"/>
    <w:rsid w:val="00D92BD7"/>
    <w:rsid w:val="00D930E1"/>
    <w:rsid w:val="00D93410"/>
    <w:rsid w:val="00D93A76"/>
    <w:rsid w:val="00D94242"/>
    <w:rsid w:val="00D949EE"/>
    <w:rsid w:val="00D94D9A"/>
    <w:rsid w:val="00D950A2"/>
    <w:rsid w:val="00D95125"/>
    <w:rsid w:val="00D955BF"/>
    <w:rsid w:val="00D9561B"/>
    <w:rsid w:val="00D95CEC"/>
    <w:rsid w:val="00D95DD7"/>
    <w:rsid w:val="00D95FCC"/>
    <w:rsid w:val="00D9612E"/>
    <w:rsid w:val="00D9614C"/>
    <w:rsid w:val="00D963C4"/>
    <w:rsid w:val="00D9644A"/>
    <w:rsid w:val="00D969C0"/>
    <w:rsid w:val="00D96A24"/>
    <w:rsid w:val="00D9753C"/>
    <w:rsid w:val="00D97626"/>
    <w:rsid w:val="00D97F0A"/>
    <w:rsid w:val="00DA0909"/>
    <w:rsid w:val="00DA18E3"/>
    <w:rsid w:val="00DA19ED"/>
    <w:rsid w:val="00DA1C27"/>
    <w:rsid w:val="00DA20FC"/>
    <w:rsid w:val="00DA2366"/>
    <w:rsid w:val="00DA24DA"/>
    <w:rsid w:val="00DA2689"/>
    <w:rsid w:val="00DA294B"/>
    <w:rsid w:val="00DA2D48"/>
    <w:rsid w:val="00DA2D9B"/>
    <w:rsid w:val="00DA2F78"/>
    <w:rsid w:val="00DA3158"/>
    <w:rsid w:val="00DA3BB7"/>
    <w:rsid w:val="00DA3C4A"/>
    <w:rsid w:val="00DA3D84"/>
    <w:rsid w:val="00DA3DFB"/>
    <w:rsid w:val="00DA4553"/>
    <w:rsid w:val="00DA4883"/>
    <w:rsid w:val="00DA4B5F"/>
    <w:rsid w:val="00DA4B6D"/>
    <w:rsid w:val="00DA4E9A"/>
    <w:rsid w:val="00DA5628"/>
    <w:rsid w:val="00DA59CC"/>
    <w:rsid w:val="00DA59CE"/>
    <w:rsid w:val="00DA62B7"/>
    <w:rsid w:val="00DA6387"/>
    <w:rsid w:val="00DA6B73"/>
    <w:rsid w:val="00DA7483"/>
    <w:rsid w:val="00DA7F77"/>
    <w:rsid w:val="00DB0149"/>
    <w:rsid w:val="00DB05FB"/>
    <w:rsid w:val="00DB0BFF"/>
    <w:rsid w:val="00DB1978"/>
    <w:rsid w:val="00DB3072"/>
    <w:rsid w:val="00DB373E"/>
    <w:rsid w:val="00DB38B4"/>
    <w:rsid w:val="00DB3CE1"/>
    <w:rsid w:val="00DB44E4"/>
    <w:rsid w:val="00DB4557"/>
    <w:rsid w:val="00DB458D"/>
    <w:rsid w:val="00DB4B68"/>
    <w:rsid w:val="00DB4BC6"/>
    <w:rsid w:val="00DB5A4D"/>
    <w:rsid w:val="00DB62DA"/>
    <w:rsid w:val="00DB6E45"/>
    <w:rsid w:val="00DB722C"/>
    <w:rsid w:val="00DB733B"/>
    <w:rsid w:val="00DB7C4E"/>
    <w:rsid w:val="00DC038F"/>
    <w:rsid w:val="00DC0AC8"/>
    <w:rsid w:val="00DC0DCD"/>
    <w:rsid w:val="00DC12A9"/>
    <w:rsid w:val="00DC12D4"/>
    <w:rsid w:val="00DC12EA"/>
    <w:rsid w:val="00DC18D2"/>
    <w:rsid w:val="00DC228A"/>
    <w:rsid w:val="00DC22BA"/>
    <w:rsid w:val="00DC2857"/>
    <w:rsid w:val="00DC2A51"/>
    <w:rsid w:val="00DC34A0"/>
    <w:rsid w:val="00DC371E"/>
    <w:rsid w:val="00DC3BC9"/>
    <w:rsid w:val="00DC3C27"/>
    <w:rsid w:val="00DC3E40"/>
    <w:rsid w:val="00DC3EC2"/>
    <w:rsid w:val="00DC473C"/>
    <w:rsid w:val="00DC4781"/>
    <w:rsid w:val="00DC4C76"/>
    <w:rsid w:val="00DC5568"/>
    <w:rsid w:val="00DC5591"/>
    <w:rsid w:val="00DC562A"/>
    <w:rsid w:val="00DC5A98"/>
    <w:rsid w:val="00DC5C34"/>
    <w:rsid w:val="00DC5C42"/>
    <w:rsid w:val="00DC5D5C"/>
    <w:rsid w:val="00DC5FF0"/>
    <w:rsid w:val="00DC60B0"/>
    <w:rsid w:val="00DC67CF"/>
    <w:rsid w:val="00DC6972"/>
    <w:rsid w:val="00DC6E0B"/>
    <w:rsid w:val="00DC7029"/>
    <w:rsid w:val="00DC7299"/>
    <w:rsid w:val="00DC755D"/>
    <w:rsid w:val="00DD1339"/>
    <w:rsid w:val="00DD1D4A"/>
    <w:rsid w:val="00DD24AF"/>
    <w:rsid w:val="00DD25FF"/>
    <w:rsid w:val="00DD260D"/>
    <w:rsid w:val="00DD27AF"/>
    <w:rsid w:val="00DD30F2"/>
    <w:rsid w:val="00DD385C"/>
    <w:rsid w:val="00DD5B70"/>
    <w:rsid w:val="00DD5BAF"/>
    <w:rsid w:val="00DD5EC8"/>
    <w:rsid w:val="00DD651A"/>
    <w:rsid w:val="00DD66B8"/>
    <w:rsid w:val="00DD67FC"/>
    <w:rsid w:val="00DD6BA2"/>
    <w:rsid w:val="00DD6D3B"/>
    <w:rsid w:val="00DD7296"/>
    <w:rsid w:val="00DD7524"/>
    <w:rsid w:val="00DD794D"/>
    <w:rsid w:val="00DE02A8"/>
    <w:rsid w:val="00DE04DE"/>
    <w:rsid w:val="00DE0796"/>
    <w:rsid w:val="00DE0797"/>
    <w:rsid w:val="00DE09BC"/>
    <w:rsid w:val="00DE1277"/>
    <w:rsid w:val="00DE13E1"/>
    <w:rsid w:val="00DE147F"/>
    <w:rsid w:val="00DE15BD"/>
    <w:rsid w:val="00DE1D5A"/>
    <w:rsid w:val="00DE2166"/>
    <w:rsid w:val="00DE253C"/>
    <w:rsid w:val="00DE330A"/>
    <w:rsid w:val="00DE3E88"/>
    <w:rsid w:val="00DE3F05"/>
    <w:rsid w:val="00DE4283"/>
    <w:rsid w:val="00DE4438"/>
    <w:rsid w:val="00DE47E2"/>
    <w:rsid w:val="00DE541B"/>
    <w:rsid w:val="00DE552C"/>
    <w:rsid w:val="00DE594B"/>
    <w:rsid w:val="00DE5F42"/>
    <w:rsid w:val="00DE6008"/>
    <w:rsid w:val="00DE6642"/>
    <w:rsid w:val="00DE6C57"/>
    <w:rsid w:val="00DE76C8"/>
    <w:rsid w:val="00DE787F"/>
    <w:rsid w:val="00DF014A"/>
    <w:rsid w:val="00DF03C2"/>
    <w:rsid w:val="00DF044C"/>
    <w:rsid w:val="00DF0468"/>
    <w:rsid w:val="00DF06BC"/>
    <w:rsid w:val="00DF0F70"/>
    <w:rsid w:val="00DF17E4"/>
    <w:rsid w:val="00DF1908"/>
    <w:rsid w:val="00DF2976"/>
    <w:rsid w:val="00DF2B20"/>
    <w:rsid w:val="00DF2F07"/>
    <w:rsid w:val="00DF307B"/>
    <w:rsid w:val="00DF3273"/>
    <w:rsid w:val="00DF3850"/>
    <w:rsid w:val="00DF3B69"/>
    <w:rsid w:val="00DF3BEB"/>
    <w:rsid w:val="00DF3DF2"/>
    <w:rsid w:val="00DF42BA"/>
    <w:rsid w:val="00DF438E"/>
    <w:rsid w:val="00DF4D45"/>
    <w:rsid w:val="00DF4D69"/>
    <w:rsid w:val="00DF50D7"/>
    <w:rsid w:val="00DF5D89"/>
    <w:rsid w:val="00DF5E68"/>
    <w:rsid w:val="00DF5E78"/>
    <w:rsid w:val="00DF68FB"/>
    <w:rsid w:val="00DF7F88"/>
    <w:rsid w:val="00E0003B"/>
    <w:rsid w:val="00E0027A"/>
    <w:rsid w:val="00E0097A"/>
    <w:rsid w:val="00E01008"/>
    <w:rsid w:val="00E010C7"/>
    <w:rsid w:val="00E01173"/>
    <w:rsid w:val="00E013C7"/>
    <w:rsid w:val="00E014AA"/>
    <w:rsid w:val="00E016B5"/>
    <w:rsid w:val="00E01965"/>
    <w:rsid w:val="00E023ED"/>
    <w:rsid w:val="00E02974"/>
    <w:rsid w:val="00E02A2C"/>
    <w:rsid w:val="00E02A4B"/>
    <w:rsid w:val="00E034B1"/>
    <w:rsid w:val="00E038F5"/>
    <w:rsid w:val="00E03995"/>
    <w:rsid w:val="00E03F22"/>
    <w:rsid w:val="00E04D4C"/>
    <w:rsid w:val="00E04F7B"/>
    <w:rsid w:val="00E0669E"/>
    <w:rsid w:val="00E0698C"/>
    <w:rsid w:val="00E06A5C"/>
    <w:rsid w:val="00E07332"/>
    <w:rsid w:val="00E07518"/>
    <w:rsid w:val="00E078A8"/>
    <w:rsid w:val="00E07930"/>
    <w:rsid w:val="00E105B7"/>
    <w:rsid w:val="00E1068F"/>
    <w:rsid w:val="00E109B2"/>
    <w:rsid w:val="00E10C8A"/>
    <w:rsid w:val="00E10D77"/>
    <w:rsid w:val="00E10F46"/>
    <w:rsid w:val="00E1130A"/>
    <w:rsid w:val="00E11BDD"/>
    <w:rsid w:val="00E11DED"/>
    <w:rsid w:val="00E11F35"/>
    <w:rsid w:val="00E12299"/>
    <w:rsid w:val="00E12418"/>
    <w:rsid w:val="00E126CD"/>
    <w:rsid w:val="00E134B3"/>
    <w:rsid w:val="00E13643"/>
    <w:rsid w:val="00E13644"/>
    <w:rsid w:val="00E1370F"/>
    <w:rsid w:val="00E137C0"/>
    <w:rsid w:val="00E13AED"/>
    <w:rsid w:val="00E13B2E"/>
    <w:rsid w:val="00E13BC0"/>
    <w:rsid w:val="00E13E90"/>
    <w:rsid w:val="00E13EB4"/>
    <w:rsid w:val="00E14023"/>
    <w:rsid w:val="00E1415E"/>
    <w:rsid w:val="00E147F0"/>
    <w:rsid w:val="00E14D6F"/>
    <w:rsid w:val="00E1504A"/>
    <w:rsid w:val="00E154E5"/>
    <w:rsid w:val="00E1568C"/>
    <w:rsid w:val="00E156D5"/>
    <w:rsid w:val="00E157B5"/>
    <w:rsid w:val="00E16099"/>
    <w:rsid w:val="00E16226"/>
    <w:rsid w:val="00E16933"/>
    <w:rsid w:val="00E17026"/>
    <w:rsid w:val="00E1726A"/>
    <w:rsid w:val="00E17612"/>
    <w:rsid w:val="00E178CF"/>
    <w:rsid w:val="00E20371"/>
    <w:rsid w:val="00E20636"/>
    <w:rsid w:val="00E20652"/>
    <w:rsid w:val="00E20E3D"/>
    <w:rsid w:val="00E20EC5"/>
    <w:rsid w:val="00E21421"/>
    <w:rsid w:val="00E21A23"/>
    <w:rsid w:val="00E22317"/>
    <w:rsid w:val="00E22533"/>
    <w:rsid w:val="00E2257B"/>
    <w:rsid w:val="00E22864"/>
    <w:rsid w:val="00E2290D"/>
    <w:rsid w:val="00E231B5"/>
    <w:rsid w:val="00E23737"/>
    <w:rsid w:val="00E23B74"/>
    <w:rsid w:val="00E23BB3"/>
    <w:rsid w:val="00E23CF2"/>
    <w:rsid w:val="00E23F0D"/>
    <w:rsid w:val="00E23FCC"/>
    <w:rsid w:val="00E242E7"/>
    <w:rsid w:val="00E24D58"/>
    <w:rsid w:val="00E24E0C"/>
    <w:rsid w:val="00E25812"/>
    <w:rsid w:val="00E25B52"/>
    <w:rsid w:val="00E25D23"/>
    <w:rsid w:val="00E26029"/>
    <w:rsid w:val="00E26379"/>
    <w:rsid w:val="00E2641B"/>
    <w:rsid w:val="00E26843"/>
    <w:rsid w:val="00E26AAC"/>
    <w:rsid w:val="00E26B72"/>
    <w:rsid w:val="00E26FB4"/>
    <w:rsid w:val="00E27BC3"/>
    <w:rsid w:val="00E30177"/>
    <w:rsid w:val="00E3035C"/>
    <w:rsid w:val="00E30B90"/>
    <w:rsid w:val="00E30C12"/>
    <w:rsid w:val="00E31C8E"/>
    <w:rsid w:val="00E32323"/>
    <w:rsid w:val="00E32E50"/>
    <w:rsid w:val="00E32ECE"/>
    <w:rsid w:val="00E334A8"/>
    <w:rsid w:val="00E33619"/>
    <w:rsid w:val="00E33ADD"/>
    <w:rsid w:val="00E33C54"/>
    <w:rsid w:val="00E33C61"/>
    <w:rsid w:val="00E33E82"/>
    <w:rsid w:val="00E33E95"/>
    <w:rsid w:val="00E33F05"/>
    <w:rsid w:val="00E33F97"/>
    <w:rsid w:val="00E34050"/>
    <w:rsid w:val="00E342E6"/>
    <w:rsid w:val="00E3452F"/>
    <w:rsid w:val="00E34994"/>
    <w:rsid w:val="00E34DC2"/>
    <w:rsid w:val="00E3531B"/>
    <w:rsid w:val="00E35726"/>
    <w:rsid w:val="00E35767"/>
    <w:rsid w:val="00E358AC"/>
    <w:rsid w:val="00E35B36"/>
    <w:rsid w:val="00E35BC4"/>
    <w:rsid w:val="00E35BE2"/>
    <w:rsid w:val="00E35D01"/>
    <w:rsid w:val="00E36018"/>
    <w:rsid w:val="00E36532"/>
    <w:rsid w:val="00E36579"/>
    <w:rsid w:val="00E36BFF"/>
    <w:rsid w:val="00E376E0"/>
    <w:rsid w:val="00E37975"/>
    <w:rsid w:val="00E37A7E"/>
    <w:rsid w:val="00E37A96"/>
    <w:rsid w:val="00E37DEC"/>
    <w:rsid w:val="00E37F00"/>
    <w:rsid w:val="00E37F1F"/>
    <w:rsid w:val="00E4105A"/>
    <w:rsid w:val="00E41516"/>
    <w:rsid w:val="00E41B4F"/>
    <w:rsid w:val="00E41BF1"/>
    <w:rsid w:val="00E41BFD"/>
    <w:rsid w:val="00E41D1A"/>
    <w:rsid w:val="00E41D6B"/>
    <w:rsid w:val="00E42448"/>
    <w:rsid w:val="00E4248F"/>
    <w:rsid w:val="00E4249B"/>
    <w:rsid w:val="00E4262E"/>
    <w:rsid w:val="00E42D25"/>
    <w:rsid w:val="00E4310F"/>
    <w:rsid w:val="00E4399E"/>
    <w:rsid w:val="00E43B1A"/>
    <w:rsid w:val="00E43F0E"/>
    <w:rsid w:val="00E43FB4"/>
    <w:rsid w:val="00E44156"/>
    <w:rsid w:val="00E44309"/>
    <w:rsid w:val="00E444F4"/>
    <w:rsid w:val="00E44A4B"/>
    <w:rsid w:val="00E44AB9"/>
    <w:rsid w:val="00E44BEE"/>
    <w:rsid w:val="00E4502D"/>
    <w:rsid w:val="00E45146"/>
    <w:rsid w:val="00E451B6"/>
    <w:rsid w:val="00E45792"/>
    <w:rsid w:val="00E45A98"/>
    <w:rsid w:val="00E45BC7"/>
    <w:rsid w:val="00E461DC"/>
    <w:rsid w:val="00E466F4"/>
    <w:rsid w:val="00E46732"/>
    <w:rsid w:val="00E469A7"/>
    <w:rsid w:val="00E47804"/>
    <w:rsid w:val="00E47A26"/>
    <w:rsid w:val="00E5027F"/>
    <w:rsid w:val="00E50613"/>
    <w:rsid w:val="00E50659"/>
    <w:rsid w:val="00E50AFF"/>
    <w:rsid w:val="00E50B0C"/>
    <w:rsid w:val="00E50EAF"/>
    <w:rsid w:val="00E51199"/>
    <w:rsid w:val="00E51489"/>
    <w:rsid w:val="00E51718"/>
    <w:rsid w:val="00E52628"/>
    <w:rsid w:val="00E527F5"/>
    <w:rsid w:val="00E52B6C"/>
    <w:rsid w:val="00E52CBC"/>
    <w:rsid w:val="00E530BC"/>
    <w:rsid w:val="00E533A6"/>
    <w:rsid w:val="00E5340A"/>
    <w:rsid w:val="00E5354E"/>
    <w:rsid w:val="00E53780"/>
    <w:rsid w:val="00E539ED"/>
    <w:rsid w:val="00E53BC0"/>
    <w:rsid w:val="00E53DF1"/>
    <w:rsid w:val="00E5407C"/>
    <w:rsid w:val="00E542A0"/>
    <w:rsid w:val="00E543AC"/>
    <w:rsid w:val="00E54B44"/>
    <w:rsid w:val="00E5520C"/>
    <w:rsid w:val="00E552BD"/>
    <w:rsid w:val="00E55448"/>
    <w:rsid w:val="00E5546A"/>
    <w:rsid w:val="00E55594"/>
    <w:rsid w:val="00E55621"/>
    <w:rsid w:val="00E5588A"/>
    <w:rsid w:val="00E558EB"/>
    <w:rsid w:val="00E55BF1"/>
    <w:rsid w:val="00E56811"/>
    <w:rsid w:val="00E5745B"/>
    <w:rsid w:val="00E576F4"/>
    <w:rsid w:val="00E57768"/>
    <w:rsid w:val="00E57F5E"/>
    <w:rsid w:val="00E60144"/>
    <w:rsid w:val="00E6067F"/>
    <w:rsid w:val="00E60FB7"/>
    <w:rsid w:val="00E61129"/>
    <w:rsid w:val="00E611E6"/>
    <w:rsid w:val="00E618B6"/>
    <w:rsid w:val="00E61920"/>
    <w:rsid w:val="00E61D16"/>
    <w:rsid w:val="00E61F2B"/>
    <w:rsid w:val="00E62005"/>
    <w:rsid w:val="00E6233A"/>
    <w:rsid w:val="00E62438"/>
    <w:rsid w:val="00E624F2"/>
    <w:rsid w:val="00E62F04"/>
    <w:rsid w:val="00E6304E"/>
    <w:rsid w:val="00E632F0"/>
    <w:rsid w:val="00E6338D"/>
    <w:rsid w:val="00E63D1D"/>
    <w:rsid w:val="00E63D5E"/>
    <w:rsid w:val="00E645F5"/>
    <w:rsid w:val="00E64DD5"/>
    <w:rsid w:val="00E64FB3"/>
    <w:rsid w:val="00E64FCE"/>
    <w:rsid w:val="00E65052"/>
    <w:rsid w:val="00E65282"/>
    <w:rsid w:val="00E6532E"/>
    <w:rsid w:val="00E6533B"/>
    <w:rsid w:val="00E6534A"/>
    <w:rsid w:val="00E653AA"/>
    <w:rsid w:val="00E65845"/>
    <w:rsid w:val="00E65AB1"/>
    <w:rsid w:val="00E65BD6"/>
    <w:rsid w:val="00E65E8E"/>
    <w:rsid w:val="00E661C4"/>
    <w:rsid w:val="00E66382"/>
    <w:rsid w:val="00E664DA"/>
    <w:rsid w:val="00E66705"/>
    <w:rsid w:val="00E667CD"/>
    <w:rsid w:val="00E668CB"/>
    <w:rsid w:val="00E66BC3"/>
    <w:rsid w:val="00E67352"/>
    <w:rsid w:val="00E6750C"/>
    <w:rsid w:val="00E67531"/>
    <w:rsid w:val="00E67C1B"/>
    <w:rsid w:val="00E67D91"/>
    <w:rsid w:val="00E70585"/>
    <w:rsid w:val="00E709CC"/>
    <w:rsid w:val="00E70A6E"/>
    <w:rsid w:val="00E70ADD"/>
    <w:rsid w:val="00E71905"/>
    <w:rsid w:val="00E722D6"/>
    <w:rsid w:val="00E72715"/>
    <w:rsid w:val="00E72E08"/>
    <w:rsid w:val="00E72E5F"/>
    <w:rsid w:val="00E73132"/>
    <w:rsid w:val="00E7339C"/>
    <w:rsid w:val="00E7387E"/>
    <w:rsid w:val="00E73A75"/>
    <w:rsid w:val="00E74A15"/>
    <w:rsid w:val="00E75927"/>
    <w:rsid w:val="00E75989"/>
    <w:rsid w:val="00E75DA6"/>
    <w:rsid w:val="00E75DBB"/>
    <w:rsid w:val="00E76005"/>
    <w:rsid w:val="00E7643D"/>
    <w:rsid w:val="00E769B8"/>
    <w:rsid w:val="00E76F28"/>
    <w:rsid w:val="00E77021"/>
    <w:rsid w:val="00E770F3"/>
    <w:rsid w:val="00E773B7"/>
    <w:rsid w:val="00E77E16"/>
    <w:rsid w:val="00E77EE3"/>
    <w:rsid w:val="00E77F0C"/>
    <w:rsid w:val="00E80302"/>
    <w:rsid w:val="00E80618"/>
    <w:rsid w:val="00E810BD"/>
    <w:rsid w:val="00E81120"/>
    <w:rsid w:val="00E81488"/>
    <w:rsid w:val="00E819F0"/>
    <w:rsid w:val="00E81C3D"/>
    <w:rsid w:val="00E81F13"/>
    <w:rsid w:val="00E824C2"/>
    <w:rsid w:val="00E825CE"/>
    <w:rsid w:val="00E82A19"/>
    <w:rsid w:val="00E82D54"/>
    <w:rsid w:val="00E83108"/>
    <w:rsid w:val="00E833A9"/>
    <w:rsid w:val="00E83740"/>
    <w:rsid w:val="00E839B4"/>
    <w:rsid w:val="00E83D80"/>
    <w:rsid w:val="00E83E56"/>
    <w:rsid w:val="00E843D7"/>
    <w:rsid w:val="00E843DF"/>
    <w:rsid w:val="00E84640"/>
    <w:rsid w:val="00E8468F"/>
    <w:rsid w:val="00E846FB"/>
    <w:rsid w:val="00E8490E"/>
    <w:rsid w:val="00E84B0C"/>
    <w:rsid w:val="00E84D8B"/>
    <w:rsid w:val="00E84EC8"/>
    <w:rsid w:val="00E8575D"/>
    <w:rsid w:val="00E85B62"/>
    <w:rsid w:val="00E85BF3"/>
    <w:rsid w:val="00E86211"/>
    <w:rsid w:val="00E8697A"/>
    <w:rsid w:val="00E86E69"/>
    <w:rsid w:val="00E87739"/>
    <w:rsid w:val="00E879DB"/>
    <w:rsid w:val="00E87E88"/>
    <w:rsid w:val="00E90879"/>
    <w:rsid w:val="00E908E1"/>
    <w:rsid w:val="00E90C37"/>
    <w:rsid w:val="00E91232"/>
    <w:rsid w:val="00E912A6"/>
    <w:rsid w:val="00E913FD"/>
    <w:rsid w:val="00E91634"/>
    <w:rsid w:val="00E9165D"/>
    <w:rsid w:val="00E91C29"/>
    <w:rsid w:val="00E91D5E"/>
    <w:rsid w:val="00E92382"/>
    <w:rsid w:val="00E925A3"/>
    <w:rsid w:val="00E926D5"/>
    <w:rsid w:val="00E92CA5"/>
    <w:rsid w:val="00E932A0"/>
    <w:rsid w:val="00E93531"/>
    <w:rsid w:val="00E935EA"/>
    <w:rsid w:val="00E93615"/>
    <w:rsid w:val="00E937FF"/>
    <w:rsid w:val="00E939A8"/>
    <w:rsid w:val="00E93D68"/>
    <w:rsid w:val="00E93DFD"/>
    <w:rsid w:val="00E9450F"/>
    <w:rsid w:val="00E94703"/>
    <w:rsid w:val="00E9507B"/>
    <w:rsid w:val="00E951CE"/>
    <w:rsid w:val="00E95C3D"/>
    <w:rsid w:val="00E96030"/>
    <w:rsid w:val="00E96325"/>
    <w:rsid w:val="00E96415"/>
    <w:rsid w:val="00E9642E"/>
    <w:rsid w:val="00E96430"/>
    <w:rsid w:val="00E96A1A"/>
    <w:rsid w:val="00E96B25"/>
    <w:rsid w:val="00E96B54"/>
    <w:rsid w:val="00E96D41"/>
    <w:rsid w:val="00E96DDD"/>
    <w:rsid w:val="00E96FB9"/>
    <w:rsid w:val="00E97649"/>
    <w:rsid w:val="00E97831"/>
    <w:rsid w:val="00E97C68"/>
    <w:rsid w:val="00E97FAD"/>
    <w:rsid w:val="00EA03D2"/>
    <w:rsid w:val="00EA066B"/>
    <w:rsid w:val="00EA0D5C"/>
    <w:rsid w:val="00EA0DC7"/>
    <w:rsid w:val="00EA11FE"/>
    <w:rsid w:val="00EA16CC"/>
    <w:rsid w:val="00EA1886"/>
    <w:rsid w:val="00EA252B"/>
    <w:rsid w:val="00EA298B"/>
    <w:rsid w:val="00EA2BFB"/>
    <w:rsid w:val="00EA302F"/>
    <w:rsid w:val="00EA3996"/>
    <w:rsid w:val="00EA4088"/>
    <w:rsid w:val="00EA44C7"/>
    <w:rsid w:val="00EA4C85"/>
    <w:rsid w:val="00EA59E9"/>
    <w:rsid w:val="00EA5D29"/>
    <w:rsid w:val="00EA5D46"/>
    <w:rsid w:val="00EA6C1F"/>
    <w:rsid w:val="00EA6E14"/>
    <w:rsid w:val="00EA7ADE"/>
    <w:rsid w:val="00EB00A7"/>
    <w:rsid w:val="00EB06B5"/>
    <w:rsid w:val="00EB1120"/>
    <w:rsid w:val="00EB12D0"/>
    <w:rsid w:val="00EB1476"/>
    <w:rsid w:val="00EB1C8B"/>
    <w:rsid w:val="00EB2021"/>
    <w:rsid w:val="00EB22B3"/>
    <w:rsid w:val="00EB2570"/>
    <w:rsid w:val="00EB2C3E"/>
    <w:rsid w:val="00EB35BE"/>
    <w:rsid w:val="00EB4524"/>
    <w:rsid w:val="00EB4633"/>
    <w:rsid w:val="00EB4767"/>
    <w:rsid w:val="00EB4A80"/>
    <w:rsid w:val="00EB4C91"/>
    <w:rsid w:val="00EB4D2F"/>
    <w:rsid w:val="00EB4F57"/>
    <w:rsid w:val="00EB5814"/>
    <w:rsid w:val="00EB589A"/>
    <w:rsid w:val="00EB58BF"/>
    <w:rsid w:val="00EB605B"/>
    <w:rsid w:val="00EB6192"/>
    <w:rsid w:val="00EB6E4B"/>
    <w:rsid w:val="00EB72D0"/>
    <w:rsid w:val="00EB7476"/>
    <w:rsid w:val="00EB7B8E"/>
    <w:rsid w:val="00EB7BED"/>
    <w:rsid w:val="00EB7C23"/>
    <w:rsid w:val="00EB7FFD"/>
    <w:rsid w:val="00EC0364"/>
    <w:rsid w:val="00EC0450"/>
    <w:rsid w:val="00EC05F9"/>
    <w:rsid w:val="00EC084E"/>
    <w:rsid w:val="00EC10C4"/>
    <w:rsid w:val="00EC1233"/>
    <w:rsid w:val="00EC1422"/>
    <w:rsid w:val="00EC19A8"/>
    <w:rsid w:val="00EC1B40"/>
    <w:rsid w:val="00EC1C14"/>
    <w:rsid w:val="00EC356C"/>
    <w:rsid w:val="00EC3737"/>
    <w:rsid w:val="00EC3DC7"/>
    <w:rsid w:val="00EC41CF"/>
    <w:rsid w:val="00EC41F4"/>
    <w:rsid w:val="00EC437F"/>
    <w:rsid w:val="00EC43BB"/>
    <w:rsid w:val="00EC446B"/>
    <w:rsid w:val="00EC4979"/>
    <w:rsid w:val="00EC4B0A"/>
    <w:rsid w:val="00EC546C"/>
    <w:rsid w:val="00EC63D8"/>
    <w:rsid w:val="00EC7162"/>
    <w:rsid w:val="00EC7A97"/>
    <w:rsid w:val="00EC7FC0"/>
    <w:rsid w:val="00ED027C"/>
    <w:rsid w:val="00ED0B3A"/>
    <w:rsid w:val="00ED0BA4"/>
    <w:rsid w:val="00ED0CE8"/>
    <w:rsid w:val="00ED15D4"/>
    <w:rsid w:val="00ED18A4"/>
    <w:rsid w:val="00ED1A2E"/>
    <w:rsid w:val="00ED1E06"/>
    <w:rsid w:val="00ED21E6"/>
    <w:rsid w:val="00ED24A5"/>
    <w:rsid w:val="00ED2790"/>
    <w:rsid w:val="00ED27E8"/>
    <w:rsid w:val="00ED3040"/>
    <w:rsid w:val="00ED3773"/>
    <w:rsid w:val="00ED39EC"/>
    <w:rsid w:val="00ED3A0C"/>
    <w:rsid w:val="00ED40A3"/>
    <w:rsid w:val="00ED4442"/>
    <w:rsid w:val="00ED4BA5"/>
    <w:rsid w:val="00ED523E"/>
    <w:rsid w:val="00ED5260"/>
    <w:rsid w:val="00ED55CF"/>
    <w:rsid w:val="00ED58F0"/>
    <w:rsid w:val="00ED5EA6"/>
    <w:rsid w:val="00ED60AB"/>
    <w:rsid w:val="00ED6862"/>
    <w:rsid w:val="00ED6FC4"/>
    <w:rsid w:val="00ED73E7"/>
    <w:rsid w:val="00ED7ABA"/>
    <w:rsid w:val="00ED7B29"/>
    <w:rsid w:val="00ED7B3D"/>
    <w:rsid w:val="00ED7D26"/>
    <w:rsid w:val="00ED7D53"/>
    <w:rsid w:val="00EE03D1"/>
    <w:rsid w:val="00EE042C"/>
    <w:rsid w:val="00EE04F7"/>
    <w:rsid w:val="00EE077F"/>
    <w:rsid w:val="00EE091F"/>
    <w:rsid w:val="00EE0A5F"/>
    <w:rsid w:val="00EE0B6A"/>
    <w:rsid w:val="00EE0D82"/>
    <w:rsid w:val="00EE1067"/>
    <w:rsid w:val="00EE1174"/>
    <w:rsid w:val="00EE1849"/>
    <w:rsid w:val="00EE1E58"/>
    <w:rsid w:val="00EE1EBA"/>
    <w:rsid w:val="00EE1F22"/>
    <w:rsid w:val="00EE1F50"/>
    <w:rsid w:val="00EE2567"/>
    <w:rsid w:val="00EE2620"/>
    <w:rsid w:val="00EE28D8"/>
    <w:rsid w:val="00EE2941"/>
    <w:rsid w:val="00EE2A7F"/>
    <w:rsid w:val="00EE2B3F"/>
    <w:rsid w:val="00EE3225"/>
    <w:rsid w:val="00EE3625"/>
    <w:rsid w:val="00EE3DE6"/>
    <w:rsid w:val="00EE465F"/>
    <w:rsid w:val="00EE4705"/>
    <w:rsid w:val="00EE494C"/>
    <w:rsid w:val="00EE4B4A"/>
    <w:rsid w:val="00EE51A4"/>
    <w:rsid w:val="00EE5D91"/>
    <w:rsid w:val="00EE5EB1"/>
    <w:rsid w:val="00EE698F"/>
    <w:rsid w:val="00EE6AAC"/>
    <w:rsid w:val="00EE6CC5"/>
    <w:rsid w:val="00EE70EE"/>
    <w:rsid w:val="00EE7237"/>
    <w:rsid w:val="00EE77A2"/>
    <w:rsid w:val="00EE7924"/>
    <w:rsid w:val="00EE7E78"/>
    <w:rsid w:val="00EE7F20"/>
    <w:rsid w:val="00EF07A1"/>
    <w:rsid w:val="00EF088E"/>
    <w:rsid w:val="00EF0945"/>
    <w:rsid w:val="00EF0E06"/>
    <w:rsid w:val="00EF1530"/>
    <w:rsid w:val="00EF1A7D"/>
    <w:rsid w:val="00EF1B0D"/>
    <w:rsid w:val="00EF20D0"/>
    <w:rsid w:val="00EF2272"/>
    <w:rsid w:val="00EF2370"/>
    <w:rsid w:val="00EF2932"/>
    <w:rsid w:val="00EF2935"/>
    <w:rsid w:val="00EF2C4E"/>
    <w:rsid w:val="00EF2EEB"/>
    <w:rsid w:val="00EF34AB"/>
    <w:rsid w:val="00EF3699"/>
    <w:rsid w:val="00EF36F6"/>
    <w:rsid w:val="00EF373F"/>
    <w:rsid w:val="00EF3960"/>
    <w:rsid w:val="00EF3A06"/>
    <w:rsid w:val="00EF3DFC"/>
    <w:rsid w:val="00EF3EE3"/>
    <w:rsid w:val="00EF4E91"/>
    <w:rsid w:val="00EF50A0"/>
    <w:rsid w:val="00EF50B5"/>
    <w:rsid w:val="00EF6230"/>
    <w:rsid w:val="00EF63CD"/>
    <w:rsid w:val="00EF65B0"/>
    <w:rsid w:val="00EF6880"/>
    <w:rsid w:val="00EF6DAA"/>
    <w:rsid w:val="00EF6EDA"/>
    <w:rsid w:val="00EF7369"/>
    <w:rsid w:val="00EF7904"/>
    <w:rsid w:val="00EF7C2B"/>
    <w:rsid w:val="00F0001E"/>
    <w:rsid w:val="00F0026B"/>
    <w:rsid w:val="00F00294"/>
    <w:rsid w:val="00F005B6"/>
    <w:rsid w:val="00F00959"/>
    <w:rsid w:val="00F00CD0"/>
    <w:rsid w:val="00F00F6F"/>
    <w:rsid w:val="00F01063"/>
    <w:rsid w:val="00F0125C"/>
    <w:rsid w:val="00F012DE"/>
    <w:rsid w:val="00F0160D"/>
    <w:rsid w:val="00F01E12"/>
    <w:rsid w:val="00F023E2"/>
    <w:rsid w:val="00F03317"/>
    <w:rsid w:val="00F03691"/>
    <w:rsid w:val="00F03C50"/>
    <w:rsid w:val="00F03C8D"/>
    <w:rsid w:val="00F03E8E"/>
    <w:rsid w:val="00F03ECC"/>
    <w:rsid w:val="00F048CF"/>
    <w:rsid w:val="00F04C76"/>
    <w:rsid w:val="00F04DFC"/>
    <w:rsid w:val="00F05080"/>
    <w:rsid w:val="00F0539A"/>
    <w:rsid w:val="00F058EE"/>
    <w:rsid w:val="00F05AED"/>
    <w:rsid w:val="00F05F9C"/>
    <w:rsid w:val="00F0652C"/>
    <w:rsid w:val="00F06843"/>
    <w:rsid w:val="00F068F3"/>
    <w:rsid w:val="00F06D1D"/>
    <w:rsid w:val="00F071A7"/>
    <w:rsid w:val="00F078B5"/>
    <w:rsid w:val="00F079DE"/>
    <w:rsid w:val="00F07BA1"/>
    <w:rsid w:val="00F07BA5"/>
    <w:rsid w:val="00F10998"/>
    <w:rsid w:val="00F10CAD"/>
    <w:rsid w:val="00F11043"/>
    <w:rsid w:val="00F11276"/>
    <w:rsid w:val="00F113DA"/>
    <w:rsid w:val="00F114B1"/>
    <w:rsid w:val="00F11D21"/>
    <w:rsid w:val="00F11D83"/>
    <w:rsid w:val="00F11FE7"/>
    <w:rsid w:val="00F1212D"/>
    <w:rsid w:val="00F1256D"/>
    <w:rsid w:val="00F12B4C"/>
    <w:rsid w:val="00F12D93"/>
    <w:rsid w:val="00F12FBC"/>
    <w:rsid w:val="00F1312A"/>
    <w:rsid w:val="00F13253"/>
    <w:rsid w:val="00F13310"/>
    <w:rsid w:val="00F1371F"/>
    <w:rsid w:val="00F14106"/>
    <w:rsid w:val="00F145EC"/>
    <w:rsid w:val="00F14B7D"/>
    <w:rsid w:val="00F14EAB"/>
    <w:rsid w:val="00F15068"/>
    <w:rsid w:val="00F151B5"/>
    <w:rsid w:val="00F153AB"/>
    <w:rsid w:val="00F153F6"/>
    <w:rsid w:val="00F15A6E"/>
    <w:rsid w:val="00F162CA"/>
    <w:rsid w:val="00F1684D"/>
    <w:rsid w:val="00F16A7F"/>
    <w:rsid w:val="00F170F4"/>
    <w:rsid w:val="00F17294"/>
    <w:rsid w:val="00F17803"/>
    <w:rsid w:val="00F17A07"/>
    <w:rsid w:val="00F17CF1"/>
    <w:rsid w:val="00F214CF"/>
    <w:rsid w:val="00F21618"/>
    <w:rsid w:val="00F2165D"/>
    <w:rsid w:val="00F217EF"/>
    <w:rsid w:val="00F22417"/>
    <w:rsid w:val="00F224E4"/>
    <w:rsid w:val="00F2255A"/>
    <w:rsid w:val="00F225FC"/>
    <w:rsid w:val="00F22853"/>
    <w:rsid w:val="00F22A78"/>
    <w:rsid w:val="00F237D1"/>
    <w:rsid w:val="00F23993"/>
    <w:rsid w:val="00F23DDB"/>
    <w:rsid w:val="00F23E7E"/>
    <w:rsid w:val="00F2455A"/>
    <w:rsid w:val="00F24921"/>
    <w:rsid w:val="00F25172"/>
    <w:rsid w:val="00F2519B"/>
    <w:rsid w:val="00F25739"/>
    <w:rsid w:val="00F257DF"/>
    <w:rsid w:val="00F258D5"/>
    <w:rsid w:val="00F259AD"/>
    <w:rsid w:val="00F25D20"/>
    <w:rsid w:val="00F26588"/>
    <w:rsid w:val="00F26E3D"/>
    <w:rsid w:val="00F26EA5"/>
    <w:rsid w:val="00F273A4"/>
    <w:rsid w:val="00F275B4"/>
    <w:rsid w:val="00F27FDD"/>
    <w:rsid w:val="00F30215"/>
    <w:rsid w:val="00F30321"/>
    <w:rsid w:val="00F30BEF"/>
    <w:rsid w:val="00F31BF2"/>
    <w:rsid w:val="00F324CC"/>
    <w:rsid w:val="00F324D7"/>
    <w:rsid w:val="00F325B1"/>
    <w:rsid w:val="00F32DD0"/>
    <w:rsid w:val="00F32E4E"/>
    <w:rsid w:val="00F32F27"/>
    <w:rsid w:val="00F32FD8"/>
    <w:rsid w:val="00F33251"/>
    <w:rsid w:val="00F337E3"/>
    <w:rsid w:val="00F33928"/>
    <w:rsid w:val="00F33987"/>
    <w:rsid w:val="00F33F9F"/>
    <w:rsid w:val="00F3407D"/>
    <w:rsid w:val="00F34A4D"/>
    <w:rsid w:val="00F34EE6"/>
    <w:rsid w:val="00F35160"/>
    <w:rsid w:val="00F35358"/>
    <w:rsid w:val="00F3592A"/>
    <w:rsid w:val="00F359C8"/>
    <w:rsid w:val="00F35FAE"/>
    <w:rsid w:val="00F36ACD"/>
    <w:rsid w:val="00F36C01"/>
    <w:rsid w:val="00F36F5C"/>
    <w:rsid w:val="00F37457"/>
    <w:rsid w:val="00F375A9"/>
    <w:rsid w:val="00F37706"/>
    <w:rsid w:val="00F4007F"/>
    <w:rsid w:val="00F4012C"/>
    <w:rsid w:val="00F403AD"/>
    <w:rsid w:val="00F4087F"/>
    <w:rsid w:val="00F40AC9"/>
    <w:rsid w:val="00F40B75"/>
    <w:rsid w:val="00F40D4A"/>
    <w:rsid w:val="00F40D5A"/>
    <w:rsid w:val="00F40E8D"/>
    <w:rsid w:val="00F41277"/>
    <w:rsid w:val="00F41287"/>
    <w:rsid w:val="00F41866"/>
    <w:rsid w:val="00F41A6A"/>
    <w:rsid w:val="00F41BB3"/>
    <w:rsid w:val="00F41ED7"/>
    <w:rsid w:val="00F4294E"/>
    <w:rsid w:val="00F42C2E"/>
    <w:rsid w:val="00F42CAB"/>
    <w:rsid w:val="00F43496"/>
    <w:rsid w:val="00F436AD"/>
    <w:rsid w:val="00F43DBA"/>
    <w:rsid w:val="00F44185"/>
    <w:rsid w:val="00F44A80"/>
    <w:rsid w:val="00F44BE8"/>
    <w:rsid w:val="00F44C90"/>
    <w:rsid w:val="00F44D65"/>
    <w:rsid w:val="00F45096"/>
    <w:rsid w:val="00F4530A"/>
    <w:rsid w:val="00F453EA"/>
    <w:rsid w:val="00F456BD"/>
    <w:rsid w:val="00F458DC"/>
    <w:rsid w:val="00F458E0"/>
    <w:rsid w:val="00F45BCA"/>
    <w:rsid w:val="00F45BDF"/>
    <w:rsid w:val="00F460D7"/>
    <w:rsid w:val="00F46129"/>
    <w:rsid w:val="00F46434"/>
    <w:rsid w:val="00F467B0"/>
    <w:rsid w:val="00F46846"/>
    <w:rsid w:val="00F46A2B"/>
    <w:rsid w:val="00F46C2C"/>
    <w:rsid w:val="00F47407"/>
    <w:rsid w:val="00F4743E"/>
    <w:rsid w:val="00F47541"/>
    <w:rsid w:val="00F47E3C"/>
    <w:rsid w:val="00F50285"/>
    <w:rsid w:val="00F5054E"/>
    <w:rsid w:val="00F5082B"/>
    <w:rsid w:val="00F50A4B"/>
    <w:rsid w:val="00F50F76"/>
    <w:rsid w:val="00F51172"/>
    <w:rsid w:val="00F5137D"/>
    <w:rsid w:val="00F514AC"/>
    <w:rsid w:val="00F51745"/>
    <w:rsid w:val="00F51D54"/>
    <w:rsid w:val="00F52126"/>
    <w:rsid w:val="00F52363"/>
    <w:rsid w:val="00F52828"/>
    <w:rsid w:val="00F52C0F"/>
    <w:rsid w:val="00F530BC"/>
    <w:rsid w:val="00F531EC"/>
    <w:rsid w:val="00F53463"/>
    <w:rsid w:val="00F5384D"/>
    <w:rsid w:val="00F5387A"/>
    <w:rsid w:val="00F53EA1"/>
    <w:rsid w:val="00F53F21"/>
    <w:rsid w:val="00F542AA"/>
    <w:rsid w:val="00F54A5E"/>
    <w:rsid w:val="00F54B57"/>
    <w:rsid w:val="00F54D81"/>
    <w:rsid w:val="00F552BC"/>
    <w:rsid w:val="00F557F8"/>
    <w:rsid w:val="00F55DA4"/>
    <w:rsid w:val="00F569DF"/>
    <w:rsid w:val="00F56B0F"/>
    <w:rsid w:val="00F56BAE"/>
    <w:rsid w:val="00F56E56"/>
    <w:rsid w:val="00F574C8"/>
    <w:rsid w:val="00F578E4"/>
    <w:rsid w:val="00F578EB"/>
    <w:rsid w:val="00F57C65"/>
    <w:rsid w:val="00F57D65"/>
    <w:rsid w:val="00F57E36"/>
    <w:rsid w:val="00F6035F"/>
    <w:rsid w:val="00F604AE"/>
    <w:rsid w:val="00F60601"/>
    <w:rsid w:val="00F6061A"/>
    <w:rsid w:val="00F60898"/>
    <w:rsid w:val="00F608FA"/>
    <w:rsid w:val="00F60E5E"/>
    <w:rsid w:val="00F611A4"/>
    <w:rsid w:val="00F61203"/>
    <w:rsid w:val="00F61258"/>
    <w:rsid w:val="00F61353"/>
    <w:rsid w:val="00F618A3"/>
    <w:rsid w:val="00F618FD"/>
    <w:rsid w:val="00F61B08"/>
    <w:rsid w:val="00F61CE5"/>
    <w:rsid w:val="00F61FB3"/>
    <w:rsid w:val="00F62114"/>
    <w:rsid w:val="00F62180"/>
    <w:rsid w:val="00F623E7"/>
    <w:rsid w:val="00F623EE"/>
    <w:rsid w:val="00F627C5"/>
    <w:rsid w:val="00F62922"/>
    <w:rsid w:val="00F62D7F"/>
    <w:rsid w:val="00F6322D"/>
    <w:rsid w:val="00F63489"/>
    <w:rsid w:val="00F63F78"/>
    <w:rsid w:val="00F640B6"/>
    <w:rsid w:val="00F6514B"/>
    <w:rsid w:val="00F653DD"/>
    <w:rsid w:val="00F65C16"/>
    <w:rsid w:val="00F6640C"/>
    <w:rsid w:val="00F66461"/>
    <w:rsid w:val="00F66C04"/>
    <w:rsid w:val="00F66E2B"/>
    <w:rsid w:val="00F66EBC"/>
    <w:rsid w:val="00F66F9F"/>
    <w:rsid w:val="00F67435"/>
    <w:rsid w:val="00F6751C"/>
    <w:rsid w:val="00F67E7F"/>
    <w:rsid w:val="00F704B1"/>
    <w:rsid w:val="00F709DF"/>
    <w:rsid w:val="00F70E53"/>
    <w:rsid w:val="00F70E93"/>
    <w:rsid w:val="00F71088"/>
    <w:rsid w:val="00F712AB"/>
    <w:rsid w:val="00F717D2"/>
    <w:rsid w:val="00F71C55"/>
    <w:rsid w:val="00F71DE7"/>
    <w:rsid w:val="00F7275C"/>
    <w:rsid w:val="00F7299F"/>
    <w:rsid w:val="00F72FE3"/>
    <w:rsid w:val="00F7307E"/>
    <w:rsid w:val="00F73281"/>
    <w:rsid w:val="00F7333F"/>
    <w:rsid w:val="00F73736"/>
    <w:rsid w:val="00F73A49"/>
    <w:rsid w:val="00F74203"/>
    <w:rsid w:val="00F746C6"/>
    <w:rsid w:val="00F7486A"/>
    <w:rsid w:val="00F74BC8"/>
    <w:rsid w:val="00F74C58"/>
    <w:rsid w:val="00F74E6C"/>
    <w:rsid w:val="00F74EEF"/>
    <w:rsid w:val="00F74FA3"/>
    <w:rsid w:val="00F7536E"/>
    <w:rsid w:val="00F75682"/>
    <w:rsid w:val="00F75B20"/>
    <w:rsid w:val="00F75B43"/>
    <w:rsid w:val="00F75DE8"/>
    <w:rsid w:val="00F761F1"/>
    <w:rsid w:val="00F767BC"/>
    <w:rsid w:val="00F7686A"/>
    <w:rsid w:val="00F77919"/>
    <w:rsid w:val="00F77AFD"/>
    <w:rsid w:val="00F8026C"/>
    <w:rsid w:val="00F80A1C"/>
    <w:rsid w:val="00F814FF"/>
    <w:rsid w:val="00F815EE"/>
    <w:rsid w:val="00F81FD5"/>
    <w:rsid w:val="00F82A46"/>
    <w:rsid w:val="00F82F78"/>
    <w:rsid w:val="00F82FC8"/>
    <w:rsid w:val="00F834E3"/>
    <w:rsid w:val="00F83687"/>
    <w:rsid w:val="00F83D33"/>
    <w:rsid w:val="00F84714"/>
    <w:rsid w:val="00F84CED"/>
    <w:rsid w:val="00F84DE6"/>
    <w:rsid w:val="00F8579D"/>
    <w:rsid w:val="00F859E1"/>
    <w:rsid w:val="00F8604D"/>
    <w:rsid w:val="00F86134"/>
    <w:rsid w:val="00F86514"/>
    <w:rsid w:val="00F8651A"/>
    <w:rsid w:val="00F86655"/>
    <w:rsid w:val="00F86685"/>
    <w:rsid w:val="00F8669E"/>
    <w:rsid w:val="00F86CDF"/>
    <w:rsid w:val="00F86E8E"/>
    <w:rsid w:val="00F86F85"/>
    <w:rsid w:val="00F8717B"/>
    <w:rsid w:val="00F8750F"/>
    <w:rsid w:val="00F8768A"/>
    <w:rsid w:val="00F8792B"/>
    <w:rsid w:val="00F87A3F"/>
    <w:rsid w:val="00F87F91"/>
    <w:rsid w:val="00F901DB"/>
    <w:rsid w:val="00F90616"/>
    <w:rsid w:val="00F90630"/>
    <w:rsid w:val="00F90DE1"/>
    <w:rsid w:val="00F90F34"/>
    <w:rsid w:val="00F9121C"/>
    <w:rsid w:val="00F91316"/>
    <w:rsid w:val="00F91700"/>
    <w:rsid w:val="00F91A41"/>
    <w:rsid w:val="00F91F86"/>
    <w:rsid w:val="00F92AC5"/>
    <w:rsid w:val="00F92AF7"/>
    <w:rsid w:val="00F930CD"/>
    <w:rsid w:val="00F930FE"/>
    <w:rsid w:val="00F93379"/>
    <w:rsid w:val="00F9344A"/>
    <w:rsid w:val="00F93526"/>
    <w:rsid w:val="00F948DB"/>
    <w:rsid w:val="00F94B5C"/>
    <w:rsid w:val="00F94BBB"/>
    <w:rsid w:val="00F94C72"/>
    <w:rsid w:val="00F94FCF"/>
    <w:rsid w:val="00F952E2"/>
    <w:rsid w:val="00F957FF"/>
    <w:rsid w:val="00F95850"/>
    <w:rsid w:val="00F95AA9"/>
    <w:rsid w:val="00F96390"/>
    <w:rsid w:val="00F9648D"/>
    <w:rsid w:val="00F96678"/>
    <w:rsid w:val="00F96E2B"/>
    <w:rsid w:val="00F96E97"/>
    <w:rsid w:val="00F9781A"/>
    <w:rsid w:val="00F97AB7"/>
    <w:rsid w:val="00F97E13"/>
    <w:rsid w:val="00F97F04"/>
    <w:rsid w:val="00FA017D"/>
    <w:rsid w:val="00FA05F8"/>
    <w:rsid w:val="00FA0602"/>
    <w:rsid w:val="00FA0783"/>
    <w:rsid w:val="00FA096C"/>
    <w:rsid w:val="00FA1819"/>
    <w:rsid w:val="00FA18C3"/>
    <w:rsid w:val="00FA1B4C"/>
    <w:rsid w:val="00FA1B96"/>
    <w:rsid w:val="00FA1CEA"/>
    <w:rsid w:val="00FA21EB"/>
    <w:rsid w:val="00FA25C5"/>
    <w:rsid w:val="00FA2D27"/>
    <w:rsid w:val="00FA2DFE"/>
    <w:rsid w:val="00FA2F6A"/>
    <w:rsid w:val="00FA3280"/>
    <w:rsid w:val="00FA3320"/>
    <w:rsid w:val="00FA3B49"/>
    <w:rsid w:val="00FA3EA6"/>
    <w:rsid w:val="00FA4506"/>
    <w:rsid w:val="00FA47C7"/>
    <w:rsid w:val="00FA4E3A"/>
    <w:rsid w:val="00FA5320"/>
    <w:rsid w:val="00FA5429"/>
    <w:rsid w:val="00FA57AD"/>
    <w:rsid w:val="00FA59FD"/>
    <w:rsid w:val="00FA6067"/>
    <w:rsid w:val="00FA6486"/>
    <w:rsid w:val="00FA67DD"/>
    <w:rsid w:val="00FA6982"/>
    <w:rsid w:val="00FA7296"/>
    <w:rsid w:val="00FA7A0E"/>
    <w:rsid w:val="00FA7B27"/>
    <w:rsid w:val="00FA7E73"/>
    <w:rsid w:val="00FB0B19"/>
    <w:rsid w:val="00FB0D40"/>
    <w:rsid w:val="00FB1150"/>
    <w:rsid w:val="00FB191B"/>
    <w:rsid w:val="00FB2353"/>
    <w:rsid w:val="00FB24DB"/>
    <w:rsid w:val="00FB24ED"/>
    <w:rsid w:val="00FB25E3"/>
    <w:rsid w:val="00FB2CA9"/>
    <w:rsid w:val="00FB2EA8"/>
    <w:rsid w:val="00FB3880"/>
    <w:rsid w:val="00FB3A1D"/>
    <w:rsid w:val="00FB3B4B"/>
    <w:rsid w:val="00FB42E8"/>
    <w:rsid w:val="00FB4B15"/>
    <w:rsid w:val="00FB4B7D"/>
    <w:rsid w:val="00FB53E8"/>
    <w:rsid w:val="00FB5D5F"/>
    <w:rsid w:val="00FB61CE"/>
    <w:rsid w:val="00FB634F"/>
    <w:rsid w:val="00FB6662"/>
    <w:rsid w:val="00FB66DD"/>
    <w:rsid w:val="00FB69F3"/>
    <w:rsid w:val="00FB7334"/>
    <w:rsid w:val="00FC0078"/>
    <w:rsid w:val="00FC0483"/>
    <w:rsid w:val="00FC04D4"/>
    <w:rsid w:val="00FC057D"/>
    <w:rsid w:val="00FC0749"/>
    <w:rsid w:val="00FC124C"/>
    <w:rsid w:val="00FC130D"/>
    <w:rsid w:val="00FC1518"/>
    <w:rsid w:val="00FC1D48"/>
    <w:rsid w:val="00FC1DE7"/>
    <w:rsid w:val="00FC1FB1"/>
    <w:rsid w:val="00FC1FEF"/>
    <w:rsid w:val="00FC22E7"/>
    <w:rsid w:val="00FC2412"/>
    <w:rsid w:val="00FC246F"/>
    <w:rsid w:val="00FC272B"/>
    <w:rsid w:val="00FC27D9"/>
    <w:rsid w:val="00FC2811"/>
    <w:rsid w:val="00FC2879"/>
    <w:rsid w:val="00FC306B"/>
    <w:rsid w:val="00FC35AE"/>
    <w:rsid w:val="00FC393B"/>
    <w:rsid w:val="00FC3944"/>
    <w:rsid w:val="00FC3977"/>
    <w:rsid w:val="00FC40B8"/>
    <w:rsid w:val="00FC4992"/>
    <w:rsid w:val="00FC49E7"/>
    <w:rsid w:val="00FC4B23"/>
    <w:rsid w:val="00FC528C"/>
    <w:rsid w:val="00FC534F"/>
    <w:rsid w:val="00FC5B91"/>
    <w:rsid w:val="00FC5C4A"/>
    <w:rsid w:val="00FC6073"/>
    <w:rsid w:val="00FC620D"/>
    <w:rsid w:val="00FC68AB"/>
    <w:rsid w:val="00FC6FEE"/>
    <w:rsid w:val="00FC7173"/>
    <w:rsid w:val="00FC73CB"/>
    <w:rsid w:val="00FC78BA"/>
    <w:rsid w:val="00FC7976"/>
    <w:rsid w:val="00FC7CB0"/>
    <w:rsid w:val="00FD05A0"/>
    <w:rsid w:val="00FD082C"/>
    <w:rsid w:val="00FD0D20"/>
    <w:rsid w:val="00FD15AF"/>
    <w:rsid w:val="00FD1DC9"/>
    <w:rsid w:val="00FD1FE5"/>
    <w:rsid w:val="00FD22B7"/>
    <w:rsid w:val="00FD2418"/>
    <w:rsid w:val="00FD27FC"/>
    <w:rsid w:val="00FD28BB"/>
    <w:rsid w:val="00FD2B84"/>
    <w:rsid w:val="00FD2C38"/>
    <w:rsid w:val="00FD30D9"/>
    <w:rsid w:val="00FD34D3"/>
    <w:rsid w:val="00FD3534"/>
    <w:rsid w:val="00FD3C8C"/>
    <w:rsid w:val="00FD4095"/>
    <w:rsid w:val="00FD4C09"/>
    <w:rsid w:val="00FD4C61"/>
    <w:rsid w:val="00FD4F3E"/>
    <w:rsid w:val="00FD4F75"/>
    <w:rsid w:val="00FD50BC"/>
    <w:rsid w:val="00FD50D6"/>
    <w:rsid w:val="00FD5191"/>
    <w:rsid w:val="00FD5312"/>
    <w:rsid w:val="00FD5364"/>
    <w:rsid w:val="00FD56FB"/>
    <w:rsid w:val="00FD586F"/>
    <w:rsid w:val="00FD5C1D"/>
    <w:rsid w:val="00FD5ED8"/>
    <w:rsid w:val="00FD5FBC"/>
    <w:rsid w:val="00FD5FE3"/>
    <w:rsid w:val="00FD6135"/>
    <w:rsid w:val="00FD632F"/>
    <w:rsid w:val="00FD6338"/>
    <w:rsid w:val="00FD69CA"/>
    <w:rsid w:val="00FD6A77"/>
    <w:rsid w:val="00FD757B"/>
    <w:rsid w:val="00FD78A9"/>
    <w:rsid w:val="00FE0686"/>
    <w:rsid w:val="00FE06CC"/>
    <w:rsid w:val="00FE0AA0"/>
    <w:rsid w:val="00FE0D8A"/>
    <w:rsid w:val="00FE12BC"/>
    <w:rsid w:val="00FE1AE7"/>
    <w:rsid w:val="00FE1E73"/>
    <w:rsid w:val="00FE2A32"/>
    <w:rsid w:val="00FE2B8C"/>
    <w:rsid w:val="00FE320A"/>
    <w:rsid w:val="00FE33BE"/>
    <w:rsid w:val="00FE3B08"/>
    <w:rsid w:val="00FE40D3"/>
    <w:rsid w:val="00FE4989"/>
    <w:rsid w:val="00FE5838"/>
    <w:rsid w:val="00FE5A9B"/>
    <w:rsid w:val="00FE6226"/>
    <w:rsid w:val="00FE6D45"/>
    <w:rsid w:val="00FE6F84"/>
    <w:rsid w:val="00FE7570"/>
    <w:rsid w:val="00FE7659"/>
    <w:rsid w:val="00FE78EA"/>
    <w:rsid w:val="00FE7B8C"/>
    <w:rsid w:val="00FE7D13"/>
    <w:rsid w:val="00FF06A9"/>
    <w:rsid w:val="00FF0D4C"/>
    <w:rsid w:val="00FF0DBE"/>
    <w:rsid w:val="00FF0E28"/>
    <w:rsid w:val="00FF1038"/>
    <w:rsid w:val="00FF10CD"/>
    <w:rsid w:val="00FF1331"/>
    <w:rsid w:val="00FF150F"/>
    <w:rsid w:val="00FF1656"/>
    <w:rsid w:val="00FF16CA"/>
    <w:rsid w:val="00FF1915"/>
    <w:rsid w:val="00FF2009"/>
    <w:rsid w:val="00FF2154"/>
    <w:rsid w:val="00FF22CB"/>
    <w:rsid w:val="00FF2504"/>
    <w:rsid w:val="00FF25AD"/>
    <w:rsid w:val="00FF25E3"/>
    <w:rsid w:val="00FF2CBB"/>
    <w:rsid w:val="00FF2D5B"/>
    <w:rsid w:val="00FF31BD"/>
    <w:rsid w:val="00FF3CB0"/>
    <w:rsid w:val="00FF46E2"/>
    <w:rsid w:val="00FF4BD6"/>
    <w:rsid w:val="00FF5124"/>
    <w:rsid w:val="00FF58F6"/>
    <w:rsid w:val="00FF5B6A"/>
    <w:rsid w:val="00FF651D"/>
    <w:rsid w:val="00FF67C0"/>
    <w:rsid w:val="00FF67C5"/>
    <w:rsid w:val="00FF68AD"/>
    <w:rsid w:val="00FF6CAF"/>
    <w:rsid w:val="00FF6D99"/>
    <w:rsid w:val="00FF761A"/>
    <w:rsid w:val="00FF7685"/>
    <w:rsid w:val="00FF7906"/>
    <w:rsid w:val="00FF7A28"/>
    <w:rsid w:val="00FF7A30"/>
    <w:rsid w:val="00FF7BCB"/>
    <w:rsid w:val="00FF7CC3"/>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A298812"/>
  <w15:docId w15:val="{76857F5B-7E9B-4813-AD13-7CF7A50A9A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592D25"/>
    <w:pPr>
      <w:spacing w:after="0"/>
      <w:ind w:firstLine="357"/>
      <w:jc w:val="both"/>
    </w:pPr>
    <w:rPr>
      <w:color w:val="000000" w:themeColor="text1"/>
    </w:rPr>
  </w:style>
  <w:style w:type="paragraph" w:styleId="Nagwek1">
    <w:name w:val="heading 1"/>
    <w:basedOn w:val="Normalny"/>
    <w:next w:val="Normalny"/>
    <w:link w:val="Nagwek1Znak"/>
    <w:uiPriority w:val="9"/>
    <w:qFormat/>
    <w:rsid w:val="007B410A"/>
    <w:pPr>
      <w:keepNext/>
      <w:keepLines/>
      <w:numPr>
        <w:numId w:val="41"/>
      </w:numPr>
      <w:pBdr>
        <w:top w:val="single" w:sz="4" w:space="1" w:color="auto" w:shadow="1"/>
        <w:left w:val="single" w:sz="4" w:space="4" w:color="auto" w:shadow="1"/>
        <w:bottom w:val="single" w:sz="4" w:space="1" w:color="auto" w:shadow="1"/>
        <w:right w:val="single" w:sz="4" w:space="4" w:color="auto" w:shadow="1"/>
      </w:pBdr>
      <w:shd w:val="clear" w:color="auto" w:fill="C3D69B" w:themeFill="accent6"/>
      <w:spacing w:before="120" w:after="360" w:line="240" w:lineRule="auto"/>
      <w:jc w:val="left"/>
      <w:outlineLvl w:val="0"/>
    </w:pPr>
    <w:rPr>
      <w:rFonts w:eastAsiaTheme="majorEastAsia" w:cstheme="majorBidi"/>
      <w:b/>
      <w:bCs/>
      <w:sz w:val="44"/>
      <w:szCs w:val="40"/>
    </w:rPr>
  </w:style>
  <w:style w:type="paragraph" w:styleId="Nagwek2">
    <w:name w:val="heading 2"/>
    <w:basedOn w:val="Normalny"/>
    <w:next w:val="Normalny"/>
    <w:link w:val="Nagwek2Znak"/>
    <w:autoRedefine/>
    <w:uiPriority w:val="9"/>
    <w:unhideWhenUsed/>
    <w:qFormat/>
    <w:rsid w:val="00B62479"/>
    <w:pPr>
      <w:keepNext/>
      <w:keepLines/>
      <w:numPr>
        <w:ilvl w:val="1"/>
        <w:numId w:val="41"/>
      </w:numPr>
      <w:spacing w:after="60"/>
      <w:outlineLvl w:val="1"/>
    </w:pPr>
    <w:rPr>
      <w:rFonts w:eastAsiaTheme="majorEastAsia" w:cstheme="minorHAnsi"/>
      <w:b/>
      <w:bCs/>
      <w:color w:val="auto"/>
      <w:sz w:val="32"/>
      <w:szCs w:val="28"/>
    </w:rPr>
  </w:style>
  <w:style w:type="paragraph" w:styleId="Nagwek3">
    <w:name w:val="heading 3"/>
    <w:basedOn w:val="Normalny"/>
    <w:next w:val="Normalny"/>
    <w:link w:val="Nagwek3Znak"/>
    <w:uiPriority w:val="9"/>
    <w:unhideWhenUsed/>
    <w:qFormat/>
    <w:rsid w:val="00761441"/>
    <w:pPr>
      <w:keepNext/>
      <w:keepLines/>
      <w:numPr>
        <w:ilvl w:val="2"/>
        <w:numId w:val="41"/>
      </w:numPr>
      <w:spacing w:after="60"/>
      <w:outlineLvl w:val="2"/>
    </w:pPr>
    <w:rPr>
      <w:rFonts w:eastAsia="Calibri" w:cstheme="minorHAnsi"/>
      <w:b/>
      <w:bCs/>
      <w:sz w:val="28"/>
      <w:szCs w:val="24"/>
      <w:lang w:eastAsia="pl-PL"/>
    </w:rPr>
  </w:style>
  <w:style w:type="paragraph" w:styleId="Nagwek4">
    <w:name w:val="heading 4"/>
    <w:basedOn w:val="Normalny"/>
    <w:next w:val="Normalny"/>
    <w:link w:val="Nagwek4Znak"/>
    <w:autoRedefine/>
    <w:uiPriority w:val="9"/>
    <w:unhideWhenUsed/>
    <w:qFormat/>
    <w:rsid w:val="00AE2A83"/>
    <w:pPr>
      <w:keepNext/>
      <w:keepLines/>
      <w:numPr>
        <w:ilvl w:val="3"/>
        <w:numId w:val="41"/>
      </w:numPr>
      <w:ind w:left="714" w:hanging="357"/>
      <w:outlineLvl w:val="3"/>
    </w:pPr>
    <w:rPr>
      <w:rFonts w:eastAsiaTheme="majorEastAsia" w:cstheme="minorHAnsi"/>
      <w:b/>
      <w:bCs/>
      <w:i/>
      <w:iCs/>
      <w:color w:val="auto"/>
      <w:lang w:eastAsia="pl-PL"/>
    </w:rPr>
  </w:style>
  <w:style w:type="paragraph" w:styleId="Nagwek5">
    <w:name w:val="heading 5"/>
    <w:basedOn w:val="Normalny"/>
    <w:next w:val="Normalny"/>
    <w:link w:val="Nagwek5Znak"/>
    <w:uiPriority w:val="9"/>
    <w:unhideWhenUsed/>
    <w:rsid w:val="00C40DCD"/>
    <w:pPr>
      <w:keepNext/>
      <w:keepLines/>
      <w:numPr>
        <w:ilvl w:val="4"/>
        <w:numId w:val="2"/>
      </w:numPr>
      <w:spacing w:before="200"/>
      <w:outlineLvl w:val="4"/>
    </w:pPr>
    <w:rPr>
      <w:rFonts w:asciiTheme="majorHAnsi" w:eastAsiaTheme="majorEastAsia" w:hAnsiTheme="majorHAnsi" w:cstheme="majorBidi"/>
      <w:color w:val="314414" w:themeColor="accent1" w:themeShade="7F"/>
    </w:rPr>
  </w:style>
  <w:style w:type="paragraph" w:styleId="Nagwek6">
    <w:name w:val="heading 6"/>
    <w:basedOn w:val="Normalny"/>
    <w:next w:val="Normalny"/>
    <w:link w:val="Nagwek6Znak"/>
    <w:uiPriority w:val="9"/>
    <w:unhideWhenUsed/>
    <w:rsid w:val="00C40DCD"/>
    <w:pPr>
      <w:keepNext/>
      <w:keepLines/>
      <w:numPr>
        <w:ilvl w:val="5"/>
        <w:numId w:val="2"/>
      </w:numPr>
      <w:spacing w:before="200"/>
      <w:outlineLvl w:val="5"/>
    </w:pPr>
    <w:rPr>
      <w:rFonts w:asciiTheme="majorHAnsi" w:eastAsiaTheme="majorEastAsia" w:hAnsiTheme="majorHAnsi" w:cstheme="majorBidi"/>
      <w:i/>
      <w:iCs/>
      <w:color w:val="314414" w:themeColor="accent1" w:themeShade="7F"/>
    </w:rPr>
  </w:style>
  <w:style w:type="paragraph" w:styleId="Nagwek7">
    <w:name w:val="heading 7"/>
    <w:basedOn w:val="Normalny"/>
    <w:next w:val="Normalny"/>
    <w:link w:val="Nagwek7Znak"/>
    <w:uiPriority w:val="9"/>
    <w:semiHidden/>
    <w:unhideWhenUsed/>
    <w:rsid w:val="00C40DCD"/>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Nagwek8">
    <w:name w:val="heading 8"/>
    <w:basedOn w:val="Normalny"/>
    <w:next w:val="Normalny"/>
    <w:link w:val="Nagwek8Znak"/>
    <w:uiPriority w:val="9"/>
    <w:semiHidden/>
    <w:unhideWhenUsed/>
    <w:qFormat/>
    <w:rsid w:val="0098111E"/>
    <w:pPr>
      <w:keepNext/>
      <w:keepLines/>
      <w:numPr>
        <w:ilvl w:val="7"/>
        <w:numId w:val="2"/>
      </w:numPr>
      <w:spacing w:before="40"/>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C40DCD"/>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7B410A"/>
    <w:rPr>
      <w:rFonts w:eastAsiaTheme="majorEastAsia" w:cstheme="majorBidi"/>
      <w:b/>
      <w:bCs/>
      <w:color w:val="000000" w:themeColor="text1"/>
      <w:sz w:val="44"/>
      <w:szCs w:val="40"/>
      <w:shd w:val="clear" w:color="auto" w:fill="C3D69B" w:themeFill="accent6"/>
    </w:rPr>
  </w:style>
  <w:style w:type="character" w:customStyle="1" w:styleId="Nagwek2Znak">
    <w:name w:val="Nagłówek 2 Znak"/>
    <w:basedOn w:val="Domylnaczcionkaakapitu"/>
    <w:link w:val="Nagwek2"/>
    <w:uiPriority w:val="9"/>
    <w:rsid w:val="00B62479"/>
    <w:rPr>
      <w:rFonts w:eastAsiaTheme="majorEastAsia" w:cstheme="minorHAnsi"/>
      <w:b/>
      <w:bCs/>
      <w:sz w:val="32"/>
      <w:szCs w:val="28"/>
    </w:rPr>
  </w:style>
  <w:style w:type="character" w:customStyle="1" w:styleId="Nagwek3Znak">
    <w:name w:val="Nagłówek 3 Znak"/>
    <w:basedOn w:val="Domylnaczcionkaakapitu"/>
    <w:link w:val="Nagwek3"/>
    <w:uiPriority w:val="9"/>
    <w:rsid w:val="00761441"/>
    <w:rPr>
      <w:rFonts w:eastAsia="Calibri" w:cstheme="minorHAnsi"/>
      <w:b/>
      <w:bCs/>
      <w:color w:val="000000" w:themeColor="text1"/>
      <w:sz w:val="28"/>
      <w:szCs w:val="24"/>
      <w:lang w:eastAsia="pl-PL"/>
    </w:rPr>
  </w:style>
  <w:style w:type="character" w:customStyle="1" w:styleId="Nagwek4Znak">
    <w:name w:val="Nagłówek 4 Znak"/>
    <w:basedOn w:val="Domylnaczcionkaakapitu"/>
    <w:link w:val="Nagwek4"/>
    <w:uiPriority w:val="9"/>
    <w:rsid w:val="00AE2A83"/>
    <w:rPr>
      <w:rFonts w:eastAsiaTheme="majorEastAsia" w:cstheme="minorHAnsi"/>
      <w:b/>
      <w:bCs/>
      <w:i/>
      <w:iCs/>
      <w:lang w:eastAsia="pl-PL"/>
    </w:rPr>
  </w:style>
  <w:style w:type="character" w:customStyle="1" w:styleId="Nagwek8Znak">
    <w:name w:val="Nagłówek 8 Znak"/>
    <w:basedOn w:val="Domylnaczcionkaakapitu"/>
    <w:link w:val="Nagwek8"/>
    <w:uiPriority w:val="9"/>
    <w:semiHidden/>
    <w:rsid w:val="0098111E"/>
    <w:rPr>
      <w:rFonts w:asciiTheme="majorHAnsi" w:eastAsiaTheme="majorEastAsia" w:hAnsiTheme="majorHAnsi" w:cstheme="majorBidi"/>
      <w:color w:val="272727" w:themeColor="text1" w:themeTint="D8"/>
      <w:sz w:val="21"/>
      <w:szCs w:val="21"/>
    </w:rPr>
  </w:style>
  <w:style w:type="paragraph" w:styleId="Tekstprzypisudolnego">
    <w:name w:val="footnote text"/>
    <w:aliases w:val="Podrozdział,Tekst przypisu,Znak,Footnote,Podrozdzia3,-E Fuﬂnotentext,Fuﬂnotentext Ursprung,footnote text,Fußnotentext Ursprung,-E Fußnotentext,Fußnote,Footnote text,Tekst przypisu Znak Znak Znak Znak,Znak Znak Znak,Znak1,fn,o,Char"/>
    <w:basedOn w:val="Normalny"/>
    <w:link w:val="TekstprzypisudolnegoZnak"/>
    <w:uiPriority w:val="99"/>
    <w:unhideWhenUsed/>
    <w:qFormat/>
    <w:rsid w:val="003A3050"/>
    <w:pPr>
      <w:spacing w:line="240" w:lineRule="auto"/>
    </w:pPr>
    <w:rPr>
      <w:sz w:val="20"/>
      <w:szCs w:val="20"/>
    </w:rPr>
  </w:style>
  <w:style w:type="character" w:customStyle="1" w:styleId="TekstprzypisudolnegoZnak">
    <w:name w:val="Tekst przypisu dolnego Znak"/>
    <w:aliases w:val="Podrozdział Znak,Tekst przypisu Znak,Znak Znak,Footnote Znak,Podrozdzia3 Znak,-E Fuﬂnotentext Znak,Fuﬂnotentext Ursprung Znak,footnote text Znak,Fußnotentext Ursprung Znak,-E Fußnotentext Znak,Fußnote Znak,Footnote text Znak"/>
    <w:basedOn w:val="Domylnaczcionkaakapitu"/>
    <w:link w:val="Tekstprzypisudolnego"/>
    <w:uiPriority w:val="99"/>
    <w:qFormat/>
    <w:rsid w:val="003A3050"/>
    <w:rPr>
      <w:sz w:val="20"/>
      <w:szCs w:val="20"/>
    </w:rPr>
  </w:style>
  <w:style w:type="character" w:styleId="Odwoanieprzypisudolnego">
    <w:name w:val="footnote reference"/>
    <w:aliases w:val="Odwo³anie przypisu,Odwołanie przypisu,Footnote Reference Number,EN Footnote Reference,Times 10 Point,Exposant 3 Point,Footnote symbol,Footnote reference number,note TESI,stylish,SUPERS,Footnote number,Ref,de nota al pie,number"/>
    <w:uiPriority w:val="99"/>
    <w:unhideWhenUsed/>
    <w:qFormat/>
    <w:rsid w:val="003A3050"/>
    <w:rPr>
      <w:vertAlign w:val="superscript"/>
    </w:rPr>
  </w:style>
  <w:style w:type="character" w:styleId="Hipercze">
    <w:name w:val="Hyperlink"/>
    <w:basedOn w:val="Domylnaczcionkaakapitu"/>
    <w:uiPriority w:val="99"/>
    <w:unhideWhenUsed/>
    <w:rsid w:val="003A3050"/>
    <w:rPr>
      <w:color w:val="0000FF"/>
      <w:u w:val="single"/>
    </w:rPr>
  </w:style>
  <w:style w:type="paragraph" w:styleId="Bezodstpw">
    <w:name w:val="No Spacing"/>
    <w:link w:val="BezodstpwZnak"/>
    <w:rsid w:val="00436D37"/>
    <w:pPr>
      <w:spacing w:after="0"/>
      <w:ind w:firstLine="284"/>
      <w:jc w:val="both"/>
    </w:pPr>
    <w:rPr>
      <w:rFonts w:ascii="Arial" w:hAnsi="Arial"/>
    </w:rPr>
  </w:style>
  <w:style w:type="character" w:customStyle="1" w:styleId="BezodstpwZnak">
    <w:name w:val="Bez odstępów Znak"/>
    <w:basedOn w:val="Domylnaczcionkaakapitu"/>
    <w:link w:val="Bezodstpw"/>
    <w:qFormat/>
    <w:rsid w:val="00436D37"/>
    <w:rPr>
      <w:rFonts w:ascii="Arial" w:hAnsi="Arial"/>
    </w:rPr>
  </w:style>
  <w:style w:type="paragraph" w:styleId="Legenda">
    <w:name w:val="caption"/>
    <w:aliases w:val="PRZYPIS"/>
    <w:basedOn w:val="Tekstprzypisudolnego"/>
    <w:next w:val="Normalny"/>
    <w:link w:val="LegendaZnak"/>
    <w:autoRedefine/>
    <w:unhideWhenUsed/>
    <w:rsid w:val="00AA1001"/>
    <w:pPr>
      <w:keepNext/>
      <w:ind w:firstLine="0"/>
      <w:jc w:val="left"/>
    </w:pPr>
    <w:rPr>
      <w:color w:val="auto"/>
    </w:rPr>
  </w:style>
  <w:style w:type="character" w:customStyle="1" w:styleId="LegendaZnak">
    <w:name w:val="Legenda Znak"/>
    <w:aliases w:val="PRZYPIS Znak"/>
    <w:link w:val="Legenda"/>
    <w:rsid w:val="00AA1001"/>
    <w:rPr>
      <w:sz w:val="20"/>
      <w:szCs w:val="20"/>
    </w:rPr>
  </w:style>
  <w:style w:type="paragraph" w:styleId="Tekstdymka">
    <w:name w:val="Balloon Text"/>
    <w:basedOn w:val="Normalny"/>
    <w:link w:val="TekstdymkaZnak"/>
    <w:uiPriority w:val="99"/>
    <w:semiHidden/>
    <w:unhideWhenUsed/>
    <w:rsid w:val="008B6D06"/>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B6D06"/>
    <w:rPr>
      <w:rFonts w:ascii="Tahoma" w:hAnsi="Tahoma" w:cs="Tahoma"/>
      <w:sz w:val="16"/>
      <w:szCs w:val="16"/>
    </w:rPr>
  </w:style>
  <w:style w:type="paragraph" w:styleId="Akapitzlist">
    <w:name w:val="List Paragraph"/>
    <w:aliases w:val="L1,Akapit z listą5,EPL lista punktowana z wyrózneniem,Akapit z listą BS,Tytuł rysunków,Sl_Akapit z listą,lubu 1)_wypkt.,K-P_odwolanie,Lublin_odwolanie,opis dzialania,maz_wyliczenie,A_wyliczenie,normalny tekst,CW_Lista,Numerowanie,BulletC"/>
    <w:basedOn w:val="Normalny"/>
    <w:link w:val="AkapitzlistZnak"/>
    <w:uiPriority w:val="34"/>
    <w:qFormat/>
    <w:rsid w:val="00AF6B37"/>
    <w:pPr>
      <w:ind w:left="720"/>
      <w:contextualSpacing/>
    </w:pPr>
  </w:style>
  <w:style w:type="paragraph" w:customStyle="1" w:styleId="Default">
    <w:name w:val="Default"/>
    <w:rsid w:val="00AF6B37"/>
    <w:pPr>
      <w:autoSpaceDE w:val="0"/>
      <w:autoSpaceDN w:val="0"/>
      <w:adjustRightInd w:val="0"/>
      <w:spacing w:after="0" w:line="240" w:lineRule="auto"/>
    </w:pPr>
    <w:rPr>
      <w:rFonts w:ascii="Times New Roman" w:eastAsia="Calibri" w:hAnsi="Times New Roman" w:cs="Times New Roman"/>
      <w:color w:val="000000"/>
      <w:sz w:val="24"/>
      <w:szCs w:val="24"/>
      <w:lang w:eastAsia="pl-PL"/>
    </w:rPr>
  </w:style>
  <w:style w:type="character" w:customStyle="1" w:styleId="st">
    <w:name w:val="st"/>
    <w:rsid w:val="00B50873"/>
  </w:style>
  <w:style w:type="paragraph" w:customStyle="1" w:styleId="Tekstprzypisudolnego1">
    <w:name w:val="Tekst przypisu dolnego1"/>
    <w:basedOn w:val="Normalny"/>
    <w:next w:val="Tekstprzypisudolnego"/>
    <w:uiPriority w:val="99"/>
    <w:unhideWhenUsed/>
    <w:rsid w:val="00010119"/>
    <w:pPr>
      <w:spacing w:line="240" w:lineRule="auto"/>
    </w:pPr>
    <w:rPr>
      <w:rFonts w:eastAsia="Calibri"/>
      <w:color w:val="auto"/>
      <w:sz w:val="20"/>
      <w:szCs w:val="20"/>
    </w:rPr>
  </w:style>
  <w:style w:type="character" w:customStyle="1" w:styleId="TekstprzypisudolnegoZnak1">
    <w:name w:val="Tekst przypisu dolnego Znak1"/>
    <w:basedOn w:val="Domylnaczcionkaakapitu"/>
    <w:uiPriority w:val="99"/>
    <w:semiHidden/>
    <w:rsid w:val="00010119"/>
    <w:rPr>
      <w:rFonts w:ascii="Arial" w:eastAsiaTheme="minorEastAsia" w:hAnsi="Arial"/>
      <w:sz w:val="20"/>
      <w:szCs w:val="20"/>
      <w:lang w:eastAsia="pl-PL"/>
    </w:rPr>
  </w:style>
  <w:style w:type="character" w:styleId="Pogrubienie">
    <w:name w:val="Strong"/>
    <w:basedOn w:val="Domylnaczcionkaakapitu"/>
    <w:uiPriority w:val="22"/>
    <w:qFormat/>
    <w:rsid w:val="0057305E"/>
    <w:rPr>
      <w:b/>
      <w:bCs/>
    </w:rPr>
  </w:style>
  <w:style w:type="table" w:styleId="Tabela-Siatka">
    <w:name w:val="Table Grid"/>
    <w:basedOn w:val="Standardowy"/>
    <w:uiPriority w:val="39"/>
    <w:rsid w:val="002661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dpis1">
    <w:name w:val="Podpis1"/>
    <w:basedOn w:val="Normalny"/>
    <w:rsid w:val="00BB5914"/>
    <w:pPr>
      <w:suppressLineNumbers/>
      <w:suppressAutoHyphens/>
      <w:spacing w:before="120" w:after="120"/>
    </w:pPr>
    <w:rPr>
      <w:rFonts w:ascii="Calibri" w:eastAsia="SimSun" w:hAnsi="Calibri" w:cs="Mangal"/>
      <w:i/>
      <w:iCs/>
      <w:color w:val="auto"/>
      <w:sz w:val="24"/>
      <w:szCs w:val="24"/>
      <w:lang w:eastAsia="ar-SA"/>
    </w:rPr>
  </w:style>
  <w:style w:type="paragraph" w:styleId="NormalnyWeb">
    <w:name w:val="Normal (Web)"/>
    <w:basedOn w:val="Normalny"/>
    <w:uiPriority w:val="99"/>
    <w:unhideWhenUsed/>
    <w:rsid w:val="004C2C57"/>
    <w:pP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character" w:customStyle="1" w:styleId="apple-converted-space">
    <w:name w:val="apple-converted-space"/>
    <w:rsid w:val="004C2C57"/>
  </w:style>
  <w:style w:type="character" w:styleId="Uwydatnienie">
    <w:name w:val="Emphasis"/>
    <w:uiPriority w:val="20"/>
    <w:rsid w:val="00282F51"/>
    <w:rPr>
      <w:i/>
      <w:iCs/>
    </w:rPr>
  </w:style>
  <w:style w:type="paragraph" w:styleId="Nagwek">
    <w:name w:val="header"/>
    <w:basedOn w:val="Normalny"/>
    <w:link w:val="NagwekZnak"/>
    <w:uiPriority w:val="99"/>
    <w:unhideWhenUsed/>
    <w:rsid w:val="007F3E1B"/>
    <w:pPr>
      <w:tabs>
        <w:tab w:val="center" w:pos="4536"/>
        <w:tab w:val="right" w:pos="9072"/>
      </w:tabs>
      <w:spacing w:line="240" w:lineRule="auto"/>
    </w:pPr>
  </w:style>
  <w:style w:type="character" w:customStyle="1" w:styleId="NagwekZnak">
    <w:name w:val="Nagłówek Znak"/>
    <w:basedOn w:val="Domylnaczcionkaakapitu"/>
    <w:link w:val="Nagwek"/>
    <w:uiPriority w:val="99"/>
    <w:rsid w:val="007F3E1B"/>
    <w:rPr>
      <w:rFonts w:ascii="Arial" w:hAnsi="Arial"/>
      <w:color w:val="000000" w:themeColor="text1"/>
    </w:rPr>
  </w:style>
  <w:style w:type="paragraph" w:styleId="Stopka">
    <w:name w:val="footer"/>
    <w:basedOn w:val="Normalny"/>
    <w:link w:val="StopkaZnak"/>
    <w:uiPriority w:val="99"/>
    <w:unhideWhenUsed/>
    <w:rsid w:val="007F3E1B"/>
    <w:pPr>
      <w:tabs>
        <w:tab w:val="center" w:pos="4536"/>
        <w:tab w:val="right" w:pos="9072"/>
      </w:tabs>
      <w:spacing w:line="240" w:lineRule="auto"/>
    </w:pPr>
  </w:style>
  <w:style w:type="character" w:customStyle="1" w:styleId="StopkaZnak">
    <w:name w:val="Stopka Znak"/>
    <w:basedOn w:val="Domylnaczcionkaakapitu"/>
    <w:link w:val="Stopka"/>
    <w:uiPriority w:val="99"/>
    <w:rsid w:val="007F3E1B"/>
    <w:rPr>
      <w:rFonts w:ascii="Arial" w:hAnsi="Arial"/>
      <w:color w:val="000000" w:themeColor="text1"/>
    </w:rPr>
  </w:style>
  <w:style w:type="paragraph" w:styleId="Nagwekspisutreci">
    <w:name w:val="TOC Heading"/>
    <w:basedOn w:val="Nagwek1"/>
    <w:next w:val="Normalny"/>
    <w:uiPriority w:val="39"/>
    <w:unhideWhenUsed/>
    <w:rsid w:val="007F3E1B"/>
    <w:pPr>
      <w:spacing w:before="480"/>
      <w:outlineLvl w:val="9"/>
    </w:pPr>
    <w:rPr>
      <w:rFonts w:asciiTheme="majorHAnsi" w:hAnsiTheme="majorHAnsi"/>
      <w:color w:val="49671E" w:themeColor="accent1" w:themeShade="BF"/>
      <w:sz w:val="28"/>
      <w:lang w:eastAsia="pl-PL"/>
    </w:rPr>
  </w:style>
  <w:style w:type="paragraph" w:styleId="Spistreci1">
    <w:name w:val="toc 1"/>
    <w:basedOn w:val="Normalny"/>
    <w:next w:val="Normalny"/>
    <w:autoRedefine/>
    <w:uiPriority w:val="39"/>
    <w:unhideWhenUsed/>
    <w:rsid w:val="001356D3"/>
    <w:pPr>
      <w:tabs>
        <w:tab w:val="right" w:leader="dot" w:pos="9062"/>
      </w:tabs>
      <w:spacing w:after="100"/>
    </w:pPr>
    <w:rPr>
      <w:b/>
      <w:i/>
      <w:noProof/>
    </w:rPr>
  </w:style>
  <w:style w:type="paragraph" w:styleId="Spistreci2">
    <w:name w:val="toc 2"/>
    <w:basedOn w:val="Normalny"/>
    <w:next w:val="Normalny"/>
    <w:autoRedefine/>
    <w:uiPriority w:val="39"/>
    <w:unhideWhenUsed/>
    <w:rsid w:val="007F3E1B"/>
    <w:pPr>
      <w:spacing w:after="100"/>
      <w:ind w:left="220"/>
    </w:pPr>
  </w:style>
  <w:style w:type="paragraph" w:styleId="Spistreci3">
    <w:name w:val="toc 3"/>
    <w:basedOn w:val="Normalny"/>
    <w:next w:val="Normalny"/>
    <w:autoRedefine/>
    <w:uiPriority w:val="39"/>
    <w:unhideWhenUsed/>
    <w:rsid w:val="007F3E1B"/>
    <w:pPr>
      <w:spacing w:after="100"/>
      <w:ind w:left="440"/>
    </w:pPr>
  </w:style>
  <w:style w:type="paragraph" w:styleId="Spisilustracji">
    <w:name w:val="table of figures"/>
    <w:basedOn w:val="Normalny"/>
    <w:next w:val="Normalny"/>
    <w:uiPriority w:val="99"/>
    <w:unhideWhenUsed/>
    <w:rsid w:val="007F3E1B"/>
  </w:style>
  <w:style w:type="table" w:customStyle="1" w:styleId="Tabela-Siatka2">
    <w:name w:val="Tabela - Siatka2"/>
    <w:basedOn w:val="Standardowy"/>
    <w:next w:val="Tabela-Siatka"/>
    <w:uiPriority w:val="59"/>
    <w:rsid w:val="004C3B6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kocowego">
    <w:name w:val="endnote text"/>
    <w:basedOn w:val="Normalny"/>
    <w:link w:val="TekstprzypisukocowegoZnak"/>
    <w:uiPriority w:val="99"/>
    <w:semiHidden/>
    <w:unhideWhenUsed/>
    <w:rsid w:val="00F530BC"/>
    <w:pPr>
      <w:spacing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F530BC"/>
    <w:rPr>
      <w:rFonts w:ascii="Arial" w:hAnsi="Arial"/>
      <w:color w:val="000000" w:themeColor="text1"/>
      <w:sz w:val="20"/>
      <w:szCs w:val="20"/>
    </w:rPr>
  </w:style>
  <w:style w:type="character" w:styleId="Odwoanieprzypisukocowego">
    <w:name w:val="endnote reference"/>
    <w:basedOn w:val="Domylnaczcionkaakapitu"/>
    <w:uiPriority w:val="99"/>
    <w:semiHidden/>
    <w:unhideWhenUsed/>
    <w:rsid w:val="00F530BC"/>
    <w:rPr>
      <w:vertAlign w:val="superscript"/>
    </w:rPr>
  </w:style>
  <w:style w:type="table" w:customStyle="1" w:styleId="Tabela-Siatka1">
    <w:name w:val="Tabela - Siatka1"/>
    <w:basedOn w:val="Standardowy"/>
    <w:next w:val="Tabela-Siatka"/>
    <w:uiPriority w:val="59"/>
    <w:rsid w:val="002A0D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2">
    <w:name w:val="w2"/>
    <w:basedOn w:val="Domylnaczcionkaakapitu"/>
    <w:rsid w:val="00521B3B"/>
  </w:style>
  <w:style w:type="paragraph" w:styleId="Tekstpodstawowy3">
    <w:name w:val="Body Text 3"/>
    <w:basedOn w:val="Normalny"/>
    <w:link w:val="Tekstpodstawowy3Znak"/>
    <w:rsid w:val="0032488E"/>
    <w:pPr>
      <w:widowControl w:val="0"/>
      <w:spacing w:line="240" w:lineRule="auto"/>
    </w:pPr>
    <w:rPr>
      <w:rFonts w:eastAsia="Times New Roman" w:cs="Times New Roman"/>
      <w:color w:val="auto"/>
      <w:sz w:val="20"/>
      <w:szCs w:val="20"/>
    </w:rPr>
  </w:style>
  <w:style w:type="character" w:customStyle="1" w:styleId="Tekstpodstawowy3Znak">
    <w:name w:val="Tekst podstawowy 3 Znak"/>
    <w:basedOn w:val="Domylnaczcionkaakapitu"/>
    <w:link w:val="Tekstpodstawowy3"/>
    <w:rsid w:val="0032488E"/>
    <w:rPr>
      <w:rFonts w:ascii="Arial" w:eastAsia="Times New Roman" w:hAnsi="Arial" w:cs="Times New Roman"/>
      <w:sz w:val="20"/>
      <w:szCs w:val="20"/>
    </w:rPr>
  </w:style>
  <w:style w:type="paragraph" w:styleId="Tekstpodstawowy">
    <w:name w:val="Body Text"/>
    <w:basedOn w:val="Normalny"/>
    <w:link w:val="TekstpodstawowyZnak"/>
    <w:uiPriority w:val="99"/>
    <w:semiHidden/>
    <w:unhideWhenUsed/>
    <w:rsid w:val="00E70585"/>
    <w:pPr>
      <w:spacing w:after="120"/>
    </w:pPr>
  </w:style>
  <w:style w:type="character" w:customStyle="1" w:styleId="TekstpodstawowyZnak">
    <w:name w:val="Tekst podstawowy Znak"/>
    <w:basedOn w:val="Domylnaczcionkaakapitu"/>
    <w:link w:val="Tekstpodstawowy"/>
    <w:uiPriority w:val="99"/>
    <w:semiHidden/>
    <w:rsid w:val="00E70585"/>
    <w:rPr>
      <w:rFonts w:ascii="Arial" w:hAnsi="Arial"/>
      <w:color w:val="000000" w:themeColor="text1"/>
    </w:rPr>
  </w:style>
  <w:style w:type="paragraph" w:customStyle="1" w:styleId="1">
    <w:name w:val="1"/>
    <w:basedOn w:val="Normalny"/>
    <w:rsid w:val="00E70585"/>
    <w:pPr>
      <w:widowControl w:val="0"/>
      <w:spacing w:line="360" w:lineRule="auto"/>
      <w:ind w:left="360" w:hanging="360"/>
    </w:pPr>
    <w:rPr>
      <w:rFonts w:ascii="Times New Roman" w:eastAsia="Times New Roman" w:hAnsi="Times New Roman" w:cs="Times New Roman"/>
      <w:color w:val="auto"/>
      <w:sz w:val="24"/>
      <w:szCs w:val="24"/>
      <w:lang w:eastAsia="pl-PL"/>
    </w:rPr>
  </w:style>
  <w:style w:type="character" w:customStyle="1" w:styleId="a9c850d23acbe4ed5b27604ff79f1bcd289">
    <w:name w:val="a9c850d23acbe4ed5b27604ff79f1bcd289"/>
    <w:rsid w:val="001776B4"/>
  </w:style>
  <w:style w:type="paragraph" w:styleId="Tekstpodstawowywcity">
    <w:name w:val="Body Text Indent"/>
    <w:basedOn w:val="Normalny"/>
    <w:link w:val="TekstpodstawowywcityZnak"/>
    <w:unhideWhenUsed/>
    <w:rsid w:val="001776B4"/>
    <w:pPr>
      <w:spacing w:after="120"/>
      <w:ind w:left="283"/>
    </w:pPr>
  </w:style>
  <w:style w:type="character" w:customStyle="1" w:styleId="TekstpodstawowywcityZnak">
    <w:name w:val="Tekst podstawowy wcięty Znak"/>
    <w:basedOn w:val="Domylnaczcionkaakapitu"/>
    <w:link w:val="Tekstpodstawowywcity"/>
    <w:rsid w:val="001776B4"/>
    <w:rPr>
      <w:rFonts w:ascii="Arial" w:hAnsi="Arial"/>
      <w:color w:val="000000" w:themeColor="text1"/>
    </w:rPr>
  </w:style>
  <w:style w:type="character" w:customStyle="1" w:styleId="a-norm">
    <w:name w:val="a-norm"/>
    <w:basedOn w:val="Domylnaczcionkaakapitu"/>
    <w:rsid w:val="001776B4"/>
  </w:style>
  <w:style w:type="character" w:customStyle="1" w:styleId="a-tooltip-available">
    <w:name w:val="a-tooltip-available"/>
    <w:basedOn w:val="Domylnaczcionkaakapitu"/>
    <w:rsid w:val="001776B4"/>
  </w:style>
  <w:style w:type="character" w:customStyle="1" w:styleId="TekstkomentarzaZnak">
    <w:name w:val="Tekst komentarza Znak"/>
    <w:basedOn w:val="Domylnaczcionkaakapitu"/>
    <w:link w:val="Tekstkomentarza"/>
    <w:uiPriority w:val="99"/>
    <w:rsid w:val="001776B4"/>
    <w:rPr>
      <w:rFonts w:ascii="Arial" w:hAnsi="Arial"/>
      <w:color w:val="000000" w:themeColor="text1"/>
      <w:sz w:val="20"/>
      <w:szCs w:val="20"/>
    </w:rPr>
  </w:style>
  <w:style w:type="paragraph" w:styleId="Tekstkomentarza">
    <w:name w:val="annotation text"/>
    <w:basedOn w:val="Normalny"/>
    <w:link w:val="TekstkomentarzaZnak"/>
    <w:uiPriority w:val="99"/>
    <w:unhideWhenUsed/>
    <w:rsid w:val="001776B4"/>
    <w:pPr>
      <w:spacing w:line="240" w:lineRule="auto"/>
    </w:pPr>
    <w:rPr>
      <w:sz w:val="20"/>
      <w:szCs w:val="20"/>
    </w:rPr>
  </w:style>
  <w:style w:type="character" w:customStyle="1" w:styleId="TematkomentarzaZnak">
    <w:name w:val="Temat komentarza Znak"/>
    <w:basedOn w:val="TekstkomentarzaZnak"/>
    <w:link w:val="Tematkomentarza"/>
    <w:uiPriority w:val="99"/>
    <w:semiHidden/>
    <w:rsid w:val="001776B4"/>
    <w:rPr>
      <w:rFonts w:ascii="Arial" w:hAnsi="Arial"/>
      <w:b/>
      <w:bCs/>
      <w:color w:val="000000" w:themeColor="text1"/>
      <w:sz w:val="20"/>
      <w:szCs w:val="20"/>
    </w:rPr>
  </w:style>
  <w:style w:type="paragraph" w:styleId="Tematkomentarza">
    <w:name w:val="annotation subject"/>
    <w:basedOn w:val="Tekstkomentarza"/>
    <w:next w:val="Tekstkomentarza"/>
    <w:link w:val="TematkomentarzaZnak"/>
    <w:uiPriority w:val="99"/>
    <w:semiHidden/>
    <w:unhideWhenUsed/>
    <w:rsid w:val="001776B4"/>
    <w:rPr>
      <w:b/>
      <w:bCs/>
    </w:rPr>
  </w:style>
  <w:style w:type="character" w:customStyle="1" w:styleId="opis">
    <w:name w:val="opis"/>
    <w:basedOn w:val="Domylnaczcionkaakapitu"/>
    <w:rsid w:val="001776B4"/>
  </w:style>
  <w:style w:type="paragraph" w:customStyle="1" w:styleId="Standard">
    <w:name w:val="Standard"/>
    <w:basedOn w:val="Normalny"/>
    <w:rsid w:val="00841E96"/>
    <w:pPr>
      <w:tabs>
        <w:tab w:val="left" w:pos="658"/>
      </w:tabs>
      <w:spacing w:line="336" w:lineRule="auto"/>
      <w:ind w:firstLine="851"/>
    </w:pPr>
    <w:rPr>
      <w:rFonts w:ascii="Times New Roman" w:eastAsia="Times New Roman" w:hAnsi="Times New Roman" w:cs="Times New Roman"/>
      <w:color w:val="auto"/>
      <w:sz w:val="24"/>
      <w:szCs w:val="20"/>
      <w:lang w:eastAsia="pl-PL"/>
    </w:rPr>
  </w:style>
  <w:style w:type="character" w:customStyle="1" w:styleId="Tekst3Znak2">
    <w:name w:val="Tekst 3 Znak2"/>
    <w:basedOn w:val="Domylnaczcionkaakapitu"/>
    <w:link w:val="Tekst3"/>
    <w:locked/>
    <w:rsid w:val="007A1BDF"/>
    <w:rPr>
      <w:rFonts w:cs="Arial"/>
      <w:bCs/>
      <w:szCs w:val="26"/>
      <w:lang w:eastAsia="pl-PL"/>
    </w:rPr>
  </w:style>
  <w:style w:type="paragraph" w:customStyle="1" w:styleId="Tekst3">
    <w:name w:val="Tekst 3"/>
    <w:basedOn w:val="Nagwek3"/>
    <w:link w:val="Tekst3Znak2"/>
    <w:rsid w:val="007A1BDF"/>
    <w:pPr>
      <w:keepNext w:val="0"/>
      <w:keepLines w:val="0"/>
      <w:tabs>
        <w:tab w:val="left" w:pos="1077"/>
      </w:tabs>
      <w:spacing w:line="240" w:lineRule="auto"/>
      <w:ind w:left="397" w:firstLine="567"/>
    </w:pPr>
    <w:rPr>
      <w:rFonts w:eastAsiaTheme="minorHAnsi" w:cs="Arial"/>
      <w:b w:val="0"/>
      <w:color w:val="auto"/>
      <w:sz w:val="22"/>
      <w:szCs w:val="26"/>
    </w:rPr>
  </w:style>
  <w:style w:type="character" w:styleId="Odwoaniedokomentarza">
    <w:name w:val="annotation reference"/>
    <w:basedOn w:val="Domylnaczcionkaakapitu"/>
    <w:uiPriority w:val="99"/>
    <w:semiHidden/>
    <w:unhideWhenUsed/>
    <w:rsid w:val="00506075"/>
    <w:rPr>
      <w:sz w:val="16"/>
      <w:szCs w:val="16"/>
    </w:rPr>
  </w:style>
  <w:style w:type="character" w:customStyle="1" w:styleId="AkapitzlistZnak">
    <w:name w:val="Akapit z listą Znak"/>
    <w:aliases w:val="L1 Znak,Akapit z listą5 Znak,EPL lista punktowana z wyrózneniem Znak,Akapit z listą BS Znak,Tytuł rysunków Znak,Sl_Akapit z listą Znak,lubu 1)_wypkt. Znak,K-P_odwolanie Znak,Lublin_odwolanie Znak,opis dzialania Znak,A_wyliczenie Znak"/>
    <w:basedOn w:val="Domylnaczcionkaakapitu"/>
    <w:link w:val="Akapitzlist"/>
    <w:uiPriority w:val="34"/>
    <w:qFormat/>
    <w:rsid w:val="002E348D"/>
    <w:rPr>
      <w:rFonts w:ascii="Arial" w:hAnsi="Arial"/>
      <w:color w:val="000000" w:themeColor="text1"/>
    </w:rPr>
  </w:style>
  <w:style w:type="paragraph" w:customStyle="1" w:styleId="Legenda5">
    <w:name w:val="Legenda5"/>
    <w:basedOn w:val="Normalny"/>
    <w:next w:val="Normalny"/>
    <w:rsid w:val="004E7A1A"/>
    <w:pPr>
      <w:suppressAutoHyphens/>
    </w:pPr>
    <w:rPr>
      <w:rFonts w:ascii="Arial Narrow" w:eastAsia="Calibri" w:hAnsi="Arial Narrow" w:cs="Arial Narrow"/>
      <w:b/>
      <w:bCs/>
      <w:color w:val="auto"/>
      <w:sz w:val="20"/>
      <w:szCs w:val="20"/>
      <w:lang w:eastAsia="ar-SA"/>
    </w:rPr>
  </w:style>
  <w:style w:type="paragraph" w:customStyle="1" w:styleId="Legenda1">
    <w:name w:val="Legenda1"/>
    <w:basedOn w:val="Normalny"/>
    <w:next w:val="Normalny"/>
    <w:rsid w:val="00E722D6"/>
    <w:pPr>
      <w:suppressAutoHyphens/>
      <w:spacing w:line="240" w:lineRule="auto"/>
    </w:pPr>
    <w:rPr>
      <w:rFonts w:ascii="Arial Narrow" w:eastAsia="Calibri" w:hAnsi="Arial Narrow" w:cs="Arial Narrow"/>
      <w:b/>
      <w:bCs/>
      <w:color w:val="auto"/>
      <w:sz w:val="18"/>
      <w:szCs w:val="18"/>
      <w:lang w:eastAsia="ar-SA"/>
    </w:rPr>
  </w:style>
  <w:style w:type="table" w:customStyle="1" w:styleId="Jasnecieniowanie1">
    <w:name w:val="Jasne cieniowanie1"/>
    <w:basedOn w:val="Standardowy"/>
    <w:uiPriority w:val="60"/>
    <w:rsid w:val="00CC178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ox-2d1f4323ab-msonormal">
    <w:name w:val="ox-2d1f4323ab-msonormal"/>
    <w:basedOn w:val="Normalny"/>
    <w:rsid w:val="00C10784"/>
    <w:pP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table" w:styleId="Jasnalistaakcent3">
    <w:name w:val="Light List Accent 3"/>
    <w:basedOn w:val="Standardowy"/>
    <w:uiPriority w:val="61"/>
    <w:rsid w:val="006B72E5"/>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tblBorders>
    </w:tblPr>
    <w:tblStylePr w:type="firstRow">
      <w:pPr>
        <w:spacing w:before="0" w:after="0" w:line="240" w:lineRule="auto"/>
      </w:pPr>
      <w:rPr>
        <w:b/>
        <w:bCs/>
        <w:color w:val="FFFFFF" w:themeColor="background1"/>
      </w:rPr>
      <w:tblPr/>
      <w:tcPr>
        <w:shd w:val="clear" w:color="auto" w:fill="9DA321" w:themeFill="accent3"/>
      </w:tcPr>
    </w:tblStylePr>
    <w:tblStylePr w:type="lastRow">
      <w:pPr>
        <w:spacing w:before="0" w:after="0" w:line="240" w:lineRule="auto"/>
      </w:pPr>
      <w:rPr>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tcBorders>
      </w:tcPr>
    </w:tblStylePr>
    <w:tblStylePr w:type="firstCol">
      <w:rPr>
        <w:b/>
        <w:bCs/>
      </w:rPr>
    </w:tblStylePr>
    <w:tblStylePr w:type="lastCol">
      <w:rPr>
        <w:b/>
        <w:bCs/>
      </w:r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style>
  <w:style w:type="table" w:customStyle="1" w:styleId="Jasnalista1">
    <w:name w:val="Jasna lista1"/>
    <w:basedOn w:val="Standardowy"/>
    <w:uiPriority w:val="61"/>
    <w:rsid w:val="006B72E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Podtytu">
    <w:name w:val="Subtitle"/>
    <w:basedOn w:val="Normalny"/>
    <w:next w:val="Normalny"/>
    <w:link w:val="PodtytuZnak"/>
    <w:uiPriority w:val="11"/>
    <w:rsid w:val="00E62F04"/>
    <w:pPr>
      <w:numPr>
        <w:ilvl w:val="1"/>
      </w:numPr>
      <w:ind w:firstLine="284"/>
    </w:pPr>
    <w:rPr>
      <w:rFonts w:asciiTheme="majorHAnsi" w:eastAsiaTheme="majorEastAsia" w:hAnsiTheme="majorHAnsi" w:cstheme="majorBidi"/>
      <w:i/>
      <w:iCs/>
      <w:color w:val="638A29" w:themeColor="accent1"/>
      <w:spacing w:val="15"/>
      <w:sz w:val="24"/>
      <w:szCs w:val="24"/>
    </w:rPr>
  </w:style>
  <w:style w:type="character" w:customStyle="1" w:styleId="PodtytuZnak">
    <w:name w:val="Podtytuł Znak"/>
    <w:basedOn w:val="Domylnaczcionkaakapitu"/>
    <w:link w:val="Podtytu"/>
    <w:uiPriority w:val="11"/>
    <w:rsid w:val="00E62F04"/>
    <w:rPr>
      <w:rFonts w:asciiTheme="majorHAnsi" w:eastAsiaTheme="majorEastAsia" w:hAnsiTheme="majorHAnsi" w:cstheme="majorBidi"/>
      <w:i/>
      <w:iCs/>
      <w:color w:val="638A29" w:themeColor="accent1"/>
      <w:spacing w:val="15"/>
      <w:sz w:val="24"/>
      <w:szCs w:val="24"/>
    </w:rPr>
  </w:style>
  <w:style w:type="character" w:styleId="Tekstzastpczy">
    <w:name w:val="Placeholder Text"/>
    <w:basedOn w:val="Domylnaczcionkaakapitu"/>
    <w:uiPriority w:val="99"/>
    <w:semiHidden/>
    <w:rsid w:val="00F0026B"/>
    <w:rPr>
      <w:color w:val="808080"/>
    </w:rPr>
  </w:style>
  <w:style w:type="paragraph" w:customStyle="1" w:styleId="wynos">
    <w:name w:val="wynos"/>
    <w:basedOn w:val="Normalny"/>
    <w:rsid w:val="00781B3C"/>
    <w:pPr>
      <w:suppressAutoHyphens/>
      <w:spacing w:line="240" w:lineRule="auto"/>
      <w:ind w:firstLine="720"/>
    </w:pPr>
    <w:rPr>
      <w:rFonts w:ascii="Times New Roman" w:eastAsia="Times New Roman" w:hAnsi="Times New Roman" w:cs="Times New Roman"/>
      <w:color w:val="auto"/>
      <w:szCs w:val="20"/>
    </w:rPr>
  </w:style>
  <w:style w:type="table" w:customStyle="1" w:styleId="Tabelasiatki4akcent61">
    <w:name w:val="Tabela siatki 4 — akcent 61"/>
    <w:basedOn w:val="Standardowy"/>
    <w:uiPriority w:val="49"/>
    <w:rsid w:val="000C63A9"/>
    <w:pPr>
      <w:spacing w:after="0" w:line="240" w:lineRule="auto"/>
    </w:pPr>
    <w:tblPr>
      <w:tblStyleRowBandSize w:val="1"/>
      <w:tblStyleColBandSize w:val="1"/>
      <w:tblBorders>
        <w:top w:val="single" w:sz="4" w:space="0" w:color="DAE6C2" w:themeColor="accent6" w:themeTint="99"/>
        <w:left w:val="single" w:sz="4" w:space="0" w:color="DAE6C2" w:themeColor="accent6" w:themeTint="99"/>
        <w:bottom w:val="single" w:sz="4" w:space="0" w:color="DAE6C2" w:themeColor="accent6" w:themeTint="99"/>
        <w:right w:val="single" w:sz="4" w:space="0" w:color="DAE6C2" w:themeColor="accent6" w:themeTint="99"/>
        <w:insideH w:val="single" w:sz="4" w:space="0" w:color="DAE6C2" w:themeColor="accent6" w:themeTint="99"/>
        <w:insideV w:val="single" w:sz="4" w:space="0" w:color="DAE6C2" w:themeColor="accent6" w:themeTint="99"/>
      </w:tblBorders>
    </w:tblPr>
    <w:tblStylePr w:type="firstRow">
      <w:rPr>
        <w:b/>
        <w:bCs/>
        <w:color w:val="FFFFFF" w:themeColor="background1"/>
      </w:rPr>
      <w:tblPr/>
      <w:tcPr>
        <w:tcBorders>
          <w:top w:val="single" w:sz="4" w:space="0" w:color="C3D69B" w:themeColor="accent6"/>
          <w:left w:val="single" w:sz="4" w:space="0" w:color="C3D69B" w:themeColor="accent6"/>
          <w:bottom w:val="single" w:sz="4" w:space="0" w:color="C3D69B" w:themeColor="accent6"/>
          <w:right w:val="single" w:sz="4" w:space="0" w:color="C3D69B" w:themeColor="accent6"/>
          <w:insideH w:val="nil"/>
          <w:insideV w:val="nil"/>
        </w:tcBorders>
        <w:shd w:val="clear" w:color="auto" w:fill="C3D69B" w:themeFill="accent6"/>
      </w:tcPr>
    </w:tblStylePr>
    <w:tblStylePr w:type="lastRow">
      <w:rPr>
        <w:b/>
        <w:bCs/>
      </w:rPr>
      <w:tblPr/>
      <w:tcPr>
        <w:tcBorders>
          <w:top w:val="double" w:sz="4" w:space="0" w:color="C3D69B" w:themeColor="accent6"/>
        </w:tcBorders>
      </w:tcPr>
    </w:tblStylePr>
    <w:tblStylePr w:type="firstCol">
      <w:rPr>
        <w:b/>
        <w:bCs/>
      </w:rPr>
    </w:tblStylePr>
    <w:tblStylePr w:type="lastCol">
      <w:rPr>
        <w:b/>
        <w:bCs/>
      </w:rPr>
    </w:tblStylePr>
    <w:tblStylePr w:type="band1Vert">
      <w:tblPr/>
      <w:tcPr>
        <w:shd w:val="clear" w:color="auto" w:fill="F2F6EA" w:themeFill="accent6" w:themeFillTint="33"/>
      </w:tcPr>
    </w:tblStylePr>
    <w:tblStylePr w:type="band1Horz">
      <w:tblPr/>
      <w:tcPr>
        <w:shd w:val="clear" w:color="auto" w:fill="F2F6EA" w:themeFill="accent6" w:themeFillTint="33"/>
      </w:tcPr>
    </w:tblStylePr>
  </w:style>
  <w:style w:type="paragraph" w:customStyle="1" w:styleId="Bezodstpw1">
    <w:name w:val="Bez odstępów1"/>
    <w:rsid w:val="00AE59DD"/>
    <w:pPr>
      <w:suppressAutoHyphens/>
      <w:spacing w:after="0" w:line="100" w:lineRule="atLeast"/>
    </w:pPr>
    <w:rPr>
      <w:rFonts w:ascii="Arial" w:eastAsia="Lucida Sans Unicode" w:hAnsi="Arial" w:cs="font295"/>
      <w:kern w:val="1"/>
      <w:sz w:val="24"/>
      <w:lang w:eastAsia="ar-SA"/>
    </w:rPr>
  </w:style>
  <w:style w:type="character" w:customStyle="1" w:styleId="CytatZnak">
    <w:name w:val="Cytat Znak"/>
    <w:aliases w:val="Podpis źródło Znak"/>
    <w:basedOn w:val="Domylnaczcionkaakapitu"/>
    <w:link w:val="Cytat"/>
    <w:uiPriority w:val="29"/>
    <w:locked/>
    <w:rsid w:val="009A6A73"/>
    <w:rPr>
      <w:rFonts w:cstheme="minorHAnsi"/>
      <w:sz w:val="20"/>
      <w:szCs w:val="20"/>
      <w:lang w:eastAsia="ar-SA"/>
    </w:rPr>
  </w:style>
  <w:style w:type="paragraph" w:styleId="Cytat">
    <w:name w:val="Quote"/>
    <w:aliases w:val="Podpis źródło"/>
    <w:basedOn w:val="Normalny"/>
    <w:next w:val="Normalny"/>
    <w:link w:val="CytatZnak"/>
    <w:uiPriority w:val="29"/>
    <w:qFormat/>
    <w:rsid w:val="009A6A73"/>
    <w:pPr>
      <w:spacing w:line="240" w:lineRule="auto"/>
      <w:ind w:firstLine="0"/>
      <w:jc w:val="center"/>
    </w:pPr>
    <w:rPr>
      <w:rFonts w:cstheme="minorHAnsi"/>
      <w:color w:val="auto"/>
      <w:sz w:val="20"/>
      <w:szCs w:val="20"/>
      <w:lang w:eastAsia="ar-SA"/>
    </w:rPr>
  </w:style>
  <w:style w:type="character" w:customStyle="1" w:styleId="CytatZnak1">
    <w:name w:val="Cytat Znak1"/>
    <w:basedOn w:val="Domylnaczcionkaakapitu"/>
    <w:uiPriority w:val="29"/>
    <w:rsid w:val="000D1FF7"/>
    <w:rPr>
      <w:rFonts w:ascii="Arial" w:hAnsi="Arial"/>
      <w:i/>
      <w:iCs/>
      <w:color w:val="000000" w:themeColor="text1"/>
    </w:rPr>
  </w:style>
  <w:style w:type="character" w:customStyle="1" w:styleId="Nierozpoznanawzmianka1">
    <w:name w:val="Nierozpoznana wzmianka1"/>
    <w:basedOn w:val="Domylnaczcionkaakapitu"/>
    <w:uiPriority w:val="99"/>
    <w:semiHidden/>
    <w:unhideWhenUsed/>
    <w:rsid w:val="003A16E1"/>
    <w:rPr>
      <w:color w:val="605E5C"/>
      <w:shd w:val="clear" w:color="auto" w:fill="E1DFDD"/>
    </w:rPr>
  </w:style>
  <w:style w:type="table" w:styleId="Jasnecieniowanieakcent2">
    <w:name w:val="Light Shading Accent 2"/>
    <w:basedOn w:val="Standardowy"/>
    <w:uiPriority w:val="60"/>
    <w:rsid w:val="00E75927"/>
    <w:pPr>
      <w:spacing w:after="0" w:line="240" w:lineRule="auto"/>
    </w:pPr>
    <w:rPr>
      <w:color w:val="979D40" w:themeColor="accent2" w:themeShade="BF"/>
    </w:rPr>
    <w:tblPr>
      <w:tblStyleRowBandSize w:val="1"/>
      <w:tblStyleColBandSize w:val="1"/>
      <w:tblBorders>
        <w:top w:val="single" w:sz="8" w:space="0" w:color="BCC167" w:themeColor="accent2"/>
        <w:bottom w:val="single" w:sz="8" w:space="0" w:color="BCC167" w:themeColor="accent2"/>
      </w:tblBorders>
    </w:tblPr>
    <w:tblStylePr w:type="firstRow">
      <w:pPr>
        <w:spacing w:before="0" w:after="0" w:line="240" w:lineRule="auto"/>
      </w:pPr>
      <w:rPr>
        <w:b/>
        <w:bCs/>
      </w:rPr>
      <w:tblPr/>
      <w:tcPr>
        <w:tcBorders>
          <w:top w:val="single" w:sz="8" w:space="0" w:color="BCC167" w:themeColor="accent2"/>
          <w:left w:val="nil"/>
          <w:bottom w:val="single" w:sz="8" w:space="0" w:color="BCC167" w:themeColor="accent2"/>
          <w:right w:val="nil"/>
          <w:insideH w:val="nil"/>
          <w:insideV w:val="nil"/>
        </w:tcBorders>
      </w:tcPr>
    </w:tblStylePr>
    <w:tblStylePr w:type="lastRow">
      <w:pPr>
        <w:spacing w:before="0" w:after="0" w:line="240" w:lineRule="auto"/>
      </w:pPr>
      <w:rPr>
        <w:b/>
        <w:bCs/>
      </w:rPr>
      <w:tblPr/>
      <w:tcPr>
        <w:tcBorders>
          <w:top w:val="single" w:sz="8" w:space="0" w:color="BCC167" w:themeColor="accent2"/>
          <w:left w:val="nil"/>
          <w:bottom w:val="single" w:sz="8" w:space="0" w:color="BCC167"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EFD9" w:themeFill="accent2" w:themeFillTint="3F"/>
      </w:tcPr>
    </w:tblStylePr>
    <w:tblStylePr w:type="band1Horz">
      <w:tblPr/>
      <w:tcPr>
        <w:tcBorders>
          <w:left w:val="nil"/>
          <w:right w:val="nil"/>
          <w:insideH w:val="nil"/>
          <w:insideV w:val="nil"/>
        </w:tcBorders>
        <w:shd w:val="clear" w:color="auto" w:fill="EEEFD9" w:themeFill="accent2" w:themeFillTint="3F"/>
      </w:tcPr>
    </w:tblStylePr>
  </w:style>
  <w:style w:type="table" w:styleId="Jasnasiatkaakcent3">
    <w:name w:val="Light Grid Accent 3"/>
    <w:basedOn w:val="Standardowy"/>
    <w:uiPriority w:val="62"/>
    <w:rsid w:val="00FB61CE"/>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18" w:space="0" w:color="9DA321" w:themeColor="accent3"/>
          <w:right w:val="single" w:sz="8" w:space="0" w:color="9DA321" w:themeColor="accent3"/>
          <w:insideH w:val="nil"/>
          <w:insideV w:val="single" w:sz="8" w:space="0" w:color="9DA321"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shd w:val="clear" w:color="auto" w:fill="EFF2BE" w:themeFill="accent3" w:themeFillTint="3F"/>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shd w:val="clear" w:color="auto" w:fill="EFF2BE" w:themeFill="accent3" w:themeFillTint="3F"/>
      </w:tcPr>
    </w:tblStylePr>
    <w:tblStylePr w:type="band2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tcPr>
    </w:tblStylePr>
  </w:style>
  <w:style w:type="table" w:styleId="Jasnasiatkaakcent2">
    <w:name w:val="Light Grid Accent 2"/>
    <w:basedOn w:val="Standardowy"/>
    <w:uiPriority w:val="62"/>
    <w:rsid w:val="00E178CF"/>
    <w:pPr>
      <w:spacing w:after="0" w:line="240" w:lineRule="auto"/>
    </w:pPr>
    <w:tblPr>
      <w:tblStyleRowBandSize w:val="1"/>
      <w:tblStyleColBandSize w:val="1"/>
      <w:tblBorders>
        <w:top w:val="single" w:sz="8" w:space="0" w:color="BCC167" w:themeColor="accent2"/>
        <w:left w:val="single" w:sz="8" w:space="0" w:color="BCC167" w:themeColor="accent2"/>
        <w:bottom w:val="single" w:sz="8" w:space="0" w:color="BCC167" w:themeColor="accent2"/>
        <w:right w:val="single" w:sz="8" w:space="0" w:color="BCC167" w:themeColor="accent2"/>
        <w:insideH w:val="single" w:sz="8" w:space="0" w:color="BCC167" w:themeColor="accent2"/>
        <w:insideV w:val="single" w:sz="8" w:space="0" w:color="BCC167"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CC167" w:themeColor="accent2"/>
          <w:left w:val="single" w:sz="8" w:space="0" w:color="BCC167" w:themeColor="accent2"/>
          <w:bottom w:val="single" w:sz="18" w:space="0" w:color="BCC167" w:themeColor="accent2"/>
          <w:right w:val="single" w:sz="8" w:space="0" w:color="BCC167" w:themeColor="accent2"/>
          <w:insideH w:val="nil"/>
          <w:insideV w:val="single" w:sz="8" w:space="0" w:color="BCC167"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CC167" w:themeColor="accent2"/>
          <w:left w:val="single" w:sz="8" w:space="0" w:color="BCC167" w:themeColor="accent2"/>
          <w:bottom w:val="single" w:sz="8" w:space="0" w:color="BCC167" w:themeColor="accent2"/>
          <w:right w:val="single" w:sz="8" w:space="0" w:color="BCC167" w:themeColor="accent2"/>
          <w:insideH w:val="nil"/>
          <w:insideV w:val="single" w:sz="8" w:space="0" w:color="BCC167"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CC167" w:themeColor="accent2"/>
          <w:left w:val="single" w:sz="8" w:space="0" w:color="BCC167" w:themeColor="accent2"/>
          <w:bottom w:val="single" w:sz="8" w:space="0" w:color="BCC167" w:themeColor="accent2"/>
          <w:right w:val="single" w:sz="8" w:space="0" w:color="BCC167" w:themeColor="accent2"/>
        </w:tcBorders>
      </w:tcPr>
    </w:tblStylePr>
    <w:tblStylePr w:type="band1Vert">
      <w:tblPr/>
      <w:tcPr>
        <w:tcBorders>
          <w:top w:val="single" w:sz="8" w:space="0" w:color="BCC167" w:themeColor="accent2"/>
          <w:left w:val="single" w:sz="8" w:space="0" w:color="BCC167" w:themeColor="accent2"/>
          <w:bottom w:val="single" w:sz="8" w:space="0" w:color="BCC167" w:themeColor="accent2"/>
          <w:right w:val="single" w:sz="8" w:space="0" w:color="BCC167" w:themeColor="accent2"/>
        </w:tcBorders>
        <w:shd w:val="clear" w:color="auto" w:fill="EEEFD9" w:themeFill="accent2" w:themeFillTint="3F"/>
      </w:tcPr>
    </w:tblStylePr>
    <w:tblStylePr w:type="band1Horz">
      <w:tblPr/>
      <w:tcPr>
        <w:tcBorders>
          <w:top w:val="single" w:sz="8" w:space="0" w:color="BCC167" w:themeColor="accent2"/>
          <w:left w:val="single" w:sz="8" w:space="0" w:color="BCC167" w:themeColor="accent2"/>
          <w:bottom w:val="single" w:sz="8" w:space="0" w:color="BCC167" w:themeColor="accent2"/>
          <w:right w:val="single" w:sz="8" w:space="0" w:color="BCC167" w:themeColor="accent2"/>
          <w:insideV w:val="single" w:sz="8" w:space="0" w:color="BCC167" w:themeColor="accent2"/>
        </w:tcBorders>
        <w:shd w:val="clear" w:color="auto" w:fill="EEEFD9" w:themeFill="accent2" w:themeFillTint="3F"/>
      </w:tcPr>
    </w:tblStylePr>
    <w:tblStylePr w:type="band2Horz">
      <w:tblPr/>
      <w:tcPr>
        <w:tcBorders>
          <w:top w:val="single" w:sz="8" w:space="0" w:color="BCC167" w:themeColor="accent2"/>
          <w:left w:val="single" w:sz="8" w:space="0" w:color="BCC167" w:themeColor="accent2"/>
          <w:bottom w:val="single" w:sz="8" w:space="0" w:color="BCC167" w:themeColor="accent2"/>
          <w:right w:val="single" w:sz="8" w:space="0" w:color="BCC167" w:themeColor="accent2"/>
          <w:insideV w:val="single" w:sz="8" w:space="0" w:color="BCC167" w:themeColor="accent2"/>
        </w:tcBorders>
      </w:tcPr>
    </w:tblStylePr>
  </w:style>
  <w:style w:type="table" w:customStyle="1" w:styleId="Jasnecieniowanie11">
    <w:name w:val="Jasne cieniowanie11"/>
    <w:basedOn w:val="Standardowy"/>
    <w:next w:val="Jasnecieniowanie1"/>
    <w:uiPriority w:val="60"/>
    <w:rsid w:val="00F90F3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Nagwek5Znak">
    <w:name w:val="Nagłówek 5 Znak"/>
    <w:basedOn w:val="Domylnaczcionkaakapitu"/>
    <w:link w:val="Nagwek5"/>
    <w:uiPriority w:val="9"/>
    <w:rsid w:val="00C40DCD"/>
    <w:rPr>
      <w:rFonts w:asciiTheme="majorHAnsi" w:eastAsiaTheme="majorEastAsia" w:hAnsiTheme="majorHAnsi" w:cstheme="majorBidi"/>
      <w:color w:val="314414" w:themeColor="accent1" w:themeShade="7F"/>
    </w:rPr>
  </w:style>
  <w:style w:type="character" w:customStyle="1" w:styleId="Nagwek6Znak">
    <w:name w:val="Nagłówek 6 Znak"/>
    <w:basedOn w:val="Domylnaczcionkaakapitu"/>
    <w:link w:val="Nagwek6"/>
    <w:uiPriority w:val="9"/>
    <w:rsid w:val="00C40DCD"/>
    <w:rPr>
      <w:rFonts w:asciiTheme="majorHAnsi" w:eastAsiaTheme="majorEastAsia" w:hAnsiTheme="majorHAnsi" w:cstheme="majorBidi"/>
      <w:i/>
      <w:iCs/>
      <w:color w:val="314414" w:themeColor="accent1" w:themeShade="7F"/>
    </w:rPr>
  </w:style>
  <w:style w:type="character" w:customStyle="1" w:styleId="Nagwek7Znak">
    <w:name w:val="Nagłówek 7 Znak"/>
    <w:basedOn w:val="Domylnaczcionkaakapitu"/>
    <w:link w:val="Nagwek7"/>
    <w:uiPriority w:val="9"/>
    <w:semiHidden/>
    <w:rsid w:val="00C40DCD"/>
    <w:rPr>
      <w:rFonts w:asciiTheme="majorHAnsi" w:eastAsiaTheme="majorEastAsia" w:hAnsiTheme="majorHAnsi" w:cstheme="majorBidi"/>
      <w:i/>
      <w:iCs/>
      <w:color w:val="404040" w:themeColor="text1" w:themeTint="BF"/>
    </w:rPr>
  </w:style>
  <w:style w:type="character" w:customStyle="1" w:styleId="Nagwek9Znak">
    <w:name w:val="Nagłówek 9 Znak"/>
    <w:basedOn w:val="Domylnaczcionkaakapitu"/>
    <w:link w:val="Nagwek9"/>
    <w:uiPriority w:val="9"/>
    <w:semiHidden/>
    <w:rsid w:val="00C40DCD"/>
    <w:rPr>
      <w:rFonts w:asciiTheme="majorHAnsi" w:eastAsiaTheme="majorEastAsia" w:hAnsiTheme="majorHAnsi" w:cstheme="majorBidi"/>
      <w:i/>
      <w:iCs/>
      <w:color w:val="404040" w:themeColor="text1" w:themeTint="BF"/>
      <w:sz w:val="20"/>
      <w:szCs w:val="20"/>
    </w:rPr>
  </w:style>
  <w:style w:type="table" w:customStyle="1" w:styleId="Tabelasiatki4akcent611">
    <w:name w:val="Tabela siatki 4 — akcent 611"/>
    <w:basedOn w:val="Standardowy"/>
    <w:uiPriority w:val="49"/>
    <w:rsid w:val="008D6FD6"/>
    <w:pPr>
      <w:spacing w:after="0" w:line="240" w:lineRule="auto"/>
    </w:pPr>
    <w:tblPr>
      <w:tblStyleRowBandSize w:val="1"/>
      <w:tblStyleColBandSize w:val="1"/>
      <w:tblBorders>
        <w:top w:val="single" w:sz="4" w:space="0" w:color="DAE6C2" w:themeColor="accent6" w:themeTint="99"/>
        <w:left w:val="single" w:sz="4" w:space="0" w:color="DAE6C2" w:themeColor="accent6" w:themeTint="99"/>
        <w:bottom w:val="single" w:sz="4" w:space="0" w:color="DAE6C2" w:themeColor="accent6" w:themeTint="99"/>
        <w:right w:val="single" w:sz="4" w:space="0" w:color="DAE6C2" w:themeColor="accent6" w:themeTint="99"/>
        <w:insideH w:val="single" w:sz="4" w:space="0" w:color="DAE6C2" w:themeColor="accent6" w:themeTint="99"/>
        <w:insideV w:val="single" w:sz="4" w:space="0" w:color="DAE6C2" w:themeColor="accent6" w:themeTint="99"/>
      </w:tblBorders>
    </w:tblPr>
    <w:tblStylePr w:type="firstRow">
      <w:rPr>
        <w:b/>
        <w:bCs/>
        <w:color w:val="FFFFFF" w:themeColor="background1"/>
      </w:rPr>
      <w:tblPr/>
      <w:tcPr>
        <w:tcBorders>
          <w:top w:val="single" w:sz="4" w:space="0" w:color="C3D69B" w:themeColor="accent6"/>
          <w:left w:val="single" w:sz="4" w:space="0" w:color="C3D69B" w:themeColor="accent6"/>
          <w:bottom w:val="single" w:sz="4" w:space="0" w:color="C3D69B" w:themeColor="accent6"/>
          <w:right w:val="single" w:sz="4" w:space="0" w:color="C3D69B" w:themeColor="accent6"/>
          <w:insideH w:val="nil"/>
          <w:insideV w:val="nil"/>
        </w:tcBorders>
        <w:shd w:val="clear" w:color="auto" w:fill="C3D69B" w:themeFill="accent6"/>
      </w:tcPr>
    </w:tblStylePr>
    <w:tblStylePr w:type="lastRow">
      <w:rPr>
        <w:b/>
        <w:bCs/>
      </w:rPr>
      <w:tblPr/>
      <w:tcPr>
        <w:tcBorders>
          <w:top w:val="double" w:sz="4" w:space="0" w:color="C3D69B" w:themeColor="accent6"/>
        </w:tcBorders>
      </w:tcPr>
    </w:tblStylePr>
    <w:tblStylePr w:type="firstCol">
      <w:rPr>
        <w:b/>
        <w:bCs/>
      </w:rPr>
    </w:tblStylePr>
    <w:tblStylePr w:type="lastCol">
      <w:rPr>
        <w:b/>
        <w:bCs/>
      </w:rPr>
    </w:tblStylePr>
    <w:tblStylePr w:type="band1Vert">
      <w:tblPr/>
      <w:tcPr>
        <w:shd w:val="clear" w:color="auto" w:fill="F2F6EA" w:themeFill="accent6" w:themeFillTint="33"/>
      </w:tcPr>
    </w:tblStylePr>
    <w:tblStylePr w:type="band1Horz">
      <w:tblPr/>
      <w:tcPr>
        <w:shd w:val="clear" w:color="auto" w:fill="F2F6EA" w:themeFill="accent6" w:themeFillTint="33"/>
      </w:tcPr>
    </w:tblStylePr>
  </w:style>
  <w:style w:type="table" w:customStyle="1" w:styleId="Jasnasiatkaakcent31">
    <w:name w:val="Jasna siatka — akcent 31"/>
    <w:basedOn w:val="Standardowy"/>
    <w:uiPriority w:val="62"/>
    <w:rsid w:val="00564607"/>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shd w:val="clear" w:color="auto" w:fill="9DA321" w:themeFill="accent3"/>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tblPr/>
      <w:tcPr>
        <w:tcBorders>
          <w:top w:val="nil"/>
          <w:left w:val="nil"/>
          <w:bottom w:val="nil"/>
          <w:right w:val="nil"/>
          <w:insideH w:val="nil"/>
          <w:insideV w:val="nil"/>
        </w:tcBorders>
        <w:shd w:val="clear" w:color="auto" w:fill="EFF2BE" w:themeFill="accent3" w:themeFillTint="3F"/>
      </w:tcPr>
    </w:tblStylePr>
    <w:tblStylePr w:type="band2Horz">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Tabela-MPAaga">
    <w:name w:val="Tabela-MPA_aga"/>
    <w:basedOn w:val="Standardowy"/>
    <w:uiPriority w:val="62"/>
    <w:rsid w:val="00564607"/>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character" w:styleId="UyteHipercze">
    <w:name w:val="FollowedHyperlink"/>
    <w:basedOn w:val="Domylnaczcionkaakapitu"/>
    <w:uiPriority w:val="99"/>
    <w:semiHidden/>
    <w:unhideWhenUsed/>
    <w:rsid w:val="002E56A5"/>
    <w:rPr>
      <w:color w:val="800080" w:themeColor="followedHyperlink"/>
      <w:u w:val="single"/>
    </w:rPr>
  </w:style>
  <w:style w:type="table" w:customStyle="1" w:styleId="Tabela-MPAaga1">
    <w:name w:val="Tabela-MPA_aga1"/>
    <w:basedOn w:val="Standardowy"/>
    <w:uiPriority w:val="62"/>
    <w:rsid w:val="00332A45"/>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Jasnasiatkaakcent32">
    <w:name w:val="Jasna siatka — akcent 32"/>
    <w:basedOn w:val="Standardowy"/>
    <w:next w:val="Jasnasiatkaakcent3"/>
    <w:uiPriority w:val="62"/>
    <w:rsid w:val="007B49FD"/>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18" w:space="0" w:color="9DA321" w:themeColor="accent3"/>
          <w:right w:val="single" w:sz="8" w:space="0" w:color="9DA321" w:themeColor="accent3"/>
          <w:insideH w:val="nil"/>
          <w:insideV w:val="single" w:sz="8" w:space="0" w:color="9DA321"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shd w:val="clear" w:color="auto" w:fill="EFF2BE" w:themeFill="accent3" w:themeFillTint="3F"/>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shd w:val="clear" w:color="auto" w:fill="EFF2BE" w:themeFill="accent3" w:themeFillTint="3F"/>
      </w:tcPr>
    </w:tblStylePr>
    <w:tblStylePr w:type="band2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tcPr>
    </w:tblStylePr>
  </w:style>
  <w:style w:type="table" w:customStyle="1" w:styleId="Jasnasiatkaakcent33">
    <w:name w:val="Jasna siatka — akcent 33"/>
    <w:basedOn w:val="Standardowy"/>
    <w:next w:val="Jasnasiatkaakcent3"/>
    <w:uiPriority w:val="62"/>
    <w:rsid w:val="00F72FE3"/>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18" w:space="0" w:color="9DA321" w:themeColor="accent3"/>
          <w:right w:val="single" w:sz="8" w:space="0" w:color="9DA321" w:themeColor="accent3"/>
          <w:insideH w:val="nil"/>
          <w:insideV w:val="single" w:sz="8" w:space="0" w:color="9DA321"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shd w:val="clear" w:color="auto" w:fill="EFF2BE" w:themeFill="accent3" w:themeFillTint="3F"/>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shd w:val="clear" w:color="auto" w:fill="EFF2BE" w:themeFill="accent3" w:themeFillTint="3F"/>
      </w:tcPr>
    </w:tblStylePr>
    <w:tblStylePr w:type="band2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tcPr>
    </w:tblStylePr>
  </w:style>
  <w:style w:type="table" w:customStyle="1" w:styleId="Tabela-MPAaga2">
    <w:name w:val="Tabela-MPA_aga2"/>
    <w:basedOn w:val="Standardowy"/>
    <w:uiPriority w:val="62"/>
    <w:rsid w:val="0030768D"/>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3">
    <w:name w:val="Tabela - Siatka3"/>
    <w:basedOn w:val="Standardowy"/>
    <w:next w:val="Tabela-Siatka"/>
    <w:uiPriority w:val="59"/>
    <w:rsid w:val="00033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prawka">
    <w:name w:val="Revision"/>
    <w:hidden/>
    <w:uiPriority w:val="99"/>
    <w:semiHidden/>
    <w:rsid w:val="0047190A"/>
    <w:pPr>
      <w:spacing w:after="0" w:line="240" w:lineRule="auto"/>
    </w:pPr>
    <w:rPr>
      <w:rFonts w:ascii="Arial" w:hAnsi="Arial"/>
      <w:color w:val="000000" w:themeColor="text1"/>
    </w:rPr>
  </w:style>
  <w:style w:type="paragraph" w:styleId="Mapadokumentu">
    <w:name w:val="Document Map"/>
    <w:basedOn w:val="Normalny"/>
    <w:link w:val="MapadokumentuZnak"/>
    <w:uiPriority w:val="99"/>
    <w:semiHidden/>
    <w:unhideWhenUsed/>
    <w:rsid w:val="00FE6D45"/>
    <w:pPr>
      <w:spacing w:line="240" w:lineRule="auto"/>
    </w:pPr>
    <w:rPr>
      <w:rFonts w:ascii="Tahoma" w:hAnsi="Tahoma" w:cs="Tahoma"/>
      <w:sz w:val="16"/>
      <w:szCs w:val="16"/>
    </w:rPr>
  </w:style>
  <w:style w:type="character" w:customStyle="1" w:styleId="MapadokumentuZnak">
    <w:name w:val="Mapa dokumentu Znak"/>
    <w:basedOn w:val="Domylnaczcionkaakapitu"/>
    <w:link w:val="Mapadokumentu"/>
    <w:uiPriority w:val="99"/>
    <w:semiHidden/>
    <w:rsid w:val="00FE6D45"/>
    <w:rPr>
      <w:rFonts w:ascii="Tahoma" w:hAnsi="Tahoma" w:cs="Tahoma"/>
      <w:color w:val="000000" w:themeColor="text1"/>
      <w:sz w:val="16"/>
      <w:szCs w:val="16"/>
    </w:rPr>
  </w:style>
  <w:style w:type="paragraph" w:customStyle="1" w:styleId="Normalny1">
    <w:name w:val="Normalny1"/>
    <w:rsid w:val="00FE6D45"/>
    <w:pPr>
      <w:pBdr>
        <w:top w:val="none" w:sz="0" w:space="0" w:color="000000"/>
        <w:left w:val="none" w:sz="0" w:space="0" w:color="000000"/>
        <w:bottom w:val="none" w:sz="0" w:space="0" w:color="000000"/>
        <w:right w:val="none" w:sz="0" w:space="0" w:color="000000"/>
      </w:pBdr>
      <w:suppressAutoHyphens/>
      <w:spacing w:after="0"/>
    </w:pPr>
    <w:rPr>
      <w:rFonts w:ascii="Arial" w:eastAsia="Calibri" w:hAnsi="Arial" w:cs="Times New Roman"/>
      <w:color w:val="000000"/>
    </w:rPr>
  </w:style>
  <w:style w:type="table" w:customStyle="1" w:styleId="Jasnasiatka1">
    <w:name w:val="Jasna siatka1"/>
    <w:basedOn w:val="Standardowy"/>
    <w:uiPriority w:val="62"/>
    <w:rsid w:val="00163F17"/>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leNormal">
    <w:name w:val="Table Normal"/>
    <w:uiPriority w:val="2"/>
    <w:semiHidden/>
    <w:unhideWhenUsed/>
    <w:qFormat/>
    <w:rsid w:val="00A7080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Siatka4">
    <w:name w:val="Tabela - Siatka4"/>
    <w:basedOn w:val="Standardowy"/>
    <w:next w:val="Tabela-Siatka"/>
    <w:uiPriority w:val="59"/>
    <w:rsid w:val="00A61E8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A61E88"/>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A61E88"/>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A61E88"/>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extbody">
    <w:name w:val="Text body"/>
    <w:basedOn w:val="Normalny"/>
    <w:rsid w:val="00950156"/>
    <w:pPr>
      <w:suppressAutoHyphens/>
      <w:autoSpaceDN w:val="0"/>
      <w:spacing w:after="140" w:line="288" w:lineRule="auto"/>
      <w:jc w:val="left"/>
      <w:textAlignment w:val="baseline"/>
    </w:pPr>
    <w:rPr>
      <w:rFonts w:ascii="Liberation Serif" w:eastAsia="SimSun" w:hAnsi="Liberation Serif" w:cs="Mangal"/>
      <w:color w:val="auto"/>
      <w:kern w:val="3"/>
      <w:sz w:val="24"/>
      <w:szCs w:val="24"/>
      <w:lang w:val="en-US" w:eastAsia="zh-CN" w:bidi="hi-IN"/>
    </w:rPr>
  </w:style>
  <w:style w:type="table" w:customStyle="1" w:styleId="Tabela-Siatka13">
    <w:name w:val="Tabela - Siatka13"/>
    <w:basedOn w:val="Standardowy"/>
    <w:next w:val="Tabela-Siatka"/>
    <w:uiPriority w:val="59"/>
    <w:rsid w:val="00121A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tabela">
    <w:name w:val="Styl tabela"/>
    <w:basedOn w:val="Normalny"/>
    <w:link w:val="StyltabelaZnak"/>
    <w:qFormat/>
    <w:rsid w:val="003B3551"/>
    <w:pPr>
      <w:tabs>
        <w:tab w:val="left" w:pos="3119"/>
      </w:tabs>
      <w:spacing w:line="240" w:lineRule="auto"/>
      <w:ind w:firstLine="0"/>
    </w:pPr>
    <w:rPr>
      <w:rFonts w:eastAsiaTheme="majorEastAsia" w:cs="Arial"/>
      <w:b/>
      <w:color w:val="auto"/>
      <w:sz w:val="20"/>
      <w:szCs w:val="20"/>
      <w:lang w:eastAsia="pl-PL"/>
    </w:rPr>
  </w:style>
  <w:style w:type="character" w:customStyle="1" w:styleId="StyltabelaZnak">
    <w:name w:val="Styl tabela Znak"/>
    <w:basedOn w:val="Domylnaczcionkaakapitu"/>
    <w:link w:val="Styltabela"/>
    <w:rsid w:val="003B3551"/>
    <w:rPr>
      <w:rFonts w:eastAsiaTheme="majorEastAsia" w:cs="Arial"/>
      <w:b/>
      <w:sz w:val="20"/>
      <w:szCs w:val="20"/>
      <w:lang w:eastAsia="pl-PL"/>
    </w:rPr>
  </w:style>
  <w:style w:type="paragraph" w:customStyle="1" w:styleId="Tretabeli">
    <w:name w:val="Treść tabeli"/>
    <w:basedOn w:val="Normalny"/>
    <w:link w:val="TretabeliZnak"/>
    <w:uiPriority w:val="99"/>
    <w:rsid w:val="00B402AF"/>
    <w:pPr>
      <w:spacing w:line="240" w:lineRule="auto"/>
      <w:ind w:firstLine="0"/>
      <w:jc w:val="center"/>
    </w:pPr>
    <w:rPr>
      <w:rFonts w:eastAsia="Times New Roman" w:cs="Arial"/>
      <w:color w:val="auto"/>
      <w:sz w:val="18"/>
      <w:szCs w:val="18"/>
      <w:lang w:eastAsia="pl-PL"/>
    </w:rPr>
  </w:style>
  <w:style w:type="character" w:customStyle="1" w:styleId="TretabeliZnak">
    <w:name w:val="Treść tabeli Znak"/>
    <w:link w:val="Tretabeli"/>
    <w:uiPriority w:val="99"/>
    <w:rsid w:val="00B402AF"/>
    <w:rPr>
      <w:rFonts w:ascii="Arial" w:eastAsia="Times New Roman" w:hAnsi="Arial" w:cs="Arial"/>
      <w:sz w:val="18"/>
      <w:szCs w:val="18"/>
      <w:lang w:eastAsia="pl-PL"/>
    </w:rPr>
  </w:style>
  <w:style w:type="table" w:styleId="Jasnecieniowanie">
    <w:name w:val="Light Shading"/>
    <w:basedOn w:val="Standardowy"/>
    <w:uiPriority w:val="60"/>
    <w:rsid w:val="008D027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ela-MPAaga11">
    <w:name w:val="Tabela-MPA_aga11"/>
    <w:basedOn w:val="Standardowy"/>
    <w:uiPriority w:val="62"/>
    <w:rsid w:val="00E9450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5">
    <w:name w:val="Tabela - Siatka5"/>
    <w:basedOn w:val="Standardowy"/>
    <w:next w:val="Tabela-Siatka"/>
    <w:uiPriority w:val="59"/>
    <w:rsid w:val="001163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Domylnaczcionkaakapitu"/>
    <w:rsid w:val="00413850"/>
  </w:style>
  <w:style w:type="paragraph" w:styleId="Tekstpodstawowy2">
    <w:name w:val="Body Text 2"/>
    <w:basedOn w:val="Normalny"/>
    <w:link w:val="Tekstpodstawowy2Znak"/>
    <w:uiPriority w:val="99"/>
    <w:semiHidden/>
    <w:unhideWhenUsed/>
    <w:rsid w:val="00F7333F"/>
    <w:pPr>
      <w:spacing w:after="120" w:line="480" w:lineRule="auto"/>
    </w:pPr>
  </w:style>
  <w:style w:type="character" w:customStyle="1" w:styleId="Tekstpodstawowy2Znak">
    <w:name w:val="Tekst podstawowy 2 Znak"/>
    <w:basedOn w:val="Domylnaczcionkaakapitu"/>
    <w:link w:val="Tekstpodstawowy2"/>
    <w:uiPriority w:val="99"/>
    <w:semiHidden/>
    <w:rsid w:val="00F7333F"/>
    <w:rPr>
      <w:rFonts w:ascii="Arial" w:hAnsi="Arial"/>
      <w:color w:val="000000" w:themeColor="text1"/>
    </w:rPr>
  </w:style>
  <w:style w:type="table" w:customStyle="1" w:styleId="Tabela-Siatka6">
    <w:name w:val="Tabela - Siatka6"/>
    <w:basedOn w:val="Standardowy"/>
    <w:next w:val="Tabela-Siatka"/>
    <w:uiPriority w:val="59"/>
    <w:rsid w:val="00012D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59"/>
    <w:rsid w:val="00E526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next w:val="Tabela-Siatka"/>
    <w:uiPriority w:val="59"/>
    <w:rsid w:val="00E60F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asiatkaakcent6">
    <w:name w:val="Light Grid Accent 6"/>
    <w:basedOn w:val="Standardowy"/>
    <w:uiPriority w:val="62"/>
    <w:rsid w:val="00E60FB7"/>
    <w:pPr>
      <w:spacing w:after="0" w:line="240" w:lineRule="auto"/>
    </w:pPr>
    <w:tblPr>
      <w:tblStyleRowBandSize w:val="1"/>
      <w:tblStyleColBandSize w:val="1"/>
      <w:tblBorders>
        <w:top w:val="single" w:sz="8" w:space="0" w:color="C3D69B" w:themeColor="accent6"/>
        <w:left w:val="single" w:sz="8" w:space="0" w:color="C3D69B" w:themeColor="accent6"/>
        <w:bottom w:val="single" w:sz="8" w:space="0" w:color="C3D69B" w:themeColor="accent6"/>
        <w:right w:val="single" w:sz="8" w:space="0" w:color="C3D69B" w:themeColor="accent6"/>
        <w:insideH w:val="single" w:sz="8" w:space="0" w:color="C3D69B" w:themeColor="accent6"/>
        <w:insideV w:val="single" w:sz="8" w:space="0" w:color="C3D69B"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3D69B" w:themeColor="accent6"/>
          <w:left w:val="single" w:sz="8" w:space="0" w:color="C3D69B" w:themeColor="accent6"/>
          <w:bottom w:val="single" w:sz="18" w:space="0" w:color="C3D69B" w:themeColor="accent6"/>
          <w:right w:val="single" w:sz="8" w:space="0" w:color="C3D69B" w:themeColor="accent6"/>
          <w:insideH w:val="nil"/>
          <w:insideV w:val="single" w:sz="8" w:space="0" w:color="C3D69B"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3D69B" w:themeColor="accent6"/>
          <w:left w:val="single" w:sz="8" w:space="0" w:color="C3D69B" w:themeColor="accent6"/>
          <w:bottom w:val="single" w:sz="8" w:space="0" w:color="C3D69B" w:themeColor="accent6"/>
          <w:right w:val="single" w:sz="8" w:space="0" w:color="C3D69B" w:themeColor="accent6"/>
          <w:insideH w:val="nil"/>
          <w:insideV w:val="single" w:sz="8" w:space="0" w:color="C3D69B"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3D69B" w:themeColor="accent6"/>
          <w:left w:val="single" w:sz="8" w:space="0" w:color="C3D69B" w:themeColor="accent6"/>
          <w:bottom w:val="single" w:sz="8" w:space="0" w:color="C3D69B" w:themeColor="accent6"/>
          <w:right w:val="single" w:sz="8" w:space="0" w:color="C3D69B" w:themeColor="accent6"/>
        </w:tcBorders>
      </w:tcPr>
    </w:tblStylePr>
    <w:tblStylePr w:type="band1Vert">
      <w:tblPr/>
      <w:tcPr>
        <w:tcBorders>
          <w:top w:val="single" w:sz="8" w:space="0" w:color="C3D69B" w:themeColor="accent6"/>
          <w:left w:val="single" w:sz="8" w:space="0" w:color="C3D69B" w:themeColor="accent6"/>
          <w:bottom w:val="single" w:sz="8" w:space="0" w:color="C3D69B" w:themeColor="accent6"/>
          <w:right w:val="single" w:sz="8" w:space="0" w:color="C3D69B" w:themeColor="accent6"/>
        </w:tcBorders>
        <w:shd w:val="clear" w:color="auto" w:fill="F0F4E6" w:themeFill="accent6" w:themeFillTint="3F"/>
      </w:tcPr>
    </w:tblStylePr>
    <w:tblStylePr w:type="band1Horz">
      <w:tblPr/>
      <w:tcPr>
        <w:tcBorders>
          <w:top w:val="single" w:sz="8" w:space="0" w:color="C3D69B" w:themeColor="accent6"/>
          <w:left w:val="single" w:sz="8" w:space="0" w:color="C3D69B" w:themeColor="accent6"/>
          <w:bottom w:val="single" w:sz="8" w:space="0" w:color="C3D69B" w:themeColor="accent6"/>
          <w:right w:val="single" w:sz="8" w:space="0" w:color="C3D69B" w:themeColor="accent6"/>
          <w:insideV w:val="single" w:sz="8" w:space="0" w:color="C3D69B" w:themeColor="accent6"/>
        </w:tcBorders>
        <w:shd w:val="clear" w:color="auto" w:fill="F0F4E6" w:themeFill="accent6" w:themeFillTint="3F"/>
      </w:tcPr>
    </w:tblStylePr>
    <w:tblStylePr w:type="band2Horz">
      <w:tblPr/>
      <w:tcPr>
        <w:tcBorders>
          <w:top w:val="single" w:sz="8" w:space="0" w:color="C3D69B" w:themeColor="accent6"/>
          <w:left w:val="single" w:sz="8" w:space="0" w:color="C3D69B" w:themeColor="accent6"/>
          <w:bottom w:val="single" w:sz="8" w:space="0" w:color="C3D69B" w:themeColor="accent6"/>
          <w:right w:val="single" w:sz="8" w:space="0" w:color="C3D69B" w:themeColor="accent6"/>
          <w:insideV w:val="single" w:sz="8" w:space="0" w:color="C3D69B" w:themeColor="accent6"/>
        </w:tcBorders>
      </w:tcPr>
    </w:tblStylePr>
  </w:style>
  <w:style w:type="table" w:customStyle="1" w:styleId="Tabela-Siatka9">
    <w:name w:val="Tabela - Siatka9"/>
    <w:basedOn w:val="Standardowy"/>
    <w:next w:val="Tabela-Siatka"/>
    <w:uiPriority w:val="59"/>
    <w:rsid w:val="004B2364"/>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PAaga21">
    <w:name w:val="Tabela-MPA_aga21"/>
    <w:basedOn w:val="Standardowy"/>
    <w:uiPriority w:val="62"/>
    <w:rsid w:val="0022313D"/>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51">
    <w:name w:val="Tabela - Siatka51"/>
    <w:basedOn w:val="Standardowy"/>
    <w:next w:val="Tabela-Siatka"/>
    <w:uiPriority w:val="39"/>
    <w:rsid w:val="00114B9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PAaga12">
    <w:name w:val="Tabela-MPA_aga12"/>
    <w:basedOn w:val="Standardowy"/>
    <w:uiPriority w:val="62"/>
    <w:rsid w:val="001F4AD7"/>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3">
    <w:name w:val="Tabela-MPA_aga3"/>
    <w:basedOn w:val="Standardowy"/>
    <w:uiPriority w:val="62"/>
    <w:rsid w:val="003230A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4">
    <w:name w:val="Tabela-MPA_aga4"/>
    <w:basedOn w:val="Standardowy"/>
    <w:uiPriority w:val="62"/>
    <w:rsid w:val="003230A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10">
    <w:name w:val="Tabela - Siatka10"/>
    <w:basedOn w:val="Standardowy"/>
    <w:next w:val="Tabela-Siatka"/>
    <w:uiPriority w:val="39"/>
    <w:rsid w:val="00755D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PAaga5">
    <w:name w:val="Tabela-MPA_aga5"/>
    <w:basedOn w:val="Standardowy"/>
    <w:uiPriority w:val="62"/>
    <w:rsid w:val="00755D4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6">
    <w:name w:val="Tabela-MPA_aga6"/>
    <w:basedOn w:val="Standardowy"/>
    <w:uiPriority w:val="62"/>
    <w:rsid w:val="00755D4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paragraph" w:customStyle="1" w:styleId="nad">
    <w:name w:val="nad"/>
    <w:basedOn w:val="Normalny"/>
    <w:link w:val="nadZnak"/>
    <w:rsid w:val="00275137"/>
    <w:pPr>
      <w:spacing w:line="240" w:lineRule="auto"/>
    </w:pPr>
    <w:rPr>
      <w:rFonts w:eastAsiaTheme="minorEastAsia" w:cstheme="minorHAnsi"/>
      <w:b/>
      <w:bCs/>
      <w:color w:val="auto"/>
      <w:sz w:val="20"/>
      <w:szCs w:val="18"/>
      <w:lang w:eastAsia="pl-PL"/>
    </w:rPr>
  </w:style>
  <w:style w:type="character" w:customStyle="1" w:styleId="nadZnak">
    <w:name w:val="nad Znak"/>
    <w:basedOn w:val="Domylnaczcionkaakapitu"/>
    <w:link w:val="nad"/>
    <w:rsid w:val="00275137"/>
    <w:rPr>
      <w:rFonts w:eastAsiaTheme="minorEastAsia" w:cstheme="minorHAnsi"/>
      <w:b/>
      <w:bCs/>
      <w:sz w:val="20"/>
      <w:szCs w:val="18"/>
      <w:lang w:eastAsia="pl-PL"/>
    </w:rPr>
  </w:style>
  <w:style w:type="paragraph" w:customStyle="1" w:styleId="Zawartotabeli">
    <w:name w:val="Zawartość tabeli"/>
    <w:basedOn w:val="Normalny"/>
    <w:rsid w:val="00536499"/>
    <w:pPr>
      <w:widowControl w:val="0"/>
      <w:suppressLineNumbers/>
      <w:suppressAutoHyphens/>
      <w:spacing w:line="240" w:lineRule="auto"/>
      <w:ind w:firstLine="0"/>
      <w:jc w:val="left"/>
    </w:pPr>
    <w:rPr>
      <w:rFonts w:ascii="Liberation Serif" w:eastAsia="NSimSun" w:hAnsi="Liberation Serif" w:cs="Lucida Sans"/>
      <w:color w:val="auto"/>
      <w:kern w:val="2"/>
      <w:sz w:val="24"/>
      <w:szCs w:val="24"/>
      <w:lang w:eastAsia="zh-CN" w:bidi="hi-IN"/>
    </w:rPr>
  </w:style>
  <w:style w:type="character" w:customStyle="1" w:styleId="hgkelc">
    <w:name w:val="hgkelc"/>
    <w:basedOn w:val="Domylnaczcionkaakapitu"/>
    <w:rsid w:val="00F2519B"/>
  </w:style>
  <w:style w:type="character" w:customStyle="1" w:styleId="Nierozpoznanawzmianka2">
    <w:name w:val="Nierozpoznana wzmianka2"/>
    <w:basedOn w:val="Domylnaczcionkaakapitu"/>
    <w:uiPriority w:val="99"/>
    <w:semiHidden/>
    <w:unhideWhenUsed/>
    <w:rsid w:val="000D10D3"/>
    <w:rPr>
      <w:color w:val="605E5C"/>
      <w:shd w:val="clear" w:color="auto" w:fill="E1DFDD"/>
    </w:rPr>
  </w:style>
  <w:style w:type="table" w:customStyle="1" w:styleId="Tabela-Siatka11">
    <w:name w:val="Tabela - Siatka11"/>
    <w:basedOn w:val="Standardowy"/>
    <w:next w:val="Tabela-Siatka"/>
    <w:uiPriority w:val="39"/>
    <w:rsid w:val="00FD50D6"/>
    <w:pPr>
      <w:spacing w:after="0" w:line="240" w:lineRule="auto"/>
    </w:pPr>
    <w:rPr>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
    <w:name w:val="Bez listy1"/>
    <w:next w:val="Bezlisty"/>
    <w:uiPriority w:val="99"/>
    <w:semiHidden/>
    <w:unhideWhenUsed/>
    <w:rsid w:val="00902B8A"/>
  </w:style>
  <w:style w:type="table" w:customStyle="1" w:styleId="Tabela-Siatka12">
    <w:name w:val="Tabela - Siatka12"/>
    <w:basedOn w:val="Standardowy"/>
    <w:next w:val="Tabela-Siatka"/>
    <w:uiPriority w:val="59"/>
    <w:rsid w:val="00902B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59"/>
    <w:rsid w:val="00902B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4">
    <w:name w:val="Tabela - Siatka14"/>
    <w:basedOn w:val="Standardowy"/>
    <w:next w:val="Tabela-Siatka"/>
    <w:uiPriority w:val="59"/>
    <w:rsid w:val="00902B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kstkomentarzaZnak1">
    <w:name w:val="Tekst komentarza Znak1"/>
    <w:basedOn w:val="Domylnaczcionkaakapitu"/>
    <w:uiPriority w:val="99"/>
    <w:semiHidden/>
    <w:rsid w:val="00902B8A"/>
    <w:rPr>
      <w:color w:val="000000" w:themeColor="text1"/>
      <w:sz w:val="20"/>
      <w:szCs w:val="20"/>
    </w:rPr>
  </w:style>
  <w:style w:type="character" w:customStyle="1" w:styleId="TematkomentarzaZnak1">
    <w:name w:val="Temat komentarza Znak1"/>
    <w:basedOn w:val="TekstkomentarzaZnak1"/>
    <w:uiPriority w:val="99"/>
    <w:semiHidden/>
    <w:rsid w:val="00902B8A"/>
    <w:rPr>
      <w:b/>
      <w:bCs/>
      <w:color w:val="000000" w:themeColor="text1"/>
      <w:sz w:val="20"/>
      <w:szCs w:val="20"/>
    </w:rPr>
  </w:style>
  <w:style w:type="table" w:customStyle="1" w:styleId="Jasnecieniowanie12">
    <w:name w:val="Jasne cieniowanie12"/>
    <w:basedOn w:val="Standardowy"/>
    <w:uiPriority w:val="60"/>
    <w:rsid w:val="00902B8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Jasnalistaakcent31">
    <w:name w:val="Jasna lista — akcent 31"/>
    <w:basedOn w:val="Standardowy"/>
    <w:next w:val="Jasnalistaakcent3"/>
    <w:uiPriority w:val="61"/>
    <w:rsid w:val="00902B8A"/>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tblBorders>
    </w:tblPr>
    <w:tblStylePr w:type="firstRow">
      <w:pPr>
        <w:spacing w:before="0" w:after="0" w:line="240" w:lineRule="auto"/>
      </w:pPr>
      <w:rPr>
        <w:b/>
        <w:bCs/>
        <w:color w:val="FFFFFF" w:themeColor="background1"/>
      </w:rPr>
      <w:tblPr/>
      <w:tcPr>
        <w:shd w:val="clear" w:color="auto" w:fill="9DA321" w:themeFill="accent3"/>
      </w:tcPr>
    </w:tblStylePr>
    <w:tblStylePr w:type="lastRow">
      <w:pPr>
        <w:spacing w:before="0" w:after="0" w:line="240" w:lineRule="auto"/>
      </w:pPr>
      <w:rPr>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tcBorders>
      </w:tcPr>
    </w:tblStylePr>
    <w:tblStylePr w:type="firstCol">
      <w:rPr>
        <w:b/>
        <w:bCs/>
      </w:rPr>
    </w:tblStylePr>
    <w:tblStylePr w:type="lastCol">
      <w:rPr>
        <w:b/>
        <w:bCs/>
      </w:r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style>
  <w:style w:type="table" w:customStyle="1" w:styleId="Jasnalista11">
    <w:name w:val="Jasna lista11"/>
    <w:basedOn w:val="Standardowy"/>
    <w:uiPriority w:val="61"/>
    <w:rsid w:val="00902B8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elasiatki4akcent612">
    <w:name w:val="Tabela siatki 4 — akcent 612"/>
    <w:basedOn w:val="Standardowy"/>
    <w:uiPriority w:val="49"/>
    <w:rsid w:val="00902B8A"/>
    <w:pPr>
      <w:spacing w:after="0" w:line="240" w:lineRule="auto"/>
    </w:pPr>
    <w:tblPr>
      <w:tblStyleRowBandSize w:val="1"/>
      <w:tblStyleColBandSize w:val="1"/>
      <w:tblBorders>
        <w:top w:val="single" w:sz="4" w:space="0" w:color="DAE6C2" w:themeColor="accent6" w:themeTint="99"/>
        <w:left w:val="single" w:sz="4" w:space="0" w:color="DAE6C2" w:themeColor="accent6" w:themeTint="99"/>
        <w:bottom w:val="single" w:sz="4" w:space="0" w:color="DAE6C2" w:themeColor="accent6" w:themeTint="99"/>
        <w:right w:val="single" w:sz="4" w:space="0" w:color="DAE6C2" w:themeColor="accent6" w:themeTint="99"/>
        <w:insideH w:val="single" w:sz="4" w:space="0" w:color="DAE6C2" w:themeColor="accent6" w:themeTint="99"/>
        <w:insideV w:val="single" w:sz="4" w:space="0" w:color="DAE6C2" w:themeColor="accent6" w:themeTint="99"/>
      </w:tblBorders>
    </w:tblPr>
    <w:tblStylePr w:type="firstRow">
      <w:rPr>
        <w:b/>
        <w:bCs/>
        <w:color w:val="FFFFFF" w:themeColor="background1"/>
      </w:rPr>
      <w:tblPr/>
      <w:tcPr>
        <w:tcBorders>
          <w:top w:val="single" w:sz="4" w:space="0" w:color="C3D69B" w:themeColor="accent6"/>
          <w:left w:val="single" w:sz="4" w:space="0" w:color="C3D69B" w:themeColor="accent6"/>
          <w:bottom w:val="single" w:sz="4" w:space="0" w:color="C3D69B" w:themeColor="accent6"/>
          <w:right w:val="single" w:sz="4" w:space="0" w:color="C3D69B" w:themeColor="accent6"/>
          <w:insideH w:val="nil"/>
          <w:insideV w:val="nil"/>
        </w:tcBorders>
        <w:shd w:val="clear" w:color="auto" w:fill="C3D69B" w:themeFill="accent6"/>
      </w:tcPr>
    </w:tblStylePr>
    <w:tblStylePr w:type="lastRow">
      <w:rPr>
        <w:b/>
        <w:bCs/>
      </w:rPr>
      <w:tblPr/>
      <w:tcPr>
        <w:tcBorders>
          <w:top w:val="double" w:sz="4" w:space="0" w:color="C3D69B" w:themeColor="accent6"/>
        </w:tcBorders>
      </w:tcPr>
    </w:tblStylePr>
    <w:tblStylePr w:type="firstCol">
      <w:rPr>
        <w:b/>
        <w:bCs/>
      </w:rPr>
    </w:tblStylePr>
    <w:tblStylePr w:type="lastCol">
      <w:rPr>
        <w:b/>
        <w:bCs/>
      </w:rPr>
    </w:tblStylePr>
    <w:tblStylePr w:type="band1Vert">
      <w:tblPr/>
      <w:tcPr>
        <w:shd w:val="clear" w:color="auto" w:fill="F2F6EA" w:themeFill="accent6" w:themeFillTint="33"/>
      </w:tcPr>
    </w:tblStylePr>
    <w:tblStylePr w:type="band1Horz">
      <w:tblPr/>
      <w:tcPr>
        <w:shd w:val="clear" w:color="auto" w:fill="F2F6EA" w:themeFill="accent6" w:themeFillTint="33"/>
      </w:tcPr>
    </w:tblStylePr>
  </w:style>
  <w:style w:type="table" w:customStyle="1" w:styleId="Jasnecieniowanieakcent21">
    <w:name w:val="Jasne cieniowanie — akcent 21"/>
    <w:basedOn w:val="Standardowy"/>
    <w:next w:val="Jasnecieniowanieakcent2"/>
    <w:uiPriority w:val="60"/>
    <w:rsid w:val="00902B8A"/>
    <w:pPr>
      <w:spacing w:after="0" w:line="240" w:lineRule="auto"/>
    </w:pPr>
    <w:rPr>
      <w:color w:val="979D40" w:themeColor="accent2" w:themeShade="BF"/>
    </w:rPr>
    <w:tblPr>
      <w:tblStyleRowBandSize w:val="1"/>
      <w:tblStyleColBandSize w:val="1"/>
      <w:tblBorders>
        <w:top w:val="single" w:sz="8" w:space="0" w:color="BCC167" w:themeColor="accent2"/>
        <w:bottom w:val="single" w:sz="8" w:space="0" w:color="BCC167" w:themeColor="accent2"/>
      </w:tblBorders>
    </w:tblPr>
    <w:tblStylePr w:type="firstRow">
      <w:pPr>
        <w:spacing w:before="0" w:after="0" w:line="240" w:lineRule="auto"/>
      </w:pPr>
      <w:rPr>
        <w:b/>
        <w:bCs/>
      </w:rPr>
      <w:tblPr/>
      <w:tcPr>
        <w:tcBorders>
          <w:top w:val="single" w:sz="8" w:space="0" w:color="BCC167" w:themeColor="accent2"/>
          <w:left w:val="nil"/>
          <w:bottom w:val="single" w:sz="8" w:space="0" w:color="BCC167" w:themeColor="accent2"/>
          <w:right w:val="nil"/>
          <w:insideH w:val="nil"/>
          <w:insideV w:val="nil"/>
        </w:tcBorders>
      </w:tcPr>
    </w:tblStylePr>
    <w:tblStylePr w:type="lastRow">
      <w:pPr>
        <w:spacing w:before="0" w:after="0" w:line="240" w:lineRule="auto"/>
      </w:pPr>
      <w:rPr>
        <w:b/>
        <w:bCs/>
      </w:rPr>
      <w:tblPr/>
      <w:tcPr>
        <w:tcBorders>
          <w:top w:val="single" w:sz="8" w:space="0" w:color="BCC167" w:themeColor="accent2"/>
          <w:left w:val="nil"/>
          <w:bottom w:val="single" w:sz="8" w:space="0" w:color="BCC167"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EFD9" w:themeFill="accent2" w:themeFillTint="3F"/>
      </w:tcPr>
    </w:tblStylePr>
    <w:tblStylePr w:type="band1Horz">
      <w:tblPr/>
      <w:tcPr>
        <w:tcBorders>
          <w:left w:val="nil"/>
          <w:right w:val="nil"/>
          <w:insideH w:val="nil"/>
          <w:insideV w:val="nil"/>
        </w:tcBorders>
        <w:shd w:val="clear" w:color="auto" w:fill="EEEFD9" w:themeFill="accent2" w:themeFillTint="3F"/>
      </w:tcPr>
    </w:tblStylePr>
  </w:style>
  <w:style w:type="table" w:customStyle="1" w:styleId="Jasnasiatkaakcent34">
    <w:name w:val="Jasna siatka — akcent 34"/>
    <w:basedOn w:val="Standardowy"/>
    <w:next w:val="Jasnasiatkaakcent3"/>
    <w:uiPriority w:val="62"/>
    <w:rsid w:val="00902B8A"/>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18" w:space="0" w:color="9DA321" w:themeColor="accent3"/>
          <w:right w:val="single" w:sz="8" w:space="0" w:color="9DA321" w:themeColor="accent3"/>
          <w:insideH w:val="nil"/>
          <w:insideV w:val="single" w:sz="8" w:space="0" w:color="9DA321"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shd w:val="clear" w:color="auto" w:fill="EFF2BE" w:themeFill="accent3" w:themeFillTint="3F"/>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shd w:val="clear" w:color="auto" w:fill="EFF2BE" w:themeFill="accent3" w:themeFillTint="3F"/>
      </w:tcPr>
    </w:tblStylePr>
    <w:tblStylePr w:type="band2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tcPr>
    </w:tblStylePr>
  </w:style>
  <w:style w:type="table" w:customStyle="1" w:styleId="Jasnasiatkaakcent21">
    <w:name w:val="Jasna siatka — akcent 21"/>
    <w:basedOn w:val="Standardowy"/>
    <w:next w:val="Jasnasiatkaakcent2"/>
    <w:uiPriority w:val="62"/>
    <w:rsid w:val="00902B8A"/>
    <w:pPr>
      <w:spacing w:after="0" w:line="240" w:lineRule="auto"/>
    </w:pPr>
    <w:tblPr>
      <w:tblStyleRowBandSize w:val="1"/>
      <w:tblStyleColBandSize w:val="1"/>
      <w:tblBorders>
        <w:top w:val="single" w:sz="8" w:space="0" w:color="BCC167" w:themeColor="accent2"/>
        <w:left w:val="single" w:sz="8" w:space="0" w:color="BCC167" w:themeColor="accent2"/>
        <w:bottom w:val="single" w:sz="8" w:space="0" w:color="BCC167" w:themeColor="accent2"/>
        <w:right w:val="single" w:sz="8" w:space="0" w:color="BCC167" w:themeColor="accent2"/>
        <w:insideH w:val="single" w:sz="8" w:space="0" w:color="BCC167" w:themeColor="accent2"/>
        <w:insideV w:val="single" w:sz="8" w:space="0" w:color="BCC167"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CC167" w:themeColor="accent2"/>
          <w:left w:val="single" w:sz="8" w:space="0" w:color="BCC167" w:themeColor="accent2"/>
          <w:bottom w:val="single" w:sz="18" w:space="0" w:color="BCC167" w:themeColor="accent2"/>
          <w:right w:val="single" w:sz="8" w:space="0" w:color="BCC167" w:themeColor="accent2"/>
          <w:insideH w:val="nil"/>
          <w:insideV w:val="single" w:sz="8" w:space="0" w:color="BCC167"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CC167" w:themeColor="accent2"/>
          <w:left w:val="single" w:sz="8" w:space="0" w:color="BCC167" w:themeColor="accent2"/>
          <w:bottom w:val="single" w:sz="8" w:space="0" w:color="BCC167" w:themeColor="accent2"/>
          <w:right w:val="single" w:sz="8" w:space="0" w:color="BCC167" w:themeColor="accent2"/>
          <w:insideH w:val="nil"/>
          <w:insideV w:val="single" w:sz="8" w:space="0" w:color="BCC167"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CC167" w:themeColor="accent2"/>
          <w:left w:val="single" w:sz="8" w:space="0" w:color="BCC167" w:themeColor="accent2"/>
          <w:bottom w:val="single" w:sz="8" w:space="0" w:color="BCC167" w:themeColor="accent2"/>
          <w:right w:val="single" w:sz="8" w:space="0" w:color="BCC167" w:themeColor="accent2"/>
        </w:tcBorders>
      </w:tcPr>
    </w:tblStylePr>
    <w:tblStylePr w:type="band1Vert">
      <w:tblPr/>
      <w:tcPr>
        <w:tcBorders>
          <w:top w:val="single" w:sz="8" w:space="0" w:color="BCC167" w:themeColor="accent2"/>
          <w:left w:val="single" w:sz="8" w:space="0" w:color="BCC167" w:themeColor="accent2"/>
          <w:bottom w:val="single" w:sz="8" w:space="0" w:color="BCC167" w:themeColor="accent2"/>
          <w:right w:val="single" w:sz="8" w:space="0" w:color="BCC167" w:themeColor="accent2"/>
        </w:tcBorders>
        <w:shd w:val="clear" w:color="auto" w:fill="EEEFD9" w:themeFill="accent2" w:themeFillTint="3F"/>
      </w:tcPr>
    </w:tblStylePr>
    <w:tblStylePr w:type="band1Horz">
      <w:tblPr/>
      <w:tcPr>
        <w:tcBorders>
          <w:top w:val="single" w:sz="8" w:space="0" w:color="BCC167" w:themeColor="accent2"/>
          <w:left w:val="single" w:sz="8" w:space="0" w:color="BCC167" w:themeColor="accent2"/>
          <w:bottom w:val="single" w:sz="8" w:space="0" w:color="BCC167" w:themeColor="accent2"/>
          <w:right w:val="single" w:sz="8" w:space="0" w:color="BCC167" w:themeColor="accent2"/>
          <w:insideV w:val="single" w:sz="8" w:space="0" w:color="BCC167" w:themeColor="accent2"/>
        </w:tcBorders>
        <w:shd w:val="clear" w:color="auto" w:fill="EEEFD9" w:themeFill="accent2" w:themeFillTint="3F"/>
      </w:tcPr>
    </w:tblStylePr>
    <w:tblStylePr w:type="band2Horz">
      <w:tblPr/>
      <w:tcPr>
        <w:tcBorders>
          <w:top w:val="single" w:sz="8" w:space="0" w:color="BCC167" w:themeColor="accent2"/>
          <w:left w:val="single" w:sz="8" w:space="0" w:color="BCC167" w:themeColor="accent2"/>
          <w:bottom w:val="single" w:sz="8" w:space="0" w:color="BCC167" w:themeColor="accent2"/>
          <w:right w:val="single" w:sz="8" w:space="0" w:color="BCC167" w:themeColor="accent2"/>
          <w:insideV w:val="single" w:sz="8" w:space="0" w:color="BCC167" w:themeColor="accent2"/>
        </w:tcBorders>
      </w:tcPr>
    </w:tblStylePr>
  </w:style>
  <w:style w:type="table" w:customStyle="1" w:styleId="Jasnecieniowanie111">
    <w:name w:val="Jasne cieniowanie111"/>
    <w:basedOn w:val="Standardowy"/>
    <w:next w:val="Jasnecieniowanie1"/>
    <w:uiPriority w:val="60"/>
    <w:rsid w:val="00902B8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elasiatki4akcent6111">
    <w:name w:val="Tabela siatki 4 — akcent 6111"/>
    <w:basedOn w:val="Standardowy"/>
    <w:uiPriority w:val="49"/>
    <w:rsid w:val="00902B8A"/>
    <w:pPr>
      <w:spacing w:after="0" w:line="240" w:lineRule="auto"/>
    </w:pPr>
    <w:tblPr>
      <w:tblStyleRowBandSize w:val="1"/>
      <w:tblStyleColBandSize w:val="1"/>
      <w:tblBorders>
        <w:top w:val="single" w:sz="4" w:space="0" w:color="DAE6C2" w:themeColor="accent6" w:themeTint="99"/>
        <w:left w:val="single" w:sz="4" w:space="0" w:color="DAE6C2" w:themeColor="accent6" w:themeTint="99"/>
        <w:bottom w:val="single" w:sz="4" w:space="0" w:color="DAE6C2" w:themeColor="accent6" w:themeTint="99"/>
        <w:right w:val="single" w:sz="4" w:space="0" w:color="DAE6C2" w:themeColor="accent6" w:themeTint="99"/>
        <w:insideH w:val="single" w:sz="4" w:space="0" w:color="DAE6C2" w:themeColor="accent6" w:themeTint="99"/>
        <w:insideV w:val="single" w:sz="4" w:space="0" w:color="DAE6C2" w:themeColor="accent6" w:themeTint="99"/>
      </w:tblBorders>
    </w:tblPr>
    <w:tblStylePr w:type="firstRow">
      <w:rPr>
        <w:b/>
        <w:bCs/>
        <w:color w:val="FFFFFF" w:themeColor="background1"/>
      </w:rPr>
      <w:tblPr/>
      <w:tcPr>
        <w:tcBorders>
          <w:top w:val="single" w:sz="4" w:space="0" w:color="C3D69B" w:themeColor="accent6"/>
          <w:left w:val="single" w:sz="4" w:space="0" w:color="C3D69B" w:themeColor="accent6"/>
          <w:bottom w:val="single" w:sz="4" w:space="0" w:color="C3D69B" w:themeColor="accent6"/>
          <w:right w:val="single" w:sz="4" w:space="0" w:color="C3D69B" w:themeColor="accent6"/>
          <w:insideH w:val="nil"/>
          <w:insideV w:val="nil"/>
        </w:tcBorders>
        <w:shd w:val="clear" w:color="auto" w:fill="C3D69B" w:themeFill="accent6"/>
      </w:tcPr>
    </w:tblStylePr>
    <w:tblStylePr w:type="lastRow">
      <w:rPr>
        <w:b/>
        <w:bCs/>
      </w:rPr>
      <w:tblPr/>
      <w:tcPr>
        <w:tcBorders>
          <w:top w:val="double" w:sz="4" w:space="0" w:color="C3D69B" w:themeColor="accent6"/>
        </w:tcBorders>
      </w:tcPr>
    </w:tblStylePr>
    <w:tblStylePr w:type="firstCol">
      <w:rPr>
        <w:b/>
        <w:bCs/>
      </w:rPr>
    </w:tblStylePr>
    <w:tblStylePr w:type="lastCol">
      <w:rPr>
        <w:b/>
        <w:bCs/>
      </w:rPr>
    </w:tblStylePr>
    <w:tblStylePr w:type="band1Vert">
      <w:tblPr/>
      <w:tcPr>
        <w:shd w:val="clear" w:color="auto" w:fill="F2F6EA" w:themeFill="accent6" w:themeFillTint="33"/>
      </w:tcPr>
    </w:tblStylePr>
    <w:tblStylePr w:type="band1Horz">
      <w:tblPr/>
      <w:tcPr>
        <w:shd w:val="clear" w:color="auto" w:fill="F2F6EA" w:themeFill="accent6" w:themeFillTint="33"/>
      </w:tcPr>
    </w:tblStylePr>
  </w:style>
  <w:style w:type="table" w:customStyle="1" w:styleId="Jasnasiatkaakcent311">
    <w:name w:val="Jasna siatka — akcent 311"/>
    <w:basedOn w:val="Standardowy"/>
    <w:uiPriority w:val="62"/>
    <w:rsid w:val="00902B8A"/>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shd w:val="clear" w:color="auto" w:fill="9DA321" w:themeFill="accent3"/>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tblPr/>
      <w:tcPr>
        <w:tcBorders>
          <w:top w:val="nil"/>
          <w:left w:val="nil"/>
          <w:bottom w:val="nil"/>
          <w:right w:val="nil"/>
          <w:insideH w:val="nil"/>
          <w:insideV w:val="nil"/>
        </w:tcBorders>
        <w:shd w:val="clear" w:color="auto" w:fill="EFF2BE" w:themeFill="accent3" w:themeFillTint="3F"/>
      </w:tcPr>
    </w:tblStylePr>
    <w:tblStylePr w:type="band2Horz">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Tabela-MPAaga7">
    <w:name w:val="Tabela-MPA_aga7"/>
    <w:basedOn w:val="Standardowy"/>
    <w:uiPriority w:val="62"/>
    <w:rsid w:val="00902B8A"/>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13">
    <w:name w:val="Tabela-MPA_aga13"/>
    <w:basedOn w:val="Standardowy"/>
    <w:uiPriority w:val="62"/>
    <w:rsid w:val="00902B8A"/>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Jasnasiatkaakcent321">
    <w:name w:val="Jasna siatka — akcent 321"/>
    <w:basedOn w:val="Standardowy"/>
    <w:next w:val="Jasnasiatkaakcent3"/>
    <w:uiPriority w:val="62"/>
    <w:rsid w:val="00902B8A"/>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18" w:space="0" w:color="9DA321" w:themeColor="accent3"/>
          <w:right w:val="single" w:sz="8" w:space="0" w:color="9DA321" w:themeColor="accent3"/>
          <w:insideH w:val="nil"/>
          <w:insideV w:val="single" w:sz="8" w:space="0" w:color="9DA321"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shd w:val="clear" w:color="auto" w:fill="EFF2BE" w:themeFill="accent3" w:themeFillTint="3F"/>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shd w:val="clear" w:color="auto" w:fill="EFF2BE" w:themeFill="accent3" w:themeFillTint="3F"/>
      </w:tcPr>
    </w:tblStylePr>
    <w:tblStylePr w:type="band2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tcPr>
    </w:tblStylePr>
  </w:style>
  <w:style w:type="table" w:customStyle="1" w:styleId="Jasnasiatkaakcent331">
    <w:name w:val="Jasna siatka — akcent 331"/>
    <w:basedOn w:val="Standardowy"/>
    <w:next w:val="Jasnasiatkaakcent3"/>
    <w:uiPriority w:val="62"/>
    <w:rsid w:val="00902B8A"/>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18" w:space="0" w:color="9DA321" w:themeColor="accent3"/>
          <w:right w:val="single" w:sz="8" w:space="0" w:color="9DA321" w:themeColor="accent3"/>
          <w:insideH w:val="nil"/>
          <w:insideV w:val="single" w:sz="8" w:space="0" w:color="9DA321"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shd w:val="clear" w:color="auto" w:fill="EFF2BE" w:themeFill="accent3" w:themeFillTint="3F"/>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shd w:val="clear" w:color="auto" w:fill="EFF2BE" w:themeFill="accent3" w:themeFillTint="3F"/>
      </w:tcPr>
    </w:tblStylePr>
    <w:tblStylePr w:type="band2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tcPr>
    </w:tblStylePr>
  </w:style>
  <w:style w:type="table" w:customStyle="1" w:styleId="Tabela-MPAaga22">
    <w:name w:val="Tabela-MPA_aga22"/>
    <w:basedOn w:val="Standardowy"/>
    <w:uiPriority w:val="62"/>
    <w:rsid w:val="00902B8A"/>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31">
    <w:name w:val="Tabela - Siatka31"/>
    <w:basedOn w:val="Standardowy"/>
    <w:next w:val="Tabela-Siatka"/>
    <w:uiPriority w:val="59"/>
    <w:rsid w:val="00902B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asiatka11">
    <w:name w:val="Jasna siatka11"/>
    <w:basedOn w:val="Standardowy"/>
    <w:uiPriority w:val="62"/>
    <w:rsid w:val="00902B8A"/>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leNormal4">
    <w:name w:val="Table Normal4"/>
    <w:uiPriority w:val="2"/>
    <w:semiHidden/>
    <w:unhideWhenUsed/>
    <w:qFormat/>
    <w:rsid w:val="00902B8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Siatka41">
    <w:name w:val="Tabela - Siatka41"/>
    <w:basedOn w:val="Standardowy"/>
    <w:next w:val="Tabela-Siatka"/>
    <w:uiPriority w:val="59"/>
    <w:rsid w:val="00902B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902B8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902B8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902B8A"/>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Siatka131">
    <w:name w:val="Tabela - Siatka131"/>
    <w:basedOn w:val="Standardowy"/>
    <w:next w:val="Tabela-Siatka"/>
    <w:uiPriority w:val="59"/>
    <w:rsid w:val="00902B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2">
    <w:name w:val="Jasne cieniowanie2"/>
    <w:basedOn w:val="Standardowy"/>
    <w:next w:val="Jasnecieniowanie"/>
    <w:uiPriority w:val="60"/>
    <w:rsid w:val="00902B8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ela-MPAaga111">
    <w:name w:val="Tabela-MPA_aga111"/>
    <w:basedOn w:val="Standardowy"/>
    <w:uiPriority w:val="62"/>
    <w:rsid w:val="00902B8A"/>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52">
    <w:name w:val="Tabela - Siatka52"/>
    <w:basedOn w:val="Standardowy"/>
    <w:next w:val="Tabela-Siatka"/>
    <w:uiPriority w:val="59"/>
    <w:rsid w:val="00902B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
    <w:name w:val="Tabela - Siatka61"/>
    <w:basedOn w:val="Standardowy"/>
    <w:next w:val="Tabela-Siatka"/>
    <w:uiPriority w:val="59"/>
    <w:rsid w:val="00902B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1">
    <w:name w:val="Tabela - Siatka71"/>
    <w:basedOn w:val="Standardowy"/>
    <w:next w:val="Tabela-Siatka"/>
    <w:uiPriority w:val="59"/>
    <w:rsid w:val="00902B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1">
    <w:name w:val="Tabela - Siatka81"/>
    <w:basedOn w:val="Standardowy"/>
    <w:next w:val="Tabela-Siatka"/>
    <w:uiPriority w:val="59"/>
    <w:rsid w:val="00902B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asiatkaakcent61">
    <w:name w:val="Jasna siatka — akcent 61"/>
    <w:basedOn w:val="Standardowy"/>
    <w:next w:val="Jasnasiatkaakcent6"/>
    <w:uiPriority w:val="62"/>
    <w:rsid w:val="00902B8A"/>
    <w:pPr>
      <w:spacing w:after="0" w:line="240" w:lineRule="auto"/>
    </w:pPr>
    <w:tblPr>
      <w:tblStyleRowBandSize w:val="1"/>
      <w:tblStyleColBandSize w:val="1"/>
      <w:tblBorders>
        <w:top w:val="single" w:sz="8" w:space="0" w:color="C3D69B" w:themeColor="accent6"/>
        <w:left w:val="single" w:sz="8" w:space="0" w:color="C3D69B" w:themeColor="accent6"/>
        <w:bottom w:val="single" w:sz="8" w:space="0" w:color="C3D69B" w:themeColor="accent6"/>
        <w:right w:val="single" w:sz="8" w:space="0" w:color="C3D69B" w:themeColor="accent6"/>
        <w:insideH w:val="single" w:sz="8" w:space="0" w:color="C3D69B" w:themeColor="accent6"/>
        <w:insideV w:val="single" w:sz="8" w:space="0" w:color="C3D69B"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3D69B" w:themeColor="accent6"/>
          <w:left w:val="single" w:sz="8" w:space="0" w:color="C3D69B" w:themeColor="accent6"/>
          <w:bottom w:val="single" w:sz="18" w:space="0" w:color="C3D69B" w:themeColor="accent6"/>
          <w:right w:val="single" w:sz="8" w:space="0" w:color="C3D69B" w:themeColor="accent6"/>
          <w:insideH w:val="nil"/>
          <w:insideV w:val="single" w:sz="8" w:space="0" w:color="C3D69B"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3D69B" w:themeColor="accent6"/>
          <w:left w:val="single" w:sz="8" w:space="0" w:color="C3D69B" w:themeColor="accent6"/>
          <w:bottom w:val="single" w:sz="8" w:space="0" w:color="C3D69B" w:themeColor="accent6"/>
          <w:right w:val="single" w:sz="8" w:space="0" w:color="C3D69B" w:themeColor="accent6"/>
          <w:insideH w:val="nil"/>
          <w:insideV w:val="single" w:sz="8" w:space="0" w:color="C3D69B"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3D69B" w:themeColor="accent6"/>
          <w:left w:val="single" w:sz="8" w:space="0" w:color="C3D69B" w:themeColor="accent6"/>
          <w:bottom w:val="single" w:sz="8" w:space="0" w:color="C3D69B" w:themeColor="accent6"/>
          <w:right w:val="single" w:sz="8" w:space="0" w:color="C3D69B" w:themeColor="accent6"/>
        </w:tcBorders>
      </w:tcPr>
    </w:tblStylePr>
    <w:tblStylePr w:type="band1Vert">
      <w:tblPr/>
      <w:tcPr>
        <w:tcBorders>
          <w:top w:val="single" w:sz="8" w:space="0" w:color="C3D69B" w:themeColor="accent6"/>
          <w:left w:val="single" w:sz="8" w:space="0" w:color="C3D69B" w:themeColor="accent6"/>
          <w:bottom w:val="single" w:sz="8" w:space="0" w:color="C3D69B" w:themeColor="accent6"/>
          <w:right w:val="single" w:sz="8" w:space="0" w:color="C3D69B" w:themeColor="accent6"/>
        </w:tcBorders>
        <w:shd w:val="clear" w:color="auto" w:fill="F0F4E6" w:themeFill="accent6" w:themeFillTint="3F"/>
      </w:tcPr>
    </w:tblStylePr>
    <w:tblStylePr w:type="band1Horz">
      <w:tblPr/>
      <w:tcPr>
        <w:tcBorders>
          <w:top w:val="single" w:sz="8" w:space="0" w:color="C3D69B" w:themeColor="accent6"/>
          <w:left w:val="single" w:sz="8" w:space="0" w:color="C3D69B" w:themeColor="accent6"/>
          <w:bottom w:val="single" w:sz="8" w:space="0" w:color="C3D69B" w:themeColor="accent6"/>
          <w:right w:val="single" w:sz="8" w:space="0" w:color="C3D69B" w:themeColor="accent6"/>
          <w:insideV w:val="single" w:sz="8" w:space="0" w:color="C3D69B" w:themeColor="accent6"/>
        </w:tcBorders>
        <w:shd w:val="clear" w:color="auto" w:fill="F0F4E6" w:themeFill="accent6" w:themeFillTint="3F"/>
      </w:tcPr>
    </w:tblStylePr>
    <w:tblStylePr w:type="band2Horz">
      <w:tblPr/>
      <w:tcPr>
        <w:tcBorders>
          <w:top w:val="single" w:sz="8" w:space="0" w:color="C3D69B" w:themeColor="accent6"/>
          <w:left w:val="single" w:sz="8" w:space="0" w:color="C3D69B" w:themeColor="accent6"/>
          <w:bottom w:val="single" w:sz="8" w:space="0" w:color="C3D69B" w:themeColor="accent6"/>
          <w:right w:val="single" w:sz="8" w:space="0" w:color="C3D69B" w:themeColor="accent6"/>
          <w:insideV w:val="single" w:sz="8" w:space="0" w:color="C3D69B" w:themeColor="accent6"/>
        </w:tcBorders>
      </w:tcPr>
    </w:tblStylePr>
  </w:style>
  <w:style w:type="table" w:customStyle="1" w:styleId="Tabela-Siatka91">
    <w:name w:val="Tabela - Siatka91"/>
    <w:basedOn w:val="Standardowy"/>
    <w:next w:val="Tabela-Siatka"/>
    <w:uiPriority w:val="59"/>
    <w:rsid w:val="00902B8A"/>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PAaga211">
    <w:name w:val="Tabela-MPA_aga211"/>
    <w:basedOn w:val="Standardowy"/>
    <w:uiPriority w:val="62"/>
    <w:rsid w:val="00902B8A"/>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511">
    <w:name w:val="Tabela - Siatka511"/>
    <w:basedOn w:val="Standardowy"/>
    <w:next w:val="Tabela-Siatka"/>
    <w:uiPriority w:val="39"/>
    <w:rsid w:val="00902B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PAaga121">
    <w:name w:val="Tabela-MPA_aga121"/>
    <w:basedOn w:val="Standardowy"/>
    <w:uiPriority w:val="62"/>
    <w:rsid w:val="00902B8A"/>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31">
    <w:name w:val="Tabela-MPA_aga31"/>
    <w:basedOn w:val="Standardowy"/>
    <w:uiPriority w:val="62"/>
    <w:rsid w:val="00902B8A"/>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41">
    <w:name w:val="Tabela-MPA_aga41"/>
    <w:basedOn w:val="Standardowy"/>
    <w:uiPriority w:val="62"/>
    <w:rsid w:val="00902B8A"/>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101">
    <w:name w:val="Tabela - Siatka101"/>
    <w:basedOn w:val="Standardowy"/>
    <w:next w:val="Tabela-Siatka"/>
    <w:uiPriority w:val="39"/>
    <w:rsid w:val="00902B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PAaga51">
    <w:name w:val="Tabela-MPA_aga51"/>
    <w:basedOn w:val="Standardowy"/>
    <w:uiPriority w:val="62"/>
    <w:rsid w:val="00902B8A"/>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61">
    <w:name w:val="Tabela-MPA_aga61"/>
    <w:basedOn w:val="Standardowy"/>
    <w:uiPriority w:val="62"/>
    <w:rsid w:val="00902B8A"/>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111">
    <w:name w:val="Tabela - Siatka111"/>
    <w:basedOn w:val="Standardowy"/>
    <w:next w:val="Tabela-Siatka"/>
    <w:uiPriority w:val="39"/>
    <w:rsid w:val="00902B8A"/>
    <w:pPr>
      <w:spacing w:after="0" w:line="240" w:lineRule="auto"/>
    </w:pPr>
    <w:rPr>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12">
    <w:name w:val="Tabela - Siatka512"/>
    <w:basedOn w:val="Standardowy"/>
    <w:next w:val="Tabela-Siatka"/>
    <w:uiPriority w:val="39"/>
    <w:rsid w:val="006D58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Normalny"/>
    <w:rsid w:val="00370B26"/>
    <w:pPr>
      <w:spacing w:before="100" w:beforeAutospacing="1" w:after="100" w:afterAutospacing="1" w:line="240" w:lineRule="auto"/>
      <w:ind w:firstLine="0"/>
      <w:jc w:val="left"/>
    </w:pPr>
    <w:rPr>
      <w:rFonts w:ascii="Times New Roman" w:eastAsia="Times New Roman" w:hAnsi="Times New Roman" w:cs="Times New Roman"/>
      <w:color w:val="auto"/>
      <w:sz w:val="24"/>
      <w:szCs w:val="24"/>
      <w:lang w:eastAsia="pl-PL"/>
    </w:rPr>
  </w:style>
  <w:style w:type="character" w:customStyle="1" w:styleId="cf01">
    <w:name w:val="cf01"/>
    <w:basedOn w:val="Domylnaczcionkaakapitu"/>
    <w:rsid w:val="00370B26"/>
    <w:rPr>
      <w:rFonts w:ascii="Segoe UI" w:hAnsi="Segoe UI" w:cs="Segoe UI" w:hint="default"/>
      <w:sz w:val="18"/>
      <w:szCs w:val="18"/>
    </w:rPr>
  </w:style>
  <w:style w:type="paragraph" w:styleId="Spistreci4">
    <w:name w:val="toc 4"/>
    <w:basedOn w:val="Normalny"/>
    <w:next w:val="Normalny"/>
    <w:autoRedefine/>
    <w:uiPriority w:val="39"/>
    <w:unhideWhenUsed/>
    <w:rsid w:val="00230EA5"/>
    <w:pPr>
      <w:spacing w:after="100"/>
      <w:ind w:left="660" w:firstLine="0"/>
      <w:jc w:val="left"/>
    </w:pPr>
    <w:rPr>
      <w:rFonts w:eastAsiaTheme="minorEastAsia"/>
      <w:color w:val="auto"/>
      <w:lang w:val="en-GB" w:eastAsia="en-GB"/>
    </w:rPr>
  </w:style>
  <w:style w:type="paragraph" w:styleId="Spistreci5">
    <w:name w:val="toc 5"/>
    <w:basedOn w:val="Normalny"/>
    <w:next w:val="Normalny"/>
    <w:autoRedefine/>
    <w:uiPriority w:val="39"/>
    <w:unhideWhenUsed/>
    <w:rsid w:val="00230EA5"/>
    <w:pPr>
      <w:spacing w:after="100"/>
      <w:ind w:left="880" w:firstLine="0"/>
      <w:jc w:val="left"/>
    </w:pPr>
    <w:rPr>
      <w:rFonts w:eastAsiaTheme="minorEastAsia"/>
      <w:color w:val="auto"/>
      <w:lang w:val="en-GB" w:eastAsia="en-GB"/>
    </w:rPr>
  </w:style>
  <w:style w:type="paragraph" w:styleId="Spistreci6">
    <w:name w:val="toc 6"/>
    <w:basedOn w:val="Normalny"/>
    <w:next w:val="Normalny"/>
    <w:autoRedefine/>
    <w:uiPriority w:val="39"/>
    <w:unhideWhenUsed/>
    <w:rsid w:val="00230EA5"/>
    <w:pPr>
      <w:spacing w:after="100"/>
      <w:ind w:left="1100" w:firstLine="0"/>
      <w:jc w:val="left"/>
    </w:pPr>
    <w:rPr>
      <w:rFonts w:eastAsiaTheme="minorEastAsia"/>
      <w:color w:val="auto"/>
      <w:lang w:val="en-GB" w:eastAsia="en-GB"/>
    </w:rPr>
  </w:style>
  <w:style w:type="paragraph" w:styleId="Spistreci7">
    <w:name w:val="toc 7"/>
    <w:basedOn w:val="Normalny"/>
    <w:next w:val="Normalny"/>
    <w:autoRedefine/>
    <w:uiPriority w:val="39"/>
    <w:unhideWhenUsed/>
    <w:rsid w:val="00230EA5"/>
    <w:pPr>
      <w:spacing w:after="100"/>
      <w:ind w:left="1320" w:firstLine="0"/>
      <w:jc w:val="left"/>
    </w:pPr>
    <w:rPr>
      <w:rFonts w:eastAsiaTheme="minorEastAsia"/>
      <w:color w:val="auto"/>
      <w:lang w:val="en-GB" w:eastAsia="en-GB"/>
    </w:rPr>
  </w:style>
  <w:style w:type="paragraph" w:styleId="Spistreci8">
    <w:name w:val="toc 8"/>
    <w:basedOn w:val="Normalny"/>
    <w:next w:val="Normalny"/>
    <w:autoRedefine/>
    <w:uiPriority w:val="39"/>
    <w:unhideWhenUsed/>
    <w:rsid w:val="00230EA5"/>
    <w:pPr>
      <w:spacing w:after="100"/>
      <w:ind w:left="1540" w:firstLine="0"/>
      <w:jc w:val="left"/>
    </w:pPr>
    <w:rPr>
      <w:rFonts w:eastAsiaTheme="minorEastAsia"/>
      <w:color w:val="auto"/>
      <w:lang w:val="en-GB" w:eastAsia="en-GB"/>
    </w:rPr>
  </w:style>
  <w:style w:type="paragraph" w:styleId="Spistreci9">
    <w:name w:val="toc 9"/>
    <w:basedOn w:val="Normalny"/>
    <w:next w:val="Normalny"/>
    <w:autoRedefine/>
    <w:uiPriority w:val="39"/>
    <w:unhideWhenUsed/>
    <w:rsid w:val="00230EA5"/>
    <w:pPr>
      <w:spacing w:after="100"/>
      <w:ind w:left="1760" w:firstLine="0"/>
      <w:jc w:val="left"/>
    </w:pPr>
    <w:rPr>
      <w:rFonts w:eastAsiaTheme="minorEastAsia"/>
      <w:color w:val="auto"/>
      <w:lang w:val="en-GB" w:eastAsia="en-GB"/>
    </w:rPr>
  </w:style>
  <w:style w:type="table" w:customStyle="1" w:styleId="Tabela-Siatka15">
    <w:name w:val="Tabela - Siatka15"/>
    <w:basedOn w:val="Standardowy"/>
    <w:next w:val="Tabela-Siatka"/>
    <w:uiPriority w:val="39"/>
    <w:rsid w:val="00CB24B5"/>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6">
    <w:name w:val="Tabela - Siatka16"/>
    <w:basedOn w:val="Standardowy"/>
    <w:next w:val="Tabela-Siatka"/>
    <w:uiPriority w:val="59"/>
    <w:rsid w:val="00A12268"/>
    <w:pPr>
      <w:suppressAutoHyphens/>
      <w:spacing w:after="0" w:line="240" w:lineRule="auto"/>
    </w:pPr>
    <w:rPr>
      <w:rFonts w:ascii="Liberation Serif" w:eastAsia="NSimSun" w:hAnsi="Liberation Serif" w:cs="Lucida Sans"/>
      <w:kern w:val="2"/>
      <w:sz w:val="24"/>
      <w:szCs w:val="24"/>
      <w:lang w:eastAsia="zh-CN" w:bidi="hi-I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MPAaga611">
    <w:name w:val="Tabela-MPA_aga611"/>
    <w:basedOn w:val="Standardowy"/>
    <w:uiPriority w:val="62"/>
    <w:rsid w:val="001B1B47"/>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17">
    <w:name w:val="Tabela - Siatka17"/>
    <w:basedOn w:val="Standardowy"/>
    <w:next w:val="Tabela-Siatka"/>
    <w:uiPriority w:val="59"/>
    <w:rsid w:val="009B092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PAaga1211">
    <w:name w:val="Tabela-MPA_aga1211"/>
    <w:basedOn w:val="Standardowy"/>
    <w:uiPriority w:val="62"/>
    <w:rsid w:val="00B524CA"/>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Cambria" w:eastAsia="Times New Roman" w:hAnsi="Cambria" w:cs="Times New Roman"/>
        <w:b/>
        <w:bCs/>
      </w:rPr>
      <w:tblPr/>
      <w:tcPr>
        <w:shd w:val="clear" w:color="auto" w:fill="92D050"/>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6EED5"/>
      </w:tcPr>
    </w:tblStylePr>
    <w:tblStylePr w:type="band1Horz">
      <w:tblPr/>
      <w:tcPr>
        <w:shd w:val="clear" w:color="auto" w:fill="EAF1DD"/>
      </w:tcPr>
    </w:tblStylePr>
  </w:style>
  <w:style w:type="table" w:styleId="Jasnecieniowanieakcent3">
    <w:name w:val="Light Shading Accent 3"/>
    <w:basedOn w:val="Standardowy"/>
    <w:uiPriority w:val="60"/>
    <w:rsid w:val="0022695D"/>
    <w:pPr>
      <w:spacing w:after="0" w:line="240" w:lineRule="auto"/>
    </w:pPr>
    <w:rPr>
      <w:color w:val="757918" w:themeColor="accent3" w:themeShade="BF"/>
    </w:rPr>
    <w:tblPr>
      <w:tblStyleRowBandSize w:val="1"/>
      <w:tblStyleColBandSize w:val="1"/>
      <w:tblBorders>
        <w:top w:val="single" w:sz="8" w:space="0" w:color="9DA321" w:themeColor="accent3"/>
        <w:bottom w:val="single" w:sz="8" w:space="0" w:color="9DA321" w:themeColor="accent3"/>
      </w:tblBorders>
    </w:tblPr>
    <w:tblStylePr w:type="firstRow">
      <w:pPr>
        <w:spacing w:before="0" w:after="0" w:line="240" w:lineRule="auto"/>
      </w:pPr>
      <w:rPr>
        <w:b/>
        <w:bCs/>
      </w:rPr>
      <w:tblPr/>
      <w:tcPr>
        <w:tcBorders>
          <w:top w:val="single" w:sz="8" w:space="0" w:color="9DA321" w:themeColor="accent3"/>
          <w:left w:val="nil"/>
          <w:bottom w:val="single" w:sz="8" w:space="0" w:color="9DA321" w:themeColor="accent3"/>
          <w:right w:val="nil"/>
          <w:insideH w:val="nil"/>
          <w:insideV w:val="nil"/>
        </w:tcBorders>
      </w:tcPr>
    </w:tblStylePr>
    <w:tblStylePr w:type="lastRow">
      <w:pPr>
        <w:spacing w:before="0" w:after="0" w:line="240" w:lineRule="auto"/>
      </w:pPr>
      <w:rPr>
        <w:b/>
        <w:bCs/>
      </w:rPr>
      <w:tblPr/>
      <w:tcPr>
        <w:tcBorders>
          <w:top w:val="single" w:sz="8" w:space="0" w:color="9DA321" w:themeColor="accent3"/>
          <w:left w:val="nil"/>
          <w:bottom w:val="single" w:sz="8" w:space="0" w:color="9DA321"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F2BE" w:themeFill="accent3" w:themeFillTint="3F"/>
      </w:tcPr>
    </w:tblStylePr>
    <w:tblStylePr w:type="band1Horz">
      <w:tblPr/>
      <w:tcPr>
        <w:tcBorders>
          <w:left w:val="nil"/>
          <w:right w:val="nil"/>
          <w:insideH w:val="nil"/>
          <w:insideV w:val="nil"/>
        </w:tcBorders>
        <w:shd w:val="clear" w:color="auto" w:fill="EFF2BE" w:themeFill="accent3" w:themeFillTint="3F"/>
      </w:tcPr>
    </w:tblStylePr>
  </w:style>
  <w:style w:type="numbering" w:customStyle="1" w:styleId="Bezlisty2">
    <w:name w:val="Bez listy2"/>
    <w:next w:val="Bezlisty"/>
    <w:uiPriority w:val="99"/>
    <w:semiHidden/>
    <w:unhideWhenUsed/>
    <w:rsid w:val="00942EF2"/>
  </w:style>
  <w:style w:type="table" w:customStyle="1" w:styleId="Tabela-Siatka18">
    <w:name w:val="Tabela - Siatka18"/>
    <w:basedOn w:val="Standardowy"/>
    <w:next w:val="Tabela-Siatka"/>
    <w:uiPriority w:val="5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
    <w:name w:val="Tabela - Siatka22"/>
    <w:basedOn w:val="Standardowy"/>
    <w:next w:val="Tabela-Siatka"/>
    <w:uiPriority w:val="5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9">
    <w:name w:val="Tabela - Siatka19"/>
    <w:basedOn w:val="Standardowy"/>
    <w:next w:val="Tabela-Siatka"/>
    <w:uiPriority w:val="5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13">
    <w:name w:val="Jasne cieniowanie13"/>
    <w:basedOn w:val="Standardowy"/>
    <w:uiPriority w:val="60"/>
    <w:rsid w:val="00942EF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Jasnalistaakcent32">
    <w:name w:val="Jasna lista — akcent 32"/>
    <w:basedOn w:val="Standardowy"/>
    <w:next w:val="Jasnalistaakcent3"/>
    <w:uiPriority w:val="61"/>
    <w:rsid w:val="00942EF2"/>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tblBorders>
    </w:tblPr>
    <w:tblStylePr w:type="firstRow">
      <w:pPr>
        <w:spacing w:before="0" w:after="0" w:line="240" w:lineRule="auto"/>
      </w:pPr>
      <w:rPr>
        <w:b/>
        <w:bCs/>
        <w:color w:val="FFFFFF" w:themeColor="background1"/>
      </w:rPr>
      <w:tblPr/>
      <w:tcPr>
        <w:shd w:val="clear" w:color="auto" w:fill="9DA321" w:themeFill="accent3"/>
      </w:tcPr>
    </w:tblStylePr>
    <w:tblStylePr w:type="lastRow">
      <w:pPr>
        <w:spacing w:before="0" w:after="0" w:line="240" w:lineRule="auto"/>
      </w:pPr>
      <w:rPr>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tcBorders>
      </w:tcPr>
    </w:tblStylePr>
    <w:tblStylePr w:type="firstCol">
      <w:rPr>
        <w:b/>
        <w:bCs/>
      </w:rPr>
    </w:tblStylePr>
    <w:tblStylePr w:type="lastCol">
      <w:rPr>
        <w:b/>
        <w:bCs/>
      </w:r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style>
  <w:style w:type="table" w:customStyle="1" w:styleId="Jasnalista12">
    <w:name w:val="Jasna lista12"/>
    <w:basedOn w:val="Standardowy"/>
    <w:uiPriority w:val="61"/>
    <w:rsid w:val="00942EF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elasiatki4akcent613">
    <w:name w:val="Tabela siatki 4 — akcent 613"/>
    <w:basedOn w:val="Standardowy"/>
    <w:uiPriority w:val="49"/>
    <w:rsid w:val="00942EF2"/>
    <w:pPr>
      <w:spacing w:after="0" w:line="240" w:lineRule="auto"/>
    </w:pPr>
    <w:tblPr>
      <w:tblStyleRowBandSize w:val="1"/>
      <w:tblStyleColBandSize w:val="1"/>
      <w:tblBorders>
        <w:top w:val="single" w:sz="4" w:space="0" w:color="DAE6C2" w:themeColor="accent6" w:themeTint="99"/>
        <w:left w:val="single" w:sz="4" w:space="0" w:color="DAE6C2" w:themeColor="accent6" w:themeTint="99"/>
        <w:bottom w:val="single" w:sz="4" w:space="0" w:color="DAE6C2" w:themeColor="accent6" w:themeTint="99"/>
        <w:right w:val="single" w:sz="4" w:space="0" w:color="DAE6C2" w:themeColor="accent6" w:themeTint="99"/>
        <w:insideH w:val="single" w:sz="4" w:space="0" w:color="DAE6C2" w:themeColor="accent6" w:themeTint="99"/>
        <w:insideV w:val="single" w:sz="4" w:space="0" w:color="DAE6C2" w:themeColor="accent6" w:themeTint="99"/>
      </w:tblBorders>
    </w:tblPr>
    <w:tblStylePr w:type="firstRow">
      <w:rPr>
        <w:b/>
        <w:bCs/>
        <w:color w:val="FFFFFF" w:themeColor="background1"/>
      </w:rPr>
      <w:tblPr/>
      <w:tcPr>
        <w:tcBorders>
          <w:top w:val="single" w:sz="4" w:space="0" w:color="C3D69B" w:themeColor="accent6"/>
          <w:left w:val="single" w:sz="4" w:space="0" w:color="C3D69B" w:themeColor="accent6"/>
          <w:bottom w:val="single" w:sz="4" w:space="0" w:color="C3D69B" w:themeColor="accent6"/>
          <w:right w:val="single" w:sz="4" w:space="0" w:color="C3D69B" w:themeColor="accent6"/>
          <w:insideH w:val="nil"/>
          <w:insideV w:val="nil"/>
        </w:tcBorders>
        <w:shd w:val="clear" w:color="auto" w:fill="C3D69B" w:themeFill="accent6"/>
      </w:tcPr>
    </w:tblStylePr>
    <w:tblStylePr w:type="lastRow">
      <w:rPr>
        <w:b/>
        <w:bCs/>
      </w:rPr>
      <w:tblPr/>
      <w:tcPr>
        <w:tcBorders>
          <w:top w:val="double" w:sz="4" w:space="0" w:color="C3D69B" w:themeColor="accent6"/>
        </w:tcBorders>
      </w:tcPr>
    </w:tblStylePr>
    <w:tblStylePr w:type="firstCol">
      <w:rPr>
        <w:b/>
        <w:bCs/>
      </w:rPr>
    </w:tblStylePr>
    <w:tblStylePr w:type="lastCol">
      <w:rPr>
        <w:b/>
        <w:bCs/>
      </w:rPr>
    </w:tblStylePr>
    <w:tblStylePr w:type="band1Vert">
      <w:tblPr/>
      <w:tcPr>
        <w:shd w:val="clear" w:color="auto" w:fill="F2F6EA" w:themeFill="accent6" w:themeFillTint="33"/>
      </w:tcPr>
    </w:tblStylePr>
    <w:tblStylePr w:type="band1Horz">
      <w:tblPr/>
      <w:tcPr>
        <w:shd w:val="clear" w:color="auto" w:fill="F2F6EA" w:themeFill="accent6" w:themeFillTint="33"/>
      </w:tcPr>
    </w:tblStylePr>
  </w:style>
  <w:style w:type="table" w:customStyle="1" w:styleId="Jasnecieniowanieakcent22">
    <w:name w:val="Jasne cieniowanie — akcent 22"/>
    <w:basedOn w:val="Standardowy"/>
    <w:next w:val="Jasnecieniowanieakcent2"/>
    <w:uiPriority w:val="60"/>
    <w:rsid w:val="00942EF2"/>
    <w:pPr>
      <w:spacing w:after="0" w:line="240" w:lineRule="auto"/>
    </w:pPr>
    <w:rPr>
      <w:color w:val="979D40" w:themeColor="accent2" w:themeShade="BF"/>
    </w:rPr>
    <w:tblPr>
      <w:tblStyleRowBandSize w:val="1"/>
      <w:tblStyleColBandSize w:val="1"/>
      <w:tblBorders>
        <w:top w:val="single" w:sz="8" w:space="0" w:color="BCC167" w:themeColor="accent2"/>
        <w:bottom w:val="single" w:sz="8" w:space="0" w:color="BCC167" w:themeColor="accent2"/>
      </w:tblBorders>
    </w:tblPr>
    <w:tblStylePr w:type="firstRow">
      <w:pPr>
        <w:spacing w:before="0" w:after="0" w:line="240" w:lineRule="auto"/>
      </w:pPr>
      <w:rPr>
        <w:b/>
        <w:bCs/>
      </w:rPr>
      <w:tblPr/>
      <w:tcPr>
        <w:tcBorders>
          <w:top w:val="single" w:sz="8" w:space="0" w:color="BCC167" w:themeColor="accent2"/>
          <w:left w:val="nil"/>
          <w:bottom w:val="single" w:sz="8" w:space="0" w:color="BCC167" w:themeColor="accent2"/>
          <w:right w:val="nil"/>
          <w:insideH w:val="nil"/>
          <w:insideV w:val="nil"/>
        </w:tcBorders>
      </w:tcPr>
    </w:tblStylePr>
    <w:tblStylePr w:type="lastRow">
      <w:pPr>
        <w:spacing w:before="0" w:after="0" w:line="240" w:lineRule="auto"/>
      </w:pPr>
      <w:rPr>
        <w:b/>
        <w:bCs/>
      </w:rPr>
      <w:tblPr/>
      <w:tcPr>
        <w:tcBorders>
          <w:top w:val="single" w:sz="8" w:space="0" w:color="BCC167" w:themeColor="accent2"/>
          <w:left w:val="nil"/>
          <w:bottom w:val="single" w:sz="8" w:space="0" w:color="BCC167"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EFD9" w:themeFill="accent2" w:themeFillTint="3F"/>
      </w:tcPr>
    </w:tblStylePr>
    <w:tblStylePr w:type="band1Horz">
      <w:tblPr/>
      <w:tcPr>
        <w:tcBorders>
          <w:left w:val="nil"/>
          <w:right w:val="nil"/>
          <w:insideH w:val="nil"/>
          <w:insideV w:val="nil"/>
        </w:tcBorders>
        <w:shd w:val="clear" w:color="auto" w:fill="EEEFD9" w:themeFill="accent2" w:themeFillTint="3F"/>
      </w:tcPr>
    </w:tblStylePr>
  </w:style>
  <w:style w:type="table" w:customStyle="1" w:styleId="Jasnasiatkaakcent35">
    <w:name w:val="Jasna siatka — akcent 35"/>
    <w:basedOn w:val="Standardowy"/>
    <w:next w:val="Jasnasiatkaakcent3"/>
    <w:uiPriority w:val="62"/>
    <w:rsid w:val="00942EF2"/>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18" w:space="0" w:color="9DA321" w:themeColor="accent3"/>
          <w:right w:val="single" w:sz="8" w:space="0" w:color="9DA321" w:themeColor="accent3"/>
          <w:insideH w:val="nil"/>
          <w:insideV w:val="single" w:sz="8" w:space="0" w:color="9DA321"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shd w:val="clear" w:color="auto" w:fill="EFF2BE" w:themeFill="accent3" w:themeFillTint="3F"/>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shd w:val="clear" w:color="auto" w:fill="EFF2BE" w:themeFill="accent3" w:themeFillTint="3F"/>
      </w:tcPr>
    </w:tblStylePr>
    <w:tblStylePr w:type="band2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tcPr>
    </w:tblStylePr>
  </w:style>
  <w:style w:type="table" w:customStyle="1" w:styleId="Jasnasiatkaakcent22">
    <w:name w:val="Jasna siatka — akcent 22"/>
    <w:basedOn w:val="Standardowy"/>
    <w:next w:val="Jasnasiatkaakcent2"/>
    <w:uiPriority w:val="62"/>
    <w:rsid w:val="00942EF2"/>
    <w:pPr>
      <w:spacing w:after="0" w:line="240" w:lineRule="auto"/>
    </w:pPr>
    <w:tblPr>
      <w:tblStyleRowBandSize w:val="1"/>
      <w:tblStyleColBandSize w:val="1"/>
      <w:tblBorders>
        <w:top w:val="single" w:sz="8" w:space="0" w:color="BCC167" w:themeColor="accent2"/>
        <w:left w:val="single" w:sz="8" w:space="0" w:color="BCC167" w:themeColor="accent2"/>
        <w:bottom w:val="single" w:sz="8" w:space="0" w:color="BCC167" w:themeColor="accent2"/>
        <w:right w:val="single" w:sz="8" w:space="0" w:color="BCC167" w:themeColor="accent2"/>
        <w:insideH w:val="single" w:sz="8" w:space="0" w:color="BCC167" w:themeColor="accent2"/>
        <w:insideV w:val="single" w:sz="8" w:space="0" w:color="BCC167"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CC167" w:themeColor="accent2"/>
          <w:left w:val="single" w:sz="8" w:space="0" w:color="BCC167" w:themeColor="accent2"/>
          <w:bottom w:val="single" w:sz="18" w:space="0" w:color="BCC167" w:themeColor="accent2"/>
          <w:right w:val="single" w:sz="8" w:space="0" w:color="BCC167" w:themeColor="accent2"/>
          <w:insideH w:val="nil"/>
          <w:insideV w:val="single" w:sz="8" w:space="0" w:color="BCC167"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CC167" w:themeColor="accent2"/>
          <w:left w:val="single" w:sz="8" w:space="0" w:color="BCC167" w:themeColor="accent2"/>
          <w:bottom w:val="single" w:sz="8" w:space="0" w:color="BCC167" w:themeColor="accent2"/>
          <w:right w:val="single" w:sz="8" w:space="0" w:color="BCC167" w:themeColor="accent2"/>
          <w:insideH w:val="nil"/>
          <w:insideV w:val="single" w:sz="8" w:space="0" w:color="BCC167"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CC167" w:themeColor="accent2"/>
          <w:left w:val="single" w:sz="8" w:space="0" w:color="BCC167" w:themeColor="accent2"/>
          <w:bottom w:val="single" w:sz="8" w:space="0" w:color="BCC167" w:themeColor="accent2"/>
          <w:right w:val="single" w:sz="8" w:space="0" w:color="BCC167" w:themeColor="accent2"/>
        </w:tcBorders>
      </w:tcPr>
    </w:tblStylePr>
    <w:tblStylePr w:type="band1Vert">
      <w:tblPr/>
      <w:tcPr>
        <w:tcBorders>
          <w:top w:val="single" w:sz="8" w:space="0" w:color="BCC167" w:themeColor="accent2"/>
          <w:left w:val="single" w:sz="8" w:space="0" w:color="BCC167" w:themeColor="accent2"/>
          <w:bottom w:val="single" w:sz="8" w:space="0" w:color="BCC167" w:themeColor="accent2"/>
          <w:right w:val="single" w:sz="8" w:space="0" w:color="BCC167" w:themeColor="accent2"/>
        </w:tcBorders>
        <w:shd w:val="clear" w:color="auto" w:fill="EEEFD9" w:themeFill="accent2" w:themeFillTint="3F"/>
      </w:tcPr>
    </w:tblStylePr>
    <w:tblStylePr w:type="band1Horz">
      <w:tblPr/>
      <w:tcPr>
        <w:tcBorders>
          <w:top w:val="single" w:sz="8" w:space="0" w:color="BCC167" w:themeColor="accent2"/>
          <w:left w:val="single" w:sz="8" w:space="0" w:color="BCC167" w:themeColor="accent2"/>
          <w:bottom w:val="single" w:sz="8" w:space="0" w:color="BCC167" w:themeColor="accent2"/>
          <w:right w:val="single" w:sz="8" w:space="0" w:color="BCC167" w:themeColor="accent2"/>
          <w:insideV w:val="single" w:sz="8" w:space="0" w:color="BCC167" w:themeColor="accent2"/>
        </w:tcBorders>
        <w:shd w:val="clear" w:color="auto" w:fill="EEEFD9" w:themeFill="accent2" w:themeFillTint="3F"/>
      </w:tcPr>
    </w:tblStylePr>
    <w:tblStylePr w:type="band2Horz">
      <w:tblPr/>
      <w:tcPr>
        <w:tcBorders>
          <w:top w:val="single" w:sz="8" w:space="0" w:color="BCC167" w:themeColor="accent2"/>
          <w:left w:val="single" w:sz="8" w:space="0" w:color="BCC167" w:themeColor="accent2"/>
          <w:bottom w:val="single" w:sz="8" w:space="0" w:color="BCC167" w:themeColor="accent2"/>
          <w:right w:val="single" w:sz="8" w:space="0" w:color="BCC167" w:themeColor="accent2"/>
          <w:insideV w:val="single" w:sz="8" w:space="0" w:color="BCC167" w:themeColor="accent2"/>
        </w:tcBorders>
      </w:tcPr>
    </w:tblStylePr>
  </w:style>
  <w:style w:type="table" w:customStyle="1" w:styleId="Jasnecieniowanie112">
    <w:name w:val="Jasne cieniowanie112"/>
    <w:basedOn w:val="Standardowy"/>
    <w:next w:val="Jasnecieniowanie1"/>
    <w:uiPriority w:val="60"/>
    <w:rsid w:val="00942EF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elasiatki4akcent6112">
    <w:name w:val="Tabela siatki 4 — akcent 6112"/>
    <w:basedOn w:val="Standardowy"/>
    <w:uiPriority w:val="49"/>
    <w:rsid w:val="00942EF2"/>
    <w:pPr>
      <w:spacing w:after="0" w:line="240" w:lineRule="auto"/>
    </w:pPr>
    <w:tblPr>
      <w:tblStyleRowBandSize w:val="1"/>
      <w:tblStyleColBandSize w:val="1"/>
      <w:tblBorders>
        <w:top w:val="single" w:sz="4" w:space="0" w:color="DAE6C2" w:themeColor="accent6" w:themeTint="99"/>
        <w:left w:val="single" w:sz="4" w:space="0" w:color="DAE6C2" w:themeColor="accent6" w:themeTint="99"/>
        <w:bottom w:val="single" w:sz="4" w:space="0" w:color="DAE6C2" w:themeColor="accent6" w:themeTint="99"/>
        <w:right w:val="single" w:sz="4" w:space="0" w:color="DAE6C2" w:themeColor="accent6" w:themeTint="99"/>
        <w:insideH w:val="single" w:sz="4" w:space="0" w:color="DAE6C2" w:themeColor="accent6" w:themeTint="99"/>
        <w:insideV w:val="single" w:sz="4" w:space="0" w:color="DAE6C2" w:themeColor="accent6" w:themeTint="99"/>
      </w:tblBorders>
    </w:tblPr>
    <w:tblStylePr w:type="firstRow">
      <w:rPr>
        <w:b/>
        <w:bCs/>
        <w:color w:val="FFFFFF" w:themeColor="background1"/>
      </w:rPr>
      <w:tblPr/>
      <w:tcPr>
        <w:tcBorders>
          <w:top w:val="single" w:sz="4" w:space="0" w:color="C3D69B" w:themeColor="accent6"/>
          <w:left w:val="single" w:sz="4" w:space="0" w:color="C3D69B" w:themeColor="accent6"/>
          <w:bottom w:val="single" w:sz="4" w:space="0" w:color="C3D69B" w:themeColor="accent6"/>
          <w:right w:val="single" w:sz="4" w:space="0" w:color="C3D69B" w:themeColor="accent6"/>
          <w:insideH w:val="nil"/>
          <w:insideV w:val="nil"/>
        </w:tcBorders>
        <w:shd w:val="clear" w:color="auto" w:fill="C3D69B" w:themeFill="accent6"/>
      </w:tcPr>
    </w:tblStylePr>
    <w:tblStylePr w:type="lastRow">
      <w:rPr>
        <w:b/>
        <w:bCs/>
      </w:rPr>
      <w:tblPr/>
      <w:tcPr>
        <w:tcBorders>
          <w:top w:val="double" w:sz="4" w:space="0" w:color="C3D69B" w:themeColor="accent6"/>
        </w:tcBorders>
      </w:tcPr>
    </w:tblStylePr>
    <w:tblStylePr w:type="firstCol">
      <w:rPr>
        <w:b/>
        <w:bCs/>
      </w:rPr>
    </w:tblStylePr>
    <w:tblStylePr w:type="lastCol">
      <w:rPr>
        <w:b/>
        <w:bCs/>
      </w:rPr>
    </w:tblStylePr>
    <w:tblStylePr w:type="band1Vert">
      <w:tblPr/>
      <w:tcPr>
        <w:shd w:val="clear" w:color="auto" w:fill="F2F6EA" w:themeFill="accent6" w:themeFillTint="33"/>
      </w:tcPr>
    </w:tblStylePr>
    <w:tblStylePr w:type="band1Horz">
      <w:tblPr/>
      <w:tcPr>
        <w:shd w:val="clear" w:color="auto" w:fill="F2F6EA" w:themeFill="accent6" w:themeFillTint="33"/>
      </w:tcPr>
    </w:tblStylePr>
  </w:style>
  <w:style w:type="table" w:customStyle="1" w:styleId="Jasnasiatkaakcent312">
    <w:name w:val="Jasna siatka — akcent 312"/>
    <w:basedOn w:val="Standardowy"/>
    <w:uiPriority w:val="62"/>
    <w:rsid w:val="00942EF2"/>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shd w:val="clear" w:color="auto" w:fill="9DA321" w:themeFill="accent3"/>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tblPr/>
      <w:tcPr>
        <w:tcBorders>
          <w:top w:val="nil"/>
          <w:left w:val="nil"/>
          <w:bottom w:val="nil"/>
          <w:right w:val="nil"/>
          <w:insideH w:val="nil"/>
          <w:insideV w:val="nil"/>
        </w:tcBorders>
        <w:shd w:val="clear" w:color="auto" w:fill="EFF2BE" w:themeFill="accent3" w:themeFillTint="3F"/>
      </w:tcPr>
    </w:tblStylePr>
    <w:tblStylePr w:type="band2Horz">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Tabela-MPAaga8">
    <w:name w:val="Tabela-MPA_aga8"/>
    <w:basedOn w:val="Standardowy"/>
    <w:uiPriority w:val="62"/>
    <w:rsid w:val="00942EF2"/>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14">
    <w:name w:val="Tabela-MPA_aga14"/>
    <w:basedOn w:val="Standardowy"/>
    <w:uiPriority w:val="62"/>
    <w:rsid w:val="00942EF2"/>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Jasnasiatkaakcent322">
    <w:name w:val="Jasna siatka — akcent 322"/>
    <w:basedOn w:val="Standardowy"/>
    <w:next w:val="Jasnasiatkaakcent3"/>
    <w:uiPriority w:val="62"/>
    <w:rsid w:val="00942EF2"/>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18" w:space="0" w:color="9DA321" w:themeColor="accent3"/>
          <w:right w:val="single" w:sz="8" w:space="0" w:color="9DA321" w:themeColor="accent3"/>
          <w:insideH w:val="nil"/>
          <w:insideV w:val="single" w:sz="8" w:space="0" w:color="9DA321"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shd w:val="clear" w:color="auto" w:fill="EFF2BE" w:themeFill="accent3" w:themeFillTint="3F"/>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shd w:val="clear" w:color="auto" w:fill="EFF2BE" w:themeFill="accent3" w:themeFillTint="3F"/>
      </w:tcPr>
    </w:tblStylePr>
    <w:tblStylePr w:type="band2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tcPr>
    </w:tblStylePr>
  </w:style>
  <w:style w:type="table" w:customStyle="1" w:styleId="Jasnasiatkaakcent332">
    <w:name w:val="Jasna siatka — akcent 332"/>
    <w:basedOn w:val="Standardowy"/>
    <w:next w:val="Jasnasiatkaakcent3"/>
    <w:uiPriority w:val="62"/>
    <w:rsid w:val="00942EF2"/>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18" w:space="0" w:color="9DA321" w:themeColor="accent3"/>
          <w:right w:val="single" w:sz="8" w:space="0" w:color="9DA321" w:themeColor="accent3"/>
          <w:insideH w:val="nil"/>
          <w:insideV w:val="single" w:sz="8" w:space="0" w:color="9DA321"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shd w:val="clear" w:color="auto" w:fill="EFF2BE" w:themeFill="accent3" w:themeFillTint="3F"/>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shd w:val="clear" w:color="auto" w:fill="EFF2BE" w:themeFill="accent3" w:themeFillTint="3F"/>
      </w:tcPr>
    </w:tblStylePr>
    <w:tblStylePr w:type="band2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tcPr>
    </w:tblStylePr>
  </w:style>
  <w:style w:type="table" w:customStyle="1" w:styleId="Tabela-MPAaga23">
    <w:name w:val="Tabela-MPA_aga23"/>
    <w:basedOn w:val="Standardowy"/>
    <w:uiPriority w:val="62"/>
    <w:rsid w:val="00942EF2"/>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32">
    <w:name w:val="Tabela - Siatka32"/>
    <w:basedOn w:val="Standardowy"/>
    <w:next w:val="Tabela-Siatka"/>
    <w:uiPriority w:val="5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asiatka12">
    <w:name w:val="Jasna siatka12"/>
    <w:basedOn w:val="Standardowy"/>
    <w:uiPriority w:val="62"/>
    <w:rsid w:val="00942EF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leNormal5">
    <w:name w:val="Table Normal5"/>
    <w:uiPriority w:val="2"/>
    <w:semiHidden/>
    <w:unhideWhenUsed/>
    <w:qFormat/>
    <w:rsid w:val="00942EF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Siatka42">
    <w:name w:val="Tabela - Siatka42"/>
    <w:basedOn w:val="Standardowy"/>
    <w:next w:val="Tabela-Siatka"/>
    <w:uiPriority w:val="5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2">
    <w:name w:val="Table Normal12"/>
    <w:uiPriority w:val="2"/>
    <w:semiHidden/>
    <w:unhideWhenUsed/>
    <w:qFormat/>
    <w:rsid w:val="00942EF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942EF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942EF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Siatka132">
    <w:name w:val="Tabela - Siatka132"/>
    <w:basedOn w:val="Standardowy"/>
    <w:next w:val="Tabela-Siatka"/>
    <w:uiPriority w:val="5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3">
    <w:name w:val="Jasne cieniowanie3"/>
    <w:basedOn w:val="Standardowy"/>
    <w:next w:val="Jasnecieniowanie"/>
    <w:uiPriority w:val="60"/>
    <w:rsid w:val="00942EF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ela-MPAaga112">
    <w:name w:val="Tabela-MPA_aga112"/>
    <w:basedOn w:val="Standardowy"/>
    <w:uiPriority w:val="62"/>
    <w:rsid w:val="00942EF2"/>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53">
    <w:name w:val="Tabela - Siatka53"/>
    <w:basedOn w:val="Standardowy"/>
    <w:next w:val="Tabela-Siatka"/>
    <w:uiPriority w:val="5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2">
    <w:name w:val="Tabela - Siatka62"/>
    <w:basedOn w:val="Standardowy"/>
    <w:next w:val="Tabela-Siatka"/>
    <w:uiPriority w:val="5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2">
    <w:name w:val="Tabela - Siatka72"/>
    <w:basedOn w:val="Standardowy"/>
    <w:next w:val="Tabela-Siatka"/>
    <w:uiPriority w:val="5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2">
    <w:name w:val="Tabela - Siatka82"/>
    <w:basedOn w:val="Standardowy"/>
    <w:next w:val="Tabela-Siatka"/>
    <w:uiPriority w:val="5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asiatkaakcent62">
    <w:name w:val="Jasna siatka — akcent 62"/>
    <w:basedOn w:val="Standardowy"/>
    <w:next w:val="Jasnasiatkaakcent6"/>
    <w:uiPriority w:val="62"/>
    <w:rsid w:val="00942EF2"/>
    <w:pPr>
      <w:spacing w:after="0" w:line="240" w:lineRule="auto"/>
    </w:pPr>
    <w:tblPr>
      <w:tblStyleRowBandSize w:val="1"/>
      <w:tblStyleColBandSize w:val="1"/>
      <w:tblBorders>
        <w:top w:val="single" w:sz="8" w:space="0" w:color="C3D69B" w:themeColor="accent6"/>
        <w:left w:val="single" w:sz="8" w:space="0" w:color="C3D69B" w:themeColor="accent6"/>
        <w:bottom w:val="single" w:sz="8" w:space="0" w:color="C3D69B" w:themeColor="accent6"/>
        <w:right w:val="single" w:sz="8" w:space="0" w:color="C3D69B" w:themeColor="accent6"/>
        <w:insideH w:val="single" w:sz="8" w:space="0" w:color="C3D69B" w:themeColor="accent6"/>
        <w:insideV w:val="single" w:sz="8" w:space="0" w:color="C3D69B"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3D69B" w:themeColor="accent6"/>
          <w:left w:val="single" w:sz="8" w:space="0" w:color="C3D69B" w:themeColor="accent6"/>
          <w:bottom w:val="single" w:sz="18" w:space="0" w:color="C3D69B" w:themeColor="accent6"/>
          <w:right w:val="single" w:sz="8" w:space="0" w:color="C3D69B" w:themeColor="accent6"/>
          <w:insideH w:val="nil"/>
          <w:insideV w:val="single" w:sz="8" w:space="0" w:color="C3D69B"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3D69B" w:themeColor="accent6"/>
          <w:left w:val="single" w:sz="8" w:space="0" w:color="C3D69B" w:themeColor="accent6"/>
          <w:bottom w:val="single" w:sz="8" w:space="0" w:color="C3D69B" w:themeColor="accent6"/>
          <w:right w:val="single" w:sz="8" w:space="0" w:color="C3D69B" w:themeColor="accent6"/>
          <w:insideH w:val="nil"/>
          <w:insideV w:val="single" w:sz="8" w:space="0" w:color="C3D69B"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3D69B" w:themeColor="accent6"/>
          <w:left w:val="single" w:sz="8" w:space="0" w:color="C3D69B" w:themeColor="accent6"/>
          <w:bottom w:val="single" w:sz="8" w:space="0" w:color="C3D69B" w:themeColor="accent6"/>
          <w:right w:val="single" w:sz="8" w:space="0" w:color="C3D69B" w:themeColor="accent6"/>
        </w:tcBorders>
      </w:tcPr>
    </w:tblStylePr>
    <w:tblStylePr w:type="band1Vert">
      <w:tblPr/>
      <w:tcPr>
        <w:tcBorders>
          <w:top w:val="single" w:sz="8" w:space="0" w:color="C3D69B" w:themeColor="accent6"/>
          <w:left w:val="single" w:sz="8" w:space="0" w:color="C3D69B" w:themeColor="accent6"/>
          <w:bottom w:val="single" w:sz="8" w:space="0" w:color="C3D69B" w:themeColor="accent6"/>
          <w:right w:val="single" w:sz="8" w:space="0" w:color="C3D69B" w:themeColor="accent6"/>
        </w:tcBorders>
        <w:shd w:val="clear" w:color="auto" w:fill="F0F4E6" w:themeFill="accent6" w:themeFillTint="3F"/>
      </w:tcPr>
    </w:tblStylePr>
    <w:tblStylePr w:type="band1Horz">
      <w:tblPr/>
      <w:tcPr>
        <w:tcBorders>
          <w:top w:val="single" w:sz="8" w:space="0" w:color="C3D69B" w:themeColor="accent6"/>
          <w:left w:val="single" w:sz="8" w:space="0" w:color="C3D69B" w:themeColor="accent6"/>
          <w:bottom w:val="single" w:sz="8" w:space="0" w:color="C3D69B" w:themeColor="accent6"/>
          <w:right w:val="single" w:sz="8" w:space="0" w:color="C3D69B" w:themeColor="accent6"/>
          <w:insideV w:val="single" w:sz="8" w:space="0" w:color="C3D69B" w:themeColor="accent6"/>
        </w:tcBorders>
        <w:shd w:val="clear" w:color="auto" w:fill="F0F4E6" w:themeFill="accent6" w:themeFillTint="3F"/>
      </w:tcPr>
    </w:tblStylePr>
    <w:tblStylePr w:type="band2Horz">
      <w:tblPr/>
      <w:tcPr>
        <w:tcBorders>
          <w:top w:val="single" w:sz="8" w:space="0" w:color="C3D69B" w:themeColor="accent6"/>
          <w:left w:val="single" w:sz="8" w:space="0" w:color="C3D69B" w:themeColor="accent6"/>
          <w:bottom w:val="single" w:sz="8" w:space="0" w:color="C3D69B" w:themeColor="accent6"/>
          <w:right w:val="single" w:sz="8" w:space="0" w:color="C3D69B" w:themeColor="accent6"/>
          <w:insideV w:val="single" w:sz="8" w:space="0" w:color="C3D69B" w:themeColor="accent6"/>
        </w:tcBorders>
      </w:tcPr>
    </w:tblStylePr>
  </w:style>
  <w:style w:type="table" w:customStyle="1" w:styleId="Tabela-Siatka92">
    <w:name w:val="Tabela - Siatka92"/>
    <w:basedOn w:val="Standardowy"/>
    <w:next w:val="Tabela-Siatka"/>
    <w:uiPriority w:val="59"/>
    <w:rsid w:val="00942EF2"/>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PAaga212">
    <w:name w:val="Tabela-MPA_aga212"/>
    <w:basedOn w:val="Standardowy"/>
    <w:uiPriority w:val="62"/>
    <w:rsid w:val="00942EF2"/>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513">
    <w:name w:val="Tabela - Siatka513"/>
    <w:basedOn w:val="Standardowy"/>
    <w:next w:val="Tabela-Siatka"/>
    <w:uiPriority w:val="3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PAaga122">
    <w:name w:val="Tabela-MPA_aga122"/>
    <w:basedOn w:val="Standardowy"/>
    <w:uiPriority w:val="62"/>
    <w:rsid w:val="00942EF2"/>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32">
    <w:name w:val="Tabela-MPA_aga32"/>
    <w:basedOn w:val="Standardowy"/>
    <w:uiPriority w:val="62"/>
    <w:rsid w:val="00942EF2"/>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42">
    <w:name w:val="Tabela-MPA_aga42"/>
    <w:basedOn w:val="Standardowy"/>
    <w:uiPriority w:val="62"/>
    <w:rsid w:val="00942EF2"/>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102">
    <w:name w:val="Tabela - Siatka102"/>
    <w:basedOn w:val="Standardowy"/>
    <w:next w:val="Tabela-Siatka"/>
    <w:uiPriority w:val="3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PAaga52">
    <w:name w:val="Tabela-MPA_aga52"/>
    <w:basedOn w:val="Standardowy"/>
    <w:uiPriority w:val="62"/>
    <w:rsid w:val="00942EF2"/>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62">
    <w:name w:val="Tabela-MPA_aga62"/>
    <w:basedOn w:val="Standardowy"/>
    <w:uiPriority w:val="62"/>
    <w:rsid w:val="00942EF2"/>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112">
    <w:name w:val="Tabela - Siatka112"/>
    <w:basedOn w:val="Standardowy"/>
    <w:next w:val="Tabela-Siatka"/>
    <w:uiPriority w:val="39"/>
    <w:rsid w:val="00942EF2"/>
    <w:pPr>
      <w:spacing w:after="0" w:line="240" w:lineRule="auto"/>
    </w:pPr>
    <w:rPr>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
    <w:name w:val="Bez listy11"/>
    <w:next w:val="Bezlisty"/>
    <w:uiPriority w:val="99"/>
    <w:semiHidden/>
    <w:unhideWhenUsed/>
    <w:rsid w:val="00942EF2"/>
  </w:style>
  <w:style w:type="table" w:customStyle="1" w:styleId="Tabela-Siatka121">
    <w:name w:val="Tabela - Siatka121"/>
    <w:basedOn w:val="Standardowy"/>
    <w:next w:val="Tabela-Siatka"/>
    <w:uiPriority w:val="5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1">
    <w:name w:val="Tabela - Siatka211"/>
    <w:basedOn w:val="Standardowy"/>
    <w:next w:val="Tabela-Siatka"/>
    <w:uiPriority w:val="5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41">
    <w:name w:val="Tabela - Siatka141"/>
    <w:basedOn w:val="Standardowy"/>
    <w:next w:val="Tabela-Siatka"/>
    <w:uiPriority w:val="5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121">
    <w:name w:val="Jasne cieniowanie121"/>
    <w:basedOn w:val="Standardowy"/>
    <w:uiPriority w:val="60"/>
    <w:rsid w:val="00942EF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Jasnalistaakcent311">
    <w:name w:val="Jasna lista — akcent 311"/>
    <w:basedOn w:val="Standardowy"/>
    <w:next w:val="Jasnalistaakcent3"/>
    <w:uiPriority w:val="61"/>
    <w:rsid w:val="00942EF2"/>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tblBorders>
    </w:tblPr>
    <w:tblStylePr w:type="firstRow">
      <w:pPr>
        <w:spacing w:before="0" w:after="0" w:line="240" w:lineRule="auto"/>
      </w:pPr>
      <w:rPr>
        <w:b/>
        <w:bCs/>
        <w:color w:val="FFFFFF" w:themeColor="background1"/>
      </w:rPr>
      <w:tblPr/>
      <w:tcPr>
        <w:shd w:val="clear" w:color="auto" w:fill="9DA321" w:themeFill="accent3"/>
      </w:tcPr>
    </w:tblStylePr>
    <w:tblStylePr w:type="lastRow">
      <w:pPr>
        <w:spacing w:before="0" w:after="0" w:line="240" w:lineRule="auto"/>
      </w:pPr>
      <w:rPr>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tcBorders>
      </w:tcPr>
    </w:tblStylePr>
    <w:tblStylePr w:type="firstCol">
      <w:rPr>
        <w:b/>
        <w:bCs/>
      </w:rPr>
    </w:tblStylePr>
    <w:tblStylePr w:type="lastCol">
      <w:rPr>
        <w:b/>
        <w:bCs/>
      </w:r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style>
  <w:style w:type="table" w:customStyle="1" w:styleId="Jasnalista111">
    <w:name w:val="Jasna lista111"/>
    <w:basedOn w:val="Standardowy"/>
    <w:uiPriority w:val="61"/>
    <w:rsid w:val="00942EF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elasiatki4akcent6121">
    <w:name w:val="Tabela siatki 4 — akcent 6121"/>
    <w:basedOn w:val="Standardowy"/>
    <w:uiPriority w:val="49"/>
    <w:rsid w:val="00942EF2"/>
    <w:pPr>
      <w:spacing w:after="0" w:line="240" w:lineRule="auto"/>
    </w:pPr>
    <w:tblPr>
      <w:tblStyleRowBandSize w:val="1"/>
      <w:tblStyleColBandSize w:val="1"/>
      <w:tblBorders>
        <w:top w:val="single" w:sz="4" w:space="0" w:color="DAE6C2" w:themeColor="accent6" w:themeTint="99"/>
        <w:left w:val="single" w:sz="4" w:space="0" w:color="DAE6C2" w:themeColor="accent6" w:themeTint="99"/>
        <w:bottom w:val="single" w:sz="4" w:space="0" w:color="DAE6C2" w:themeColor="accent6" w:themeTint="99"/>
        <w:right w:val="single" w:sz="4" w:space="0" w:color="DAE6C2" w:themeColor="accent6" w:themeTint="99"/>
        <w:insideH w:val="single" w:sz="4" w:space="0" w:color="DAE6C2" w:themeColor="accent6" w:themeTint="99"/>
        <w:insideV w:val="single" w:sz="4" w:space="0" w:color="DAE6C2" w:themeColor="accent6" w:themeTint="99"/>
      </w:tblBorders>
    </w:tblPr>
    <w:tblStylePr w:type="firstRow">
      <w:rPr>
        <w:b/>
        <w:bCs/>
        <w:color w:val="FFFFFF" w:themeColor="background1"/>
      </w:rPr>
      <w:tblPr/>
      <w:tcPr>
        <w:tcBorders>
          <w:top w:val="single" w:sz="4" w:space="0" w:color="C3D69B" w:themeColor="accent6"/>
          <w:left w:val="single" w:sz="4" w:space="0" w:color="C3D69B" w:themeColor="accent6"/>
          <w:bottom w:val="single" w:sz="4" w:space="0" w:color="C3D69B" w:themeColor="accent6"/>
          <w:right w:val="single" w:sz="4" w:space="0" w:color="C3D69B" w:themeColor="accent6"/>
          <w:insideH w:val="nil"/>
          <w:insideV w:val="nil"/>
        </w:tcBorders>
        <w:shd w:val="clear" w:color="auto" w:fill="C3D69B" w:themeFill="accent6"/>
      </w:tcPr>
    </w:tblStylePr>
    <w:tblStylePr w:type="lastRow">
      <w:rPr>
        <w:b/>
        <w:bCs/>
      </w:rPr>
      <w:tblPr/>
      <w:tcPr>
        <w:tcBorders>
          <w:top w:val="double" w:sz="4" w:space="0" w:color="C3D69B" w:themeColor="accent6"/>
        </w:tcBorders>
      </w:tcPr>
    </w:tblStylePr>
    <w:tblStylePr w:type="firstCol">
      <w:rPr>
        <w:b/>
        <w:bCs/>
      </w:rPr>
    </w:tblStylePr>
    <w:tblStylePr w:type="lastCol">
      <w:rPr>
        <w:b/>
        <w:bCs/>
      </w:rPr>
    </w:tblStylePr>
    <w:tblStylePr w:type="band1Vert">
      <w:tblPr/>
      <w:tcPr>
        <w:shd w:val="clear" w:color="auto" w:fill="F2F6EA" w:themeFill="accent6" w:themeFillTint="33"/>
      </w:tcPr>
    </w:tblStylePr>
    <w:tblStylePr w:type="band1Horz">
      <w:tblPr/>
      <w:tcPr>
        <w:shd w:val="clear" w:color="auto" w:fill="F2F6EA" w:themeFill="accent6" w:themeFillTint="33"/>
      </w:tcPr>
    </w:tblStylePr>
  </w:style>
  <w:style w:type="table" w:customStyle="1" w:styleId="Jasnecieniowanieakcent211">
    <w:name w:val="Jasne cieniowanie — akcent 211"/>
    <w:basedOn w:val="Standardowy"/>
    <w:next w:val="Jasnecieniowanieakcent2"/>
    <w:uiPriority w:val="60"/>
    <w:rsid w:val="00942EF2"/>
    <w:pPr>
      <w:spacing w:after="0" w:line="240" w:lineRule="auto"/>
    </w:pPr>
    <w:rPr>
      <w:color w:val="979D40" w:themeColor="accent2" w:themeShade="BF"/>
    </w:rPr>
    <w:tblPr>
      <w:tblStyleRowBandSize w:val="1"/>
      <w:tblStyleColBandSize w:val="1"/>
      <w:tblBorders>
        <w:top w:val="single" w:sz="8" w:space="0" w:color="BCC167" w:themeColor="accent2"/>
        <w:bottom w:val="single" w:sz="8" w:space="0" w:color="BCC167" w:themeColor="accent2"/>
      </w:tblBorders>
    </w:tblPr>
    <w:tblStylePr w:type="firstRow">
      <w:pPr>
        <w:spacing w:before="0" w:after="0" w:line="240" w:lineRule="auto"/>
      </w:pPr>
      <w:rPr>
        <w:b/>
        <w:bCs/>
      </w:rPr>
      <w:tblPr/>
      <w:tcPr>
        <w:tcBorders>
          <w:top w:val="single" w:sz="8" w:space="0" w:color="BCC167" w:themeColor="accent2"/>
          <w:left w:val="nil"/>
          <w:bottom w:val="single" w:sz="8" w:space="0" w:color="BCC167" w:themeColor="accent2"/>
          <w:right w:val="nil"/>
          <w:insideH w:val="nil"/>
          <w:insideV w:val="nil"/>
        </w:tcBorders>
      </w:tcPr>
    </w:tblStylePr>
    <w:tblStylePr w:type="lastRow">
      <w:pPr>
        <w:spacing w:before="0" w:after="0" w:line="240" w:lineRule="auto"/>
      </w:pPr>
      <w:rPr>
        <w:b/>
        <w:bCs/>
      </w:rPr>
      <w:tblPr/>
      <w:tcPr>
        <w:tcBorders>
          <w:top w:val="single" w:sz="8" w:space="0" w:color="BCC167" w:themeColor="accent2"/>
          <w:left w:val="nil"/>
          <w:bottom w:val="single" w:sz="8" w:space="0" w:color="BCC167"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EFD9" w:themeFill="accent2" w:themeFillTint="3F"/>
      </w:tcPr>
    </w:tblStylePr>
    <w:tblStylePr w:type="band1Horz">
      <w:tblPr/>
      <w:tcPr>
        <w:tcBorders>
          <w:left w:val="nil"/>
          <w:right w:val="nil"/>
          <w:insideH w:val="nil"/>
          <w:insideV w:val="nil"/>
        </w:tcBorders>
        <w:shd w:val="clear" w:color="auto" w:fill="EEEFD9" w:themeFill="accent2" w:themeFillTint="3F"/>
      </w:tcPr>
    </w:tblStylePr>
  </w:style>
  <w:style w:type="table" w:customStyle="1" w:styleId="Jasnasiatkaakcent341">
    <w:name w:val="Jasna siatka — akcent 341"/>
    <w:basedOn w:val="Standardowy"/>
    <w:next w:val="Jasnasiatkaakcent3"/>
    <w:uiPriority w:val="62"/>
    <w:rsid w:val="00942EF2"/>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18" w:space="0" w:color="9DA321" w:themeColor="accent3"/>
          <w:right w:val="single" w:sz="8" w:space="0" w:color="9DA321" w:themeColor="accent3"/>
          <w:insideH w:val="nil"/>
          <w:insideV w:val="single" w:sz="8" w:space="0" w:color="9DA321"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shd w:val="clear" w:color="auto" w:fill="EFF2BE" w:themeFill="accent3" w:themeFillTint="3F"/>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shd w:val="clear" w:color="auto" w:fill="EFF2BE" w:themeFill="accent3" w:themeFillTint="3F"/>
      </w:tcPr>
    </w:tblStylePr>
    <w:tblStylePr w:type="band2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tcPr>
    </w:tblStylePr>
  </w:style>
  <w:style w:type="table" w:customStyle="1" w:styleId="Jasnasiatkaakcent211">
    <w:name w:val="Jasna siatka — akcent 211"/>
    <w:basedOn w:val="Standardowy"/>
    <w:next w:val="Jasnasiatkaakcent2"/>
    <w:uiPriority w:val="62"/>
    <w:rsid w:val="00942EF2"/>
    <w:pPr>
      <w:spacing w:after="0" w:line="240" w:lineRule="auto"/>
    </w:pPr>
    <w:tblPr>
      <w:tblStyleRowBandSize w:val="1"/>
      <w:tblStyleColBandSize w:val="1"/>
      <w:tblBorders>
        <w:top w:val="single" w:sz="8" w:space="0" w:color="BCC167" w:themeColor="accent2"/>
        <w:left w:val="single" w:sz="8" w:space="0" w:color="BCC167" w:themeColor="accent2"/>
        <w:bottom w:val="single" w:sz="8" w:space="0" w:color="BCC167" w:themeColor="accent2"/>
        <w:right w:val="single" w:sz="8" w:space="0" w:color="BCC167" w:themeColor="accent2"/>
        <w:insideH w:val="single" w:sz="8" w:space="0" w:color="BCC167" w:themeColor="accent2"/>
        <w:insideV w:val="single" w:sz="8" w:space="0" w:color="BCC167"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CC167" w:themeColor="accent2"/>
          <w:left w:val="single" w:sz="8" w:space="0" w:color="BCC167" w:themeColor="accent2"/>
          <w:bottom w:val="single" w:sz="18" w:space="0" w:color="BCC167" w:themeColor="accent2"/>
          <w:right w:val="single" w:sz="8" w:space="0" w:color="BCC167" w:themeColor="accent2"/>
          <w:insideH w:val="nil"/>
          <w:insideV w:val="single" w:sz="8" w:space="0" w:color="BCC167"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CC167" w:themeColor="accent2"/>
          <w:left w:val="single" w:sz="8" w:space="0" w:color="BCC167" w:themeColor="accent2"/>
          <w:bottom w:val="single" w:sz="8" w:space="0" w:color="BCC167" w:themeColor="accent2"/>
          <w:right w:val="single" w:sz="8" w:space="0" w:color="BCC167" w:themeColor="accent2"/>
          <w:insideH w:val="nil"/>
          <w:insideV w:val="single" w:sz="8" w:space="0" w:color="BCC167"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CC167" w:themeColor="accent2"/>
          <w:left w:val="single" w:sz="8" w:space="0" w:color="BCC167" w:themeColor="accent2"/>
          <w:bottom w:val="single" w:sz="8" w:space="0" w:color="BCC167" w:themeColor="accent2"/>
          <w:right w:val="single" w:sz="8" w:space="0" w:color="BCC167" w:themeColor="accent2"/>
        </w:tcBorders>
      </w:tcPr>
    </w:tblStylePr>
    <w:tblStylePr w:type="band1Vert">
      <w:tblPr/>
      <w:tcPr>
        <w:tcBorders>
          <w:top w:val="single" w:sz="8" w:space="0" w:color="BCC167" w:themeColor="accent2"/>
          <w:left w:val="single" w:sz="8" w:space="0" w:color="BCC167" w:themeColor="accent2"/>
          <w:bottom w:val="single" w:sz="8" w:space="0" w:color="BCC167" w:themeColor="accent2"/>
          <w:right w:val="single" w:sz="8" w:space="0" w:color="BCC167" w:themeColor="accent2"/>
        </w:tcBorders>
        <w:shd w:val="clear" w:color="auto" w:fill="EEEFD9" w:themeFill="accent2" w:themeFillTint="3F"/>
      </w:tcPr>
    </w:tblStylePr>
    <w:tblStylePr w:type="band1Horz">
      <w:tblPr/>
      <w:tcPr>
        <w:tcBorders>
          <w:top w:val="single" w:sz="8" w:space="0" w:color="BCC167" w:themeColor="accent2"/>
          <w:left w:val="single" w:sz="8" w:space="0" w:color="BCC167" w:themeColor="accent2"/>
          <w:bottom w:val="single" w:sz="8" w:space="0" w:color="BCC167" w:themeColor="accent2"/>
          <w:right w:val="single" w:sz="8" w:space="0" w:color="BCC167" w:themeColor="accent2"/>
          <w:insideV w:val="single" w:sz="8" w:space="0" w:color="BCC167" w:themeColor="accent2"/>
        </w:tcBorders>
        <w:shd w:val="clear" w:color="auto" w:fill="EEEFD9" w:themeFill="accent2" w:themeFillTint="3F"/>
      </w:tcPr>
    </w:tblStylePr>
    <w:tblStylePr w:type="band2Horz">
      <w:tblPr/>
      <w:tcPr>
        <w:tcBorders>
          <w:top w:val="single" w:sz="8" w:space="0" w:color="BCC167" w:themeColor="accent2"/>
          <w:left w:val="single" w:sz="8" w:space="0" w:color="BCC167" w:themeColor="accent2"/>
          <w:bottom w:val="single" w:sz="8" w:space="0" w:color="BCC167" w:themeColor="accent2"/>
          <w:right w:val="single" w:sz="8" w:space="0" w:color="BCC167" w:themeColor="accent2"/>
          <w:insideV w:val="single" w:sz="8" w:space="0" w:color="BCC167" w:themeColor="accent2"/>
        </w:tcBorders>
      </w:tcPr>
    </w:tblStylePr>
  </w:style>
  <w:style w:type="table" w:customStyle="1" w:styleId="Jasnecieniowanie1111">
    <w:name w:val="Jasne cieniowanie1111"/>
    <w:basedOn w:val="Standardowy"/>
    <w:next w:val="Jasnecieniowanie1"/>
    <w:uiPriority w:val="60"/>
    <w:rsid w:val="00942EF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elasiatki4akcent61111">
    <w:name w:val="Tabela siatki 4 — akcent 61111"/>
    <w:basedOn w:val="Standardowy"/>
    <w:uiPriority w:val="49"/>
    <w:rsid w:val="00942EF2"/>
    <w:pPr>
      <w:spacing w:after="0" w:line="240" w:lineRule="auto"/>
    </w:pPr>
    <w:tblPr>
      <w:tblStyleRowBandSize w:val="1"/>
      <w:tblStyleColBandSize w:val="1"/>
      <w:tblBorders>
        <w:top w:val="single" w:sz="4" w:space="0" w:color="DAE6C2" w:themeColor="accent6" w:themeTint="99"/>
        <w:left w:val="single" w:sz="4" w:space="0" w:color="DAE6C2" w:themeColor="accent6" w:themeTint="99"/>
        <w:bottom w:val="single" w:sz="4" w:space="0" w:color="DAE6C2" w:themeColor="accent6" w:themeTint="99"/>
        <w:right w:val="single" w:sz="4" w:space="0" w:color="DAE6C2" w:themeColor="accent6" w:themeTint="99"/>
        <w:insideH w:val="single" w:sz="4" w:space="0" w:color="DAE6C2" w:themeColor="accent6" w:themeTint="99"/>
        <w:insideV w:val="single" w:sz="4" w:space="0" w:color="DAE6C2" w:themeColor="accent6" w:themeTint="99"/>
      </w:tblBorders>
    </w:tblPr>
    <w:tblStylePr w:type="firstRow">
      <w:rPr>
        <w:b/>
        <w:bCs/>
        <w:color w:val="FFFFFF" w:themeColor="background1"/>
      </w:rPr>
      <w:tblPr/>
      <w:tcPr>
        <w:tcBorders>
          <w:top w:val="single" w:sz="4" w:space="0" w:color="C3D69B" w:themeColor="accent6"/>
          <w:left w:val="single" w:sz="4" w:space="0" w:color="C3D69B" w:themeColor="accent6"/>
          <w:bottom w:val="single" w:sz="4" w:space="0" w:color="C3D69B" w:themeColor="accent6"/>
          <w:right w:val="single" w:sz="4" w:space="0" w:color="C3D69B" w:themeColor="accent6"/>
          <w:insideH w:val="nil"/>
          <w:insideV w:val="nil"/>
        </w:tcBorders>
        <w:shd w:val="clear" w:color="auto" w:fill="C3D69B" w:themeFill="accent6"/>
      </w:tcPr>
    </w:tblStylePr>
    <w:tblStylePr w:type="lastRow">
      <w:rPr>
        <w:b/>
        <w:bCs/>
      </w:rPr>
      <w:tblPr/>
      <w:tcPr>
        <w:tcBorders>
          <w:top w:val="double" w:sz="4" w:space="0" w:color="C3D69B" w:themeColor="accent6"/>
        </w:tcBorders>
      </w:tcPr>
    </w:tblStylePr>
    <w:tblStylePr w:type="firstCol">
      <w:rPr>
        <w:b/>
        <w:bCs/>
      </w:rPr>
    </w:tblStylePr>
    <w:tblStylePr w:type="lastCol">
      <w:rPr>
        <w:b/>
        <w:bCs/>
      </w:rPr>
    </w:tblStylePr>
    <w:tblStylePr w:type="band1Vert">
      <w:tblPr/>
      <w:tcPr>
        <w:shd w:val="clear" w:color="auto" w:fill="F2F6EA" w:themeFill="accent6" w:themeFillTint="33"/>
      </w:tcPr>
    </w:tblStylePr>
    <w:tblStylePr w:type="band1Horz">
      <w:tblPr/>
      <w:tcPr>
        <w:shd w:val="clear" w:color="auto" w:fill="F2F6EA" w:themeFill="accent6" w:themeFillTint="33"/>
      </w:tcPr>
    </w:tblStylePr>
  </w:style>
  <w:style w:type="table" w:customStyle="1" w:styleId="Jasnasiatkaakcent3111">
    <w:name w:val="Jasna siatka — akcent 3111"/>
    <w:basedOn w:val="Standardowy"/>
    <w:uiPriority w:val="62"/>
    <w:rsid w:val="00942EF2"/>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shd w:val="clear" w:color="auto" w:fill="9DA321" w:themeFill="accent3"/>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tblPr/>
      <w:tcPr>
        <w:tcBorders>
          <w:top w:val="nil"/>
          <w:left w:val="nil"/>
          <w:bottom w:val="nil"/>
          <w:right w:val="nil"/>
          <w:insideH w:val="nil"/>
          <w:insideV w:val="nil"/>
        </w:tcBorders>
        <w:shd w:val="clear" w:color="auto" w:fill="EFF2BE" w:themeFill="accent3" w:themeFillTint="3F"/>
      </w:tcPr>
    </w:tblStylePr>
    <w:tblStylePr w:type="band2Horz">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Tabela-MPAaga71">
    <w:name w:val="Tabela-MPA_aga71"/>
    <w:basedOn w:val="Standardowy"/>
    <w:uiPriority w:val="62"/>
    <w:rsid w:val="00942EF2"/>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131">
    <w:name w:val="Tabela-MPA_aga131"/>
    <w:basedOn w:val="Standardowy"/>
    <w:uiPriority w:val="62"/>
    <w:rsid w:val="00942EF2"/>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Jasnasiatkaakcent3211">
    <w:name w:val="Jasna siatka — akcent 3211"/>
    <w:basedOn w:val="Standardowy"/>
    <w:next w:val="Jasnasiatkaakcent3"/>
    <w:uiPriority w:val="62"/>
    <w:rsid w:val="00942EF2"/>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18" w:space="0" w:color="9DA321" w:themeColor="accent3"/>
          <w:right w:val="single" w:sz="8" w:space="0" w:color="9DA321" w:themeColor="accent3"/>
          <w:insideH w:val="nil"/>
          <w:insideV w:val="single" w:sz="8" w:space="0" w:color="9DA321"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shd w:val="clear" w:color="auto" w:fill="EFF2BE" w:themeFill="accent3" w:themeFillTint="3F"/>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shd w:val="clear" w:color="auto" w:fill="EFF2BE" w:themeFill="accent3" w:themeFillTint="3F"/>
      </w:tcPr>
    </w:tblStylePr>
    <w:tblStylePr w:type="band2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tcPr>
    </w:tblStylePr>
  </w:style>
  <w:style w:type="table" w:customStyle="1" w:styleId="Jasnasiatkaakcent3311">
    <w:name w:val="Jasna siatka — akcent 3311"/>
    <w:basedOn w:val="Standardowy"/>
    <w:next w:val="Jasnasiatkaakcent3"/>
    <w:uiPriority w:val="62"/>
    <w:rsid w:val="00942EF2"/>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18" w:space="0" w:color="9DA321" w:themeColor="accent3"/>
          <w:right w:val="single" w:sz="8" w:space="0" w:color="9DA321" w:themeColor="accent3"/>
          <w:insideH w:val="nil"/>
          <w:insideV w:val="single" w:sz="8" w:space="0" w:color="9DA321"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shd w:val="clear" w:color="auto" w:fill="EFF2BE" w:themeFill="accent3" w:themeFillTint="3F"/>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shd w:val="clear" w:color="auto" w:fill="EFF2BE" w:themeFill="accent3" w:themeFillTint="3F"/>
      </w:tcPr>
    </w:tblStylePr>
    <w:tblStylePr w:type="band2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tcPr>
    </w:tblStylePr>
  </w:style>
  <w:style w:type="table" w:customStyle="1" w:styleId="Tabela-MPAaga221">
    <w:name w:val="Tabela-MPA_aga221"/>
    <w:basedOn w:val="Standardowy"/>
    <w:uiPriority w:val="62"/>
    <w:rsid w:val="00942EF2"/>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311">
    <w:name w:val="Tabela - Siatka311"/>
    <w:basedOn w:val="Standardowy"/>
    <w:next w:val="Tabela-Siatka"/>
    <w:uiPriority w:val="5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asiatka111">
    <w:name w:val="Jasna siatka111"/>
    <w:basedOn w:val="Standardowy"/>
    <w:uiPriority w:val="62"/>
    <w:rsid w:val="00942EF2"/>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leNormal41">
    <w:name w:val="Table Normal41"/>
    <w:uiPriority w:val="2"/>
    <w:semiHidden/>
    <w:unhideWhenUsed/>
    <w:qFormat/>
    <w:rsid w:val="00942EF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Siatka411">
    <w:name w:val="Tabela - Siatka411"/>
    <w:basedOn w:val="Standardowy"/>
    <w:next w:val="Tabela-Siatka"/>
    <w:uiPriority w:val="5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1">
    <w:name w:val="Table Normal111"/>
    <w:uiPriority w:val="2"/>
    <w:semiHidden/>
    <w:unhideWhenUsed/>
    <w:qFormat/>
    <w:rsid w:val="00942EF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1">
    <w:name w:val="Table Normal211"/>
    <w:uiPriority w:val="2"/>
    <w:semiHidden/>
    <w:unhideWhenUsed/>
    <w:qFormat/>
    <w:rsid w:val="00942EF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11">
    <w:name w:val="Table Normal311"/>
    <w:uiPriority w:val="2"/>
    <w:semiHidden/>
    <w:unhideWhenUsed/>
    <w:qFormat/>
    <w:rsid w:val="00942EF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Siatka1311">
    <w:name w:val="Tabela - Siatka1311"/>
    <w:basedOn w:val="Standardowy"/>
    <w:next w:val="Tabela-Siatka"/>
    <w:uiPriority w:val="5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21">
    <w:name w:val="Jasne cieniowanie21"/>
    <w:basedOn w:val="Standardowy"/>
    <w:next w:val="Jasnecieniowanie"/>
    <w:uiPriority w:val="60"/>
    <w:rsid w:val="00942EF2"/>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ela-MPAaga1111">
    <w:name w:val="Tabela-MPA_aga1111"/>
    <w:basedOn w:val="Standardowy"/>
    <w:uiPriority w:val="62"/>
    <w:rsid w:val="00942EF2"/>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521">
    <w:name w:val="Tabela - Siatka521"/>
    <w:basedOn w:val="Standardowy"/>
    <w:next w:val="Tabela-Siatka"/>
    <w:uiPriority w:val="5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1">
    <w:name w:val="Tabela - Siatka611"/>
    <w:basedOn w:val="Standardowy"/>
    <w:next w:val="Tabela-Siatka"/>
    <w:uiPriority w:val="5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11">
    <w:name w:val="Tabela - Siatka711"/>
    <w:basedOn w:val="Standardowy"/>
    <w:next w:val="Tabela-Siatka"/>
    <w:uiPriority w:val="5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11">
    <w:name w:val="Tabela - Siatka811"/>
    <w:basedOn w:val="Standardowy"/>
    <w:next w:val="Tabela-Siatka"/>
    <w:uiPriority w:val="5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asiatkaakcent611">
    <w:name w:val="Jasna siatka — akcent 611"/>
    <w:basedOn w:val="Standardowy"/>
    <w:next w:val="Jasnasiatkaakcent6"/>
    <w:uiPriority w:val="62"/>
    <w:rsid w:val="00942EF2"/>
    <w:pPr>
      <w:spacing w:after="0" w:line="240" w:lineRule="auto"/>
    </w:pPr>
    <w:tblPr>
      <w:tblStyleRowBandSize w:val="1"/>
      <w:tblStyleColBandSize w:val="1"/>
      <w:tblBorders>
        <w:top w:val="single" w:sz="8" w:space="0" w:color="C3D69B" w:themeColor="accent6"/>
        <w:left w:val="single" w:sz="8" w:space="0" w:color="C3D69B" w:themeColor="accent6"/>
        <w:bottom w:val="single" w:sz="8" w:space="0" w:color="C3D69B" w:themeColor="accent6"/>
        <w:right w:val="single" w:sz="8" w:space="0" w:color="C3D69B" w:themeColor="accent6"/>
        <w:insideH w:val="single" w:sz="8" w:space="0" w:color="C3D69B" w:themeColor="accent6"/>
        <w:insideV w:val="single" w:sz="8" w:space="0" w:color="C3D69B"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3D69B" w:themeColor="accent6"/>
          <w:left w:val="single" w:sz="8" w:space="0" w:color="C3D69B" w:themeColor="accent6"/>
          <w:bottom w:val="single" w:sz="18" w:space="0" w:color="C3D69B" w:themeColor="accent6"/>
          <w:right w:val="single" w:sz="8" w:space="0" w:color="C3D69B" w:themeColor="accent6"/>
          <w:insideH w:val="nil"/>
          <w:insideV w:val="single" w:sz="8" w:space="0" w:color="C3D69B"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3D69B" w:themeColor="accent6"/>
          <w:left w:val="single" w:sz="8" w:space="0" w:color="C3D69B" w:themeColor="accent6"/>
          <w:bottom w:val="single" w:sz="8" w:space="0" w:color="C3D69B" w:themeColor="accent6"/>
          <w:right w:val="single" w:sz="8" w:space="0" w:color="C3D69B" w:themeColor="accent6"/>
          <w:insideH w:val="nil"/>
          <w:insideV w:val="single" w:sz="8" w:space="0" w:color="C3D69B"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3D69B" w:themeColor="accent6"/>
          <w:left w:val="single" w:sz="8" w:space="0" w:color="C3D69B" w:themeColor="accent6"/>
          <w:bottom w:val="single" w:sz="8" w:space="0" w:color="C3D69B" w:themeColor="accent6"/>
          <w:right w:val="single" w:sz="8" w:space="0" w:color="C3D69B" w:themeColor="accent6"/>
        </w:tcBorders>
      </w:tcPr>
    </w:tblStylePr>
    <w:tblStylePr w:type="band1Vert">
      <w:tblPr/>
      <w:tcPr>
        <w:tcBorders>
          <w:top w:val="single" w:sz="8" w:space="0" w:color="C3D69B" w:themeColor="accent6"/>
          <w:left w:val="single" w:sz="8" w:space="0" w:color="C3D69B" w:themeColor="accent6"/>
          <w:bottom w:val="single" w:sz="8" w:space="0" w:color="C3D69B" w:themeColor="accent6"/>
          <w:right w:val="single" w:sz="8" w:space="0" w:color="C3D69B" w:themeColor="accent6"/>
        </w:tcBorders>
        <w:shd w:val="clear" w:color="auto" w:fill="F0F4E6" w:themeFill="accent6" w:themeFillTint="3F"/>
      </w:tcPr>
    </w:tblStylePr>
    <w:tblStylePr w:type="band1Horz">
      <w:tblPr/>
      <w:tcPr>
        <w:tcBorders>
          <w:top w:val="single" w:sz="8" w:space="0" w:color="C3D69B" w:themeColor="accent6"/>
          <w:left w:val="single" w:sz="8" w:space="0" w:color="C3D69B" w:themeColor="accent6"/>
          <w:bottom w:val="single" w:sz="8" w:space="0" w:color="C3D69B" w:themeColor="accent6"/>
          <w:right w:val="single" w:sz="8" w:space="0" w:color="C3D69B" w:themeColor="accent6"/>
          <w:insideV w:val="single" w:sz="8" w:space="0" w:color="C3D69B" w:themeColor="accent6"/>
        </w:tcBorders>
        <w:shd w:val="clear" w:color="auto" w:fill="F0F4E6" w:themeFill="accent6" w:themeFillTint="3F"/>
      </w:tcPr>
    </w:tblStylePr>
    <w:tblStylePr w:type="band2Horz">
      <w:tblPr/>
      <w:tcPr>
        <w:tcBorders>
          <w:top w:val="single" w:sz="8" w:space="0" w:color="C3D69B" w:themeColor="accent6"/>
          <w:left w:val="single" w:sz="8" w:space="0" w:color="C3D69B" w:themeColor="accent6"/>
          <w:bottom w:val="single" w:sz="8" w:space="0" w:color="C3D69B" w:themeColor="accent6"/>
          <w:right w:val="single" w:sz="8" w:space="0" w:color="C3D69B" w:themeColor="accent6"/>
          <w:insideV w:val="single" w:sz="8" w:space="0" w:color="C3D69B" w:themeColor="accent6"/>
        </w:tcBorders>
      </w:tcPr>
    </w:tblStylePr>
  </w:style>
  <w:style w:type="table" w:customStyle="1" w:styleId="Tabela-Siatka911">
    <w:name w:val="Tabela - Siatka911"/>
    <w:basedOn w:val="Standardowy"/>
    <w:next w:val="Tabela-Siatka"/>
    <w:uiPriority w:val="59"/>
    <w:rsid w:val="00942EF2"/>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PAaga2111">
    <w:name w:val="Tabela-MPA_aga2111"/>
    <w:basedOn w:val="Standardowy"/>
    <w:uiPriority w:val="62"/>
    <w:rsid w:val="00942EF2"/>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5111">
    <w:name w:val="Tabela - Siatka5111"/>
    <w:basedOn w:val="Standardowy"/>
    <w:next w:val="Tabela-Siatka"/>
    <w:uiPriority w:val="3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PAaga1212">
    <w:name w:val="Tabela-MPA_aga1212"/>
    <w:basedOn w:val="Standardowy"/>
    <w:uiPriority w:val="62"/>
    <w:rsid w:val="00942EF2"/>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311">
    <w:name w:val="Tabela-MPA_aga311"/>
    <w:basedOn w:val="Standardowy"/>
    <w:uiPriority w:val="62"/>
    <w:rsid w:val="00942EF2"/>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411">
    <w:name w:val="Tabela-MPA_aga411"/>
    <w:basedOn w:val="Standardowy"/>
    <w:uiPriority w:val="62"/>
    <w:rsid w:val="00942EF2"/>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1011">
    <w:name w:val="Tabela - Siatka1011"/>
    <w:basedOn w:val="Standardowy"/>
    <w:next w:val="Tabela-Siatka"/>
    <w:uiPriority w:val="3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PAaga511">
    <w:name w:val="Tabela-MPA_aga511"/>
    <w:basedOn w:val="Standardowy"/>
    <w:uiPriority w:val="62"/>
    <w:rsid w:val="00942EF2"/>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612">
    <w:name w:val="Tabela-MPA_aga612"/>
    <w:basedOn w:val="Standardowy"/>
    <w:uiPriority w:val="62"/>
    <w:rsid w:val="00942EF2"/>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1111">
    <w:name w:val="Tabela - Siatka1111"/>
    <w:basedOn w:val="Standardowy"/>
    <w:next w:val="Tabela-Siatka"/>
    <w:uiPriority w:val="39"/>
    <w:rsid w:val="00942EF2"/>
    <w:pPr>
      <w:spacing w:after="0" w:line="240" w:lineRule="auto"/>
    </w:pPr>
    <w:rPr>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121">
    <w:name w:val="Tabela - Siatka5121"/>
    <w:basedOn w:val="Standardowy"/>
    <w:next w:val="Tabela-Siatka"/>
    <w:uiPriority w:val="39"/>
    <w:rsid w:val="00942E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1">
    <w:name w:val="Tabela - Siatka151"/>
    <w:basedOn w:val="Standardowy"/>
    <w:next w:val="Tabela-Siatka"/>
    <w:uiPriority w:val="39"/>
    <w:rsid w:val="00942EF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61">
    <w:name w:val="Tabela - Siatka161"/>
    <w:basedOn w:val="Standardowy"/>
    <w:next w:val="Tabela-Siatka"/>
    <w:uiPriority w:val="59"/>
    <w:rsid w:val="00942EF2"/>
    <w:pPr>
      <w:suppressAutoHyphens/>
      <w:spacing w:after="0" w:line="240" w:lineRule="auto"/>
    </w:pPr>
    <w:rPr>
      <w:rFonts w:ascii="Liberation Serif" w:eastAsia="NSimSun" w:hAnsi="Liberation Serif" w:cs="Lucida Sans"/>
      <w:kern w:val="2"/>
      <w:sz w:val="24"/>
      <w:szCs w:val="24"/>
      <w:lang w:eastAsia="zh-CN" w:bidi="hi-I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MPAaga6111">
    <w:name w:val="Tabela-MPA_aga6111"/>
    <w:basedOn w:val="Standardowy"/>
    <w:uiPriority w:val="62"/>
    <w:rsid w:val="00942EF2"/>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171">
    <w:name w:val="Tabela - Siatka171"/>
    <w:basedOn w:val="Standardowy"/>
    <w:next w:val="Tabela-Siatka"/>
    <w:uiPriority w:val="59"/>
    <w:rsid w:val="00942EF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PAaga12111">
    <w:name w:val="Tabela-MPA_aga12111"/>
    <w:basedOn w:val="Standardowy"/>
    <w:uiPriority w:val="62"/>
    <w:rsid w:val="00942EF2"/>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Cambria" w:eastAsia="Times New Roman" w:hAnsi="Cambria" w:cs="Times New Roman"/>
        <w:b/>
        <w:bCs/>
      </w:rPr>
      <w:tblPr/>
      <w:tcPr>
        <w:shd w:val="clear" w:color="auto" w:fill="92D050"/>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6EED5"/>
      </w:tcPr>
    </w:tblStylePr>
    <w:tblStylePr w:type="band1Horz">
      <w:tblPr/>
      <w:tcPr>
        <w:shd w:val="clear" w:color="auto" w:fill="EAF1DD"/>
      </w:tcPr>
    </w:tblStylePr>
  </w:style>
  <w:style w:type="table" w:customStyle="1" w:styleId="Jasnecieniowanieakcent31">
    <w:name w:val="Jasne cieniowanie — akcent 31"/>
    <w:basedOn w:val="Standardowy"/>
    <w:next w:val="Jasnecieniowanieakcent3"/>
    <w:uiPriority w:val="60"/>
    <w:rsid w:val="00942EF2"/>
    <w:pPr>
      <w:spacing w:after="0" w:line="240" w:lineRule="auto"/>
    </w:pPr>
    <w:rPr>
      <w:color w:val="757918" w:themeColor="accent3" w:themeShade="BF"/>
    </w:rPr>
    <w:tblPr>
      <w:tblStyleRowBandSize w:val="1"/>
      <w:tblStyleColBandSize w:val="1"/>
      <w:tblBorders>
        <w:top w:val="single" w:sz="8" w:space="0" w:color="9DA321" w:themeColor="accent3"/>
        <w:bottom w:val="single" w:sz="8" w:space="0" w:color="9DA321" w:themeColor="accent3"/>
      </w:tblBorders>
    </w:tblPr>
    <w:tblStylePr w:type="firstRow">
      <w:pPr>
        <w:spacing w:before="0" w:after="0" w:line="240" w:lineRule="auto"/>
      </w:pPr>
      <w:rPr>
        <w:b/>
        <w:bCs/>
      </w:rPr>
      <w:tblPr/>
      <w:tcPr>
        <w:tcBorders>
          <w:top w:val="single" w:sz="8" w:space="0" w:color="9DA321" w:themeColor="accent3"/>
          <w:left w:val="nil"/>
          <w:bottom w:val="single" w:sz="8" w:space="0" w:color="9DA321" w:themeColor="accent3"/>
          <w:right w:val="nil"/>
          <w:insideH w:val="nil"/>
          <w:insideV w:val="nil"/>
        </w:tcBorders>
      </w:tcPr>
    </w:tblStylePr>
    <w:tblStylePr w:type="lastRow">
      <w:pPr>
        <w:spacing w:before="0" w:after="0" w:line="240" w:lineRule="auto"/>
      </w:pPr>
      <w:rPr>
        <w:b/>
        <w:bCs/>
      </w:rPr>
      <w:tblPr/>
      <w:tcPr>
        <w:tcBorders>
          <w:top w:val="single" w:sz="8" w:space="0" w:color="9DA321" w:themeColor="accent3"/>
          <w:left w:val="nil"/>
          <w:bottom w:val="single" w:sz="8" w:space="0" w:color="9DA321"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F2BE" w:themeFill="accent3" w:themeFillTint="3F"/>
      </w:tcPr>
    </w:tblStylePr>
    <w:tblStylePr w:type="band1Horz">
      <w:tblPr/>
      <w:tcPr>
        <w:tcBorders>
          <w:left w:val="nil"/>
          <w:right w:val="nil"/>
          <w:insideH w:val="nil"/>
          <w:insideV w:val="nil"/>
        </w:tcBorders>
        <w:shd w:val="clear" w:color="auto" w:fill="EFF2BE" w:themeFill="accent3" w:themeFillTint="3F"/>
      </w:tcPr>
    </w:tblStylePr>
  </w:style>
  <w:style w:type="table" w:customStyle="1" w:styleId="Tabela-Siatka181">
    <w:name w:val="Tabela - Siatka181"/>
    <w:basedOn w:val="Standardowy"/>
    <w:next w:val="Tabela-Siatka"/>
    <w:uiPriority w:val="59"/>
    <w:rsid w:val="00942EF2"/>
    <w:pPr>
      <w:suppressAutoHyphens/>
      <w:spacing w:after="0" w:line="240" w:lineRule="auto"/>
    </w:pPr>
    <w:rPr>
      <w:rFonts w:ascii="Liberation Serif" w:eastAsia="NSimSun" w:hAnsi="Liberation Serif" w:cs="Lucida Sans"/>
      <w:kern w:val="2"/>
      <w:sz w:val="24"/>
      <w:szCs w:val="24"/>
      <w:lang w:eastAsia="zh-CN" w:bidi="hi-I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91">
    <w:name w:val="Tabela - Siatka191"/>
    <w:basedOn w:val="Standardowy"/>
    <w:next w:val="Tabela-Siatka"/>
    <w:uiPriority w:val="59"/>
    <w:rsid w:val="00942EF2"/>
    <w:pPr>
      <w:suppressAutoHyphens/>
      <w:spacing w:after="0" w:line="240" w:lineRule="auto"/>
    </w:pPr>
    <w:rPr>
      <w:rFonts w:ascii="Liberation Serif" w:eastAsia="NSimSun" w:hAnsi="Liberation Serif" w:cs="Lucida Sans"/>
      <w:kern w:val="2"/>
      <w:sz w:val="24"/>
      <w:szCs w:val="24"/>
      <w:lang w:eastAsia="zh-CN" w:bidi="hi-I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0">
    <w:name w:val="Tabela - Siatka20"/>
    <w:basedOn w:val="Standardowy"/>
    <w:next w:val="Tabela-Siatka"/>
    <w:uiPriority w:val="59"/>
    <w:rsid w:val="00942EF2"/>
    <w:pPr>
      <w:suppressAutoHyphens/>
      <w:spacing w:after="0" w:line="240" w:lineRule="auto"/>
    </w:pPr>
    <w:rPr>
      <w:rFonts w:ascii="Liberation Serif" w:eastAsia="NSimSun" w:hAnsi="Liberation Serif" w:cs="Lucida Sans"/>
      <w:kern w:val="2"/>
      <w:sz w:val="24"/>
      <w:szCs w:val="24"/>
      <w:lang w:eastAsia="zh-CN" w:bidi="hi-I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3">
    <w:name w:val="Bez listy3"/>
    <w:next w:val="Bezlisty"/>
    <w:uiPriority w:val="99"/>
    <w:semiHidden/>
    <w:unhideWhenUsed/>
    <w:rsid w:val="00492D5F"/>
  </w:style>
  <w:style w:type="table" w:customStyle="1" w:styleId="Tabela-Siatka23">
    <w:name w:val="Tabela - Siatka23"/>
    <w:basedOn w:val="Standardowy"/>
    <w:next w:val="Tabela-Siatka"/>
    <w:uiPriority w:val="5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4">
    <w:name w:val="Tabela - Siatka24"/>
    <w:basedOn w:val="Standardowy"/>
    <w:next w:val="Tabela-Siatka"/>
    <w:uiPriority w:val="5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0">
    <w:name w:val="Tabela - Siatka110"/>
    <w:basedOn w:val="Standardowy"/>
    <w:next w:val="Tabela-Siatka"/>
    <w:uiPriority w:val="5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14">
    <w:name w:val="Jasne cieniowanie14"/>
    <w:basedOn w:val="Standardowy"/>
    <w:uiPriority w:val="60"/>
    <w:rsid w:val="00492D5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Jasnalistaakcent33">
    <w:name w:val="Jasna lista — akcent 33"/>
    <w:basedOn w:val="Standardowy"/>
    <w:next w:val="Jasnalistaakcent3"/>
    <w:uiPriority w:val="61"/>
    <w:rsid w:val="00492D5F"/>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tblBorders>
    </w:tblPr>
    <w:tblStylePr w:type="firstRow">
      <w:pPr>
        <w:spacing w:before="0" w:after="0" w:line="240" w:lineRule="auto"/>
      </w:pPr>
      <w:rPr>
        <w:b/>
        <w:bCs/>
        <w:color w:val="FFFFFF" w:themeColor="background1"/>
      </w:rPr>
      <w:tblPr/>
      <w:tcPr>
        <w:shd w:val="clear" w:color="auto" w:fill="9DA321" w:themeFill="accent3"/>
      </w:tcPr>
    </w:tblStylePr>
    <w:tblStylePr w:type="lastRow">
      <w:pPr>
        <w:spacing w:before="0" w:after="0" w:line="240" w:lineRule="auto"/>
      </w:pPr>
      <w:rPr>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tcBorders>
      </w:tcPr>
    </w:tblStylePr>
    <w:tblStylePr w:type="firstCol">
      <w:rPr>
        <w:b/>
        <w:bCs/>
      </w:rPr>
    </w:tblStylePr>
    <w:tblStylePr w:type="lastCol">
      <w:rPr>
        <w:b/>
        <w:bCs/>
      </w:r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style>
  <w:style w:type="table" w:customStyle="1" w:styleId="Jasnalista13">
    <w:name w:val="Jasna lista13"/>
    <w:basedOn w:val="Standardowy"/>
    <w:uiPriority w:val="61"/>
    <w:rsid w:val="00492D5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elasiatki4akcent614">
    <w:name w:val="Tabela siatki 4 — akcent 614"/>
    <w:basedOn w:val="Standardowy"/>
    <w:uiPriority w:val="49"/>
    <w:rsid w:val="00492D5F"/>
    <w:pPr>
      <w:spacing w:after="0" w:line="240" w:lineRule="auto"/>
    </w:pPr>
    <w:tblPr>
      <w:tblStyleRowBandSize w:val="1"/>
      <w:tblStyleColBandSize w:val="1"/>
      <w:tblBorders>
        <w:top w:val="single" w:sz="4" w:space="0" w:color="DAE6C2" w:themeColor="accent6" w:themeTint="99"/>
        <w:left w:val="single" w:sz="4" w:space="0" w:color="DAE6C2" w:themeColor="accent6" w:themeTint="99"/>
        <w:bottom w:val="single" w:sz="4" w:space="0" w:color="DAE6C2" w:themeColor="accent6" w:themeTint="99"/>
        <w:right w:val="single" w:sz="4" w:space="0" w:color="DAE6C2" w:themeColor="accent6" w:themeTint="99"/>
        <w:insideH w:val="single" w:sz="4" w:space="0" w:color="DAE6C2" w:themeColor="accent6" w:themeTint="99"/>
        <w:insideV w:val="single" w:sz="4" w:space="0" w:color="DAE6C2" w:themeColor="accent6" w:themeTint="99"/>
      </w:tblBorders>
    </w:tblPr>
    <w:tblStylePr w:type="firstRow">
      <w:rPr>
        <w:b/>
        <w:bCs/>
        <w:color w:val="FFFFFF" w:themeColor="background1"/>
      </w:rPr>
      <w:tblPr/>
      <w:tcPr>
        <w:tcBorders>
          <w:top w:val="single" w:sz="4" w:space="0" w:color="C3D69B" w:themeColor="accent6"/>
          <w:left w:val="single" w:sz="4" w:space="0" w:color="C3D69B" w:themeColor="accent6"/>
          <w:bottom w:val="single" w:sz="4" w:space="0" w:color="C3D69B" w:themeColor="accent6"/>
          <w:right w:val="single" w:sz="4" w:space="0" w:color="C3D69B" w:themeColor="accent6"/>
          <w:insideH w:val="nil"/>
          <w:insideV w:val="nil"/>
        </w:tcBorders>
        <w:shd w:val="clear" w:color="auto" w:fill="C3D69B" w:themeFill="accent6"/>
      </w:tcPr>
    </w:tblStylePr>
    <w:tblStylePr w:type="lastRow">
      <w:rPr>
        <w:b/>
        <w:bCs/>
      </w:rPr>
      <w:tblPr/>
      <w:tcPr>
        <w:tcBorders>
          <w:top w:val="double" w:sz="4" w:space="0" w:color="C3D69B" w:themeColor="accent6"/>
        </w:tcBorders>
      </w:tcPr>
    </w:tblStylePr>
    <w:tblStylePr w:type="firstCol">
      <w:rPr>
        <w:b/>
        <w:bCs/>
      </w:rPr>
    </w:tblStylePr>
    <w:tblStylePr w:type="lastCol">
      <w:rPr>
        <w:b/>
        <w:bCs/>
      </w:rPr>
    </w:tblStylePr>
    <w:tblStylePr w:type="band1Vert">
      <w:tblPr/>
      <w:tcPr>
        <w:shd w:val="clear" w:color="auto" w:fill="F2F6EA" w:themeFill="accent6" w:themeFillTint="33"/>
      </w:tcPr>
    </w:tblStylePr>
    <w:tblStylePr w:type="band1Horz">
      <w:tblPr/>
      <w:tcPr>
        <w:shd w:val="clear" w:color="auto" w:fill="F2F6EA" w:themeFill="accent6" w:themeFillTint="33"/>
      </w:tcPr>
    </w:tblStylePr>
  </w:style>
  <w:style w:type="table" w:customStyle="1" w:styleId="Jasnecieniowanieakcent23">
    <w:name w:val="Jasne cieniowanie — akcent 23"/>
    <w:basedOn w:val="Standardowy"/>
    <w:next w:val="Jasnecieniowanieakcent2"/>
    <w:uiPriority w:val="60"/>
    <w:rsid w:val="00492D5F"/>
    <w:pPr>
      <w:spacing w:after="0" w:line="240" w:lineRule="auto"/>
    </w:pPr>
    <w:rPr>
      <w:color w:val="979D40" w:themeColor="accent2" w:themeShade="BF"/>
    </w:rPr>
    <w:tblPr>
      <w:tblStyleRowBandSize w:val="1"/>
      <w:tblStyleColBandSize w:val="1"/>
      <w:tblBorders>
        <w:top w:val="single" w:sz="8" w:space="0" w:color="BCC167" w:themeColor="accent2"/>
        <w:bottom w:val="single" w:sz="8" w:space="0" w:color="BCC167" w:themeColor="accent2"/>
      </w:tblBorders>
    </w:tblPr>
    <w:tblStylePr w:type="firstRow">
      <w:pPr>
        <w:spacing w:before="0" w:after="0" w:line="240" w:lineRule="auto"/>
      </w:pPr>
      <w:rPr>
        <w:b/>
        <w:bCs/>
      </w:rPr>
      <w:tblPr/>
      <w:tcPr>
        <w:tcBorders>
          <w:top w:val="single" w:sz="8" w:space="0" w:color="BCC167" w:themeColor="accent2"/>
          <w:left w:val="nil"/>
          <w:bottom w:val="single" w:sz="8" w:space="0" w:color="BCC167" w:themeColor="accent2"/>
          <w:right w:val="nil"/>
          <w:insideH w:val="nil"/>
          <w:insideV w:val="nil"/>
        </w:tcBorders>
      </w:tcPr>
    </w:tblStylePr>
    <w:tblStylePr w:type="lastRow">
      <w:pPr>
        <w:spacing w:before="0" w:after="0" w:line="240" w:lineRule="auto"/>
      </w:pPr>
      <w:rPr>
        <w:b/>
        <w:bCs/>
      </w:rPr>
      <w:tblPr/>
      <w:tcPr>
        <w:tcBorders>
          <w:top w:val="single" w:sz="8" w:space="0" w:color="BCC167" w:themeColor="accent2"/>
          <w:left w:val="nil"/>
          <w:bottom w:val="single" w:sz="8" w:space="0" w:color="BCC167"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EFD9" w:themeFill="accent2" w:themeFillTint="3F"/>
      </w:tcPr>
    </w:tblStylePr>
    <w:tblStylePr w:type="band1Horz">
      <w:tblPr/>
      <w:tcPr>
        <w:tcBorders>
          <w:left w:val="nil"/>
          <w:right w:val="nil"/>
          <w:insideH w:val="nil"/>
          <w:insideV w:val="nil"/>
        </w:tcBorders>
        <w:shd w:val="clear" w:color="auto" w:fill="EEEFD9" w:themeFill="accent2" w:themeFillTint="3F"/>
      </w:tcPr>
    </w:tblStylePr>
  </w:style>
  <w:style w:type="table" w:customStyle="1" w:styleId="Jasnasiatkaakcent36">
    <w:name w:val="Jasna siatka — akcent 36"/>
    <w:basedOn w:val="Standardowy"/>
    <w:next w:val="Jasnasiatkaakcent3"/>
    <w:uiPriority w:val="62"/>
    <w:rsid w:val="00492D5F"/>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18" w:space="0" w:color="9DA321" w:themeColor="accent3"/>
          <w:right w:val="single" w:sz="8" w:space="0" w:color="9DA321" w:themeColor="accent3"/>
          <w:insideH w:val="nil"/>
          <w:insideV w:val="single" w:sz="8" w:space="0" w:color="9DA321"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shd w:val="clear" w:color="auto" w:fill="EFF2BE" w:themeFill="accent3" w:themeFillTint="3F"/>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shd w:val="clear" w:color="auto" w:fill="EFF2BE" w:themeFill="accent3" w:themeFillTint="3F"/>
      </w:tcPr>
    </w:tblStylePr>
    <w:tblStylePr w:type="band2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tcPr>
    </w:tblStylePr>
  </w:style>
  <w:style w:type="table" w:customStyle="1" w:styleId="Jasnasiatkaakcent23">
    <w:name w:val="Jasna siatka — akcent 23"/>
    <w:basedOn w:val="Standardowy"/>
    <w:next w:val="Jasnasiatkaakcent2"/>
    <w:uiPriority w:val="62"/>
    <w:rsid w:val="00492D5F"/>
    <w:pPr>
      <w:spacing w:after="0" w:line="240" w:lineRule="auto"/>
    </w:pPr>
    <w:tblPr>
      <w:tblStyleRowBandSize w:val="1"/>
      <w:tblStyleColBandSize w:val="1"/>
      <w:tblBorders>
        <w:top w:val="single" w:sz="8" w:space="0" w:color="BCC167" w:themeColor="accent2"/>
        <w:left w:val="single" w:sz="8" w:space="0" w:color="BCC167" w:themeColor="accent2"/>
        <w:bottom w:val="single" w:sz="8" w:space="0" w:color="BCC167" w:themeColor="accent2"/>
        <w:right w:val="single" w:sz="8" w:space="0" w:color="BCC167" w:themeColor="accent2"/>
        <w:insideH w:val="single" w:sz="8" w:space="0" w:color="BCC167" w:themeColor="accent2"/>
        <w:insideV w:val="single" w:sz="8" w:space="0" w:color="BCC167"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CC167" w:themeColor="accent2"/>
          <w:left w:val="single" w:sz="8" w:space="0" w:color="BCC167" w:themeColor="accent2"/>
          <w:bottom w:val="single" w:sz="18" w:space="0" w:color="BCC167" w:themeColor="accent2"/>
          <w:right w:val="single" w:sz="8" w:space="0" w:color="BCC167" w:themeColor="accent2"/>
          <w:insideH w:val="nil"/>
          <w:insideV w:val="single" w:sz="8" w:space="0" w:color="BCC167"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CC167" w:themeColor="accent2"/>
          <w:left w:val="single" w:sz="8" w:space="0" w:color="BCC167" w:themeColor="accent2"/>
          <w:bottom w:val="single" w:sz="8" w:space="0" w:color="BCC167" w:themeColor="accent2"/>
          <w:right w:val="single" w:sz="8" w:space="0" w:color="BCC167" w:themeColor="accent2"/>
          <w:insideH w:val="nil"/>
          <w:insideV w:val="single" w:sz="8" w:space="0" w:color="BCC167"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CC167" w:themeColor="accent2"/>
          <w:left w:val="single" w:sz="8" w:space="0" w:color="BCC167" w:themeColor="accent2"/>
          <w:bottom w:val="single" w:sz="8" w:space="0" w:color="BCC167" w:themeColor="accent2"/>
          <w:right w:val="single" w:sz="8" w:space="0" w:color="BCC167" w:themeColor="accent2"/>
        </w:tcBorders>
      </w:tcPr>
    </w:tblStylePr>
    <w:tblStylePr w:type="band1Vert">
      <w:tblPr/>
      <w:tcPr>
        <w:tcBorders>
          <w:top w:val="single" w:sz="8" w:space="0" w:color="BCC167" w:themeColor="accent2"/>
          <w:left w:val="single" w:sz="8" w:space="0" w:color="BCC167" w:themeColor="accent2"/>
          <w:bottom w:val="single" w:sz="8" w:space="0" w:color="BCC167" w:themeColor="accent2"/>
          <w:right w:val="single" w:sz="8" w:space="0" w:color="BCC167" w:themeColor="accent2"/>
        </w:tcBorders>
        <w:shd w:val="clear" w:color="auto" w:fill="EEEFD9" w:themeFill="accent2" w:themeFillTint="3F"/>
      </w:tcPr>
    </w:tblStylePr>
    <w:tblStylePr w:type="band1Horz">
      <w:tblPr/>
      <w:tcPr>
        <w:tcBorders>
          <w:top w:val="single" w:sz="8" w:space="0" w:color="BCC167" w:themeColor="accent2"/>
          <w:left w:val="single" w:sz="8" w:space="0" w:color="BCC167" w:themeColor="accent2"/>
          <w:bottom w:val="single" w:sz="8" w:space="0" w:color="BCC167" w:themeColor="accent2"/>
          <w:right w:val="single" w:sz="8" w:space="0" w:color="BCC167" w:themeColor="accent2"/>
          <w:insideV w:val="single" w:sz="8" w:space="0" w:color="BCC167" w:themeColor="accent2"/>
        </w:tcBorders>
        <w:shd w:val="clear" w:color="auto" w:fill="EEEFD9" w:themeFill="accent2" w:themeFillTint="3F"/>
      </w:tcPr>
    </w:tblStylePr>
    <w:tblStylePr w:type="band2Horz">
      <w:tblPr/>
      <w:tcPr>
        <w:tcBorders>
          <w:top w:val="single" w:sz="8" w:space="0" w:color="BCC167" w:themeColor="accent2"/>
          <w:left w:val="single" w:sz="8" w:space="0" w:color="BCC167" w:themeColor="accent2"/>
          <w:bottom w:val="single" w:sz="8" w:space="0" w:color="BCC167" w:themeColor="accent2"/>
          <w:right w:val="single" w:sz="8" w:space="0" w:color="BCC167" w:themeColor="accent2"/>
          <w:insideV w:val="single" w:sz="8" w:space="0" w:color="BCC167" w:themeColor="accent2"/>
        </w:tcBorders>
      </w:tcPr>
    </w:tblStylePr>
  </w:style>
  <w:style w:type="table" w:customStyle="1" w:styleId="Jasnecieniowanie113">
    <w:name w:val="Jasne cieniowanie113"/>
    <w:basedOn w:val="Standardowy"/>
    <w:next w:val="Jasnecieniowanie1"/>
    <w:uiPriority w:val="60"/>
    <w:rsid w:val="00492D5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elasiatki4akcent6113">
    <w:name w:val="Tabela siatki 4 — akcent 6113"/>
    <w:basedOn w:val="Standardowy"/>
    <w:uiPriority w:val="49"/>
    <w:rsid w:val="00492D5F"/>
    <w:pPr>
      <w:spacing w:after="0" w:line="240" w:lineRule="auto"/>
    </w:pPr>
    <w:tblPr>
      <w:tblStyleRowBandSize w:val="1"/>
      <w:tblStyleColBandSize w:val="1"/>
      <w:tblBorders>
        <w:top w:val="single" w:sz="4" w:space="0" w:color="DAE6C2" w:themeColor="accent6" w:themeTint="99"/>
        <w:left w:val="single" w:sz="4" w:space="0" w:color="DAE6C2" w:themeColor="accent6" w:themeTint="99"/>
        <w:bottom w:val="single" w:sz="4" w:space="0" w:color="DAE6C2" w:themeColor="accent6" w:themeTint="99"/>
        <w:right w:val="single" w:sz="4" w:space="0" w:color="DAE6C2" w:themeColor="accent6" w:themeTint="99"/>
        <w:insideH w:val="single" w:sz="4" w:space="0" w:color="DAE6C2" w:themeColor="accent6" w:themeTint="99"/>
        <w:insideV w:val="single" w:sz="4" w:space="0" w:color="DAE6C2" w:themeColor="accent6" w:themeTint="99"/>
      </w:tblBorders>
    </w:tblPr>
    <w:tblStylePr w:type="firstRow">
      <w:rPr>
        <w:b/>
        <w:bCs/>
        <w:color w:val="FFFFFF" w:themeColor="background1"/>
      </w:rPr>
      <w:tblPr/>
      <w:tcPr>
        <w:tcBorders>
          <w:top w:val="single" w:sz="4" w:space="0" w:color="C3D69B" w:themeColor="accent6"/>
          <w:left w:val="single" w:sz="4" w:space="0" w:color="C3D69B" w:themeColor="accent6"/>
          <w:bottom w:val="single" w:sz="4" w:space="0" w:color="C3D69B" w:themeColor="accent6"/>
          <w:right w:val="single" w:sz="4" w:space="0" w:color="C3D69B" w:themeColor="accent6"/>
          <w:insideH w:val="nil"/>
          <w:insideV w:val="nil"/>
        </w:tcBorders>
        <w:shd w:val="clear" w:color="auto" w:fill="C3D69B" w:themeFill="accent6"/>
      </w:tcPr>
    </w:tblStylePr>
    <w:tblStylePr w:type="lastRow">
      <w:rPr>
        <w:b/>
        <w:bCs/>
      </w:rPr>
      <w:tblPr/>
      <w:tcPr>
        <w:tcBorders>
          <w:top w:val="double" w:sz="4" w:space="0" w:color="C3D69B" w:themeColor="accent6"/>
        </w:tcBorders>
      </w:tcPr>
    </w:tblStylePr>
    <w:tblStylePr w:type="firstCol">
      <w:rPr>
        <w:b/>
        <w:bCs/>
      </w:rPr>
    </w:tblStylePr>
    <w:tblStylePr w:type="lastCol">
      <w:rPr>
        <w:b/>
        <w:bCs/>
      </w:rPr>
    </w:tblStylePr>
    <w:tblStylePr w:type="band1Vert">
      <w:tblPr/>
      <w:tcPr>
        <w:shd w:val="clear" w:color="auto" w:fill="F2F6EA" w:themeFill="accent6" w:themeFillTint="33"/>
      </w:tcPr>
    </w:tblStylePr>
    <w:tblStylePr w:type="band1Horz">
      <w:tblPr/>
      <w:tcPr>
        <w:shd w:val="clear" w:color="auto" w:fill="F2F6EA" w:themeFill="accent6" w:themeFillTint="33"/>
      </w:tcPr>
    </w:tblStylePr>
  </w:style>
  <w:style w:type="table" w:customStyle="1" w:styleId="Jasnasiatkaakcent313">
    <w:name w:val="Jasna siatka — akcent 313"/>
    <w:basedOn w:val="Standardowy"/>
    <w:uiPriority w:val="62"/>
    <w:rsid w:val="00492D5F"/>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shd w:val="clear" w:color="auto" w:fill="9DA321" w:themeFill="accent3"/>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tblPr/>
      <w:tcPr>
        <w:tcBorders>
          <w:top w:val="nil"/>
          <w:left w:val="nil"/>
          <w:bottom w:val="nil"/>
          <w:right w:val="nil"/>
          <w:insideH w:val="nil"/>
          <w:insideV w:val="nil"/>
        </w:tcBorders>
        <w:shd w:val="clear" w:color="auto" w:fill="EFF2BE" w:themeFill="accent3" w:themeFillTint="3F"/>
      </w:tcPr>
    </w:tblStylePr>
    <w:tblStylePr w:type="band2Horz">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Tabela-MPAaga9">
    <w:name w:val="Tabela-MPA_aga9"/>
    <w:basedOn w:val="Standardowy"/>
    <w:uiPriority w:val="62"/>
    <w:rsid w:val="00492D5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15">
    <w:name w:val="Tabela-MPA_aga15"/>
    <w:basedOn w:val="Standardowy"/>
    <w:uiPriority w:val="62"/>
    <w:rsid w:val="00492D5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Jasnasiatkaakcent323">
    <w:name w:val="Jasna siatka — akcent 323"/>
    <w:basedOn w:val="Standardowy"/>
    <w:next w:val="Jasnasiatkaakcent3"/>
    <w:uiPriority w:val="62"/>
    <w:rsid w:val="00492D5F"/>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18" w:space="0" w:color="9DA321" w:themeColor="accent3"/>
          <w:right w:val="single" w:sz="8" w:space="0" w:color="9DA321" w:themeColor="accent3"/>
          <w:insideH w:val="nil"/>
          <w:insideV w:val="single" w:sz="8" w:space="0" w:color="9DA321"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shd w:val="clear" w:color="auto" w:fill="EFF2BE" w:themeFill="accent3" w:themeFillTint="3F"/>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shd w:val="clear" w:color="auto" w:fill="EFF2BE" w:themeFill="accent3" w:themeFillTint="3F"/>
      </w:tcPr>
    </w:tblStylePr>
    <w:tblStylePr w:type="band2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tcPr>
    </w:tblStylePr>
  </w:style>
  <w:style w:type="table" w:customStyle="1" w:styleId="Jasnasiatkaakcent333">
    <w:name w:val="Jasna siatka — akcent 333"/>
    <w:basedOn w:val="Standardowy"/>
    <w:next w:val="Jasnasiatkaakcent3"/>
    <w:uiPriority w:val="62"/>
    <w:rsid w:val="00492D5F"/>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18" w:space="0" w:color="9DA321" w:themeColor="accent3"/>
          <w:right w:val="single" w:sz="8" w:space="0" w:color="9DA321" w:themeColor="accent3"/>
          <w:insideH w:val="nil"/>
          <w:insideV w:val="single" w:sz="8" w:space="0" w:color="9DA321"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shd w:val="clear" w:color="auto" w:fill="EFF2BE" w:themeFill="accent3" w:themeFillTint="3F"/>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shd w:val="clear" w:color="auto" w:fill="EFF2BE" w:themeFill="accent3" w:themeFillTint="3F"/>
      </w:tcPr>
    </w:tblStylePr>
    <w:tblStylePr w:type="band2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tcPr>
    </w:tblStylePr>
  </w:style>
  <w:style w:type="table" w:customStyle="1" w:styleId="Tabela-MPAaga24">
    <w:name w:val="Tabela-MPA_aga24"/>
    <w:basedOn w:val="Standardowy"/>
    <w:uiPriority w:val="62"/>
    <w:rsid w:val="00492D5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33">
    <w:name w:val="Tabela - Siatka33"/>
    <w:basedOn w:val="Standardowy"/>
    <w:next w:val="Tabela-Siatka"/>
    <w:uiPriority w:val="5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asiatka13">
    <w:name w:val="Jasna siatka13"/>
    <w:basedOn w:val="Standardowy"/>
    <w:uiPriority w:val="62"/>
    <w:rsid w:val="00492D5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leNormal6">
    <w:name w:val="Table Normal6"/>
    <w:uiPriority w:val="2"/>
    <w:semiHidden/>
    <w:unhideWhenUsed/>
    <w:qFormat/>
    <w:rsid w:val="00492D5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Siatka43">
    <w:name w:val="Tabela - Siatka43"/>
    <w:basedOn w:val="Standardowy"/>
    <w:next w:val="Tabela-Siatka"/>
    <w:uiPriority w:val="5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3">
    <w:name w:val="Table Normal13"/>
    <w:uiPriority w:val="2"/>
    <w:semiHidden/>
    <w:unhideWhenUsed/>
    <w:qFormat/>
    <w:rsid w:val="00492D5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492D5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492D5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Siatka133">
    <w:name w:val="Tabela - Siatka133"/>
    <w:basedOn w:val="Standardowy"/>
    <w:next w:val="Tabela-Siatka"/>
    <w:uiPriority w:val="5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4">
    <w:name w:val="Jasne cieniowanie4"/>
    <w:basedOn w:val="Standardowy"/>
    <w:next w:val="Jasnecieniowanie"/>
    <w:uiPriority w:val="60"/>
    <w:rsid w:val="00492D5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ela-MPAaga113">
    <w:name w:val="Tabela-MPA_aga113"/>
    <w:basedOn w:val="Standardowy"/>
    <w:uiPriority w:val="62"/>
    <w:rsid w:val="00492D5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54">
    <w:name w:val="Tabela - Siatka54"/>
    <w:basedOn w:val="Standardowy"/>
    <w:next w:val="Tabela-Siatka"/>
    <w:uiPriority w:val="5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3">
    <w:name w:val="Tabela - Siatka63"/>
    <w:basedOn w:val="Standardowy"/>
    <w:next w:val="Tabela-Siatka"/>
    <w:uiPriority w:val="5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3">
    <w:name w:val="Tabela - Siatka73"/>
    <w:basedOn w:val="Standardowy"/>
    <w:next w:val="Tabela-Siatka"/>
    <w:uiPriority w:val="5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3">
    <w:name w:val="Tabela - Siatka83"/>
    <w:basedOn w:val="Standardowy"/>
    <w:next w:val="Tabela-Siatka"/>
    <w:uiPriority w:val="5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asiatkaakcent63">
    <w:name w:val="Jasna siatka — akcent 63"/>
    <w:basedOn w:val="Standardowy"/>
    <w:next w:val="Jasnasiatkaakcent6"/>
    <w:uiPriority w:val="62"/>
    <w:rsid w:val="00492D5F"/>
    <w:pPr>
      <w:spacing w:after="0" w:line="240" w:lineRule="auto"/>
    </w:pPr>
    <w:tblPr>
      <w:tblStyleRowBandSize w:val="1"/>
      <w:tblStyleColBandSize w:val="1"/>
      <w:tblBorders>
        <w:top w:val="single" w:sz="8" w:space="0" w:color="C3D69B" w:themeColor="accent6"/>
        <w:left w:val="single" w:sz="8" w:space="0" w:color="C3D69B" w:themeColor="accent6"/>
        <w:bottom w:val="single" w:sz="8" w:space="0" w:color="C3D69B" w:themeColor="accent6"/>
        <w:right w:val="single" w:sz="8" w:space="0" w:color="C3D69B" w:themeColor="accent6"/>
        <w:insideH w:val="single" w:sz="8" w:space="0" w:color="C3D69B" w:themeColor="accent6"/>
        <w:insideV w:val="single" w:sz="8" w:space="0" w:color="C3D69B"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3D69B" w:themeColor="accent6"/>
          <w:left w:val="single" w:sz="8" w:space="0" w:color="C3D69B" w:themeColor="accent6"/>
          <w:bottom w:val="single" w:sz="18" w:space="0" w:color="C3D69B" w:themeColor="accent6"/>
          <w:right w:val="single" w:sz="8" w:space="0" w:color="C3D69B" w:themeColor="accent6"/>
          <w:insideH w:val="nil"/>
          <w:insideV w:val="single" w:sz="8" w:space="0" w:color="C3D69B"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3D69B" w:themeColor="accent6"/>
          <w:left w:val="single" w:sz="8" w:space="0" w:color="C3D69B" w:themeColor="accent6"/>
          <w:bottom w:val="single" w:sz="8" w:space="0" w:color="C3D69B" w:themeColor="accent6"/>
          <w:right w:val="single" w:sz="8" w:space="0" w:color="C3D69B" w:themeColor="accent6"/>
          <w:insideH w:val="nil"/>
          <w:insideV w:val="single" w:sz="8" w:space="0" w:color="C3D69B"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3D69B" w:themeColor="accent6"/>
          <w:left w:val="single" w:sz="8" w:space="0" w:color="C3D69B" w:themeColor="accent6"/>
          <w:bottom w:val="single" w:sz="8" w:space="0" w:color="C3D69B" w:themeColor="accent6"/>
          <w:right w:val="single" w:sz="8" w:space="0" w:color="C3D69B" w:themeColor="accent6"/>
        </w:tcBorders>
      </w:tcPr>
    </w:tblStylePr>
    <w:tblStylePr w:type="band1Vert">
      <w:tblPr/>
      <w:tcPr>
        <w:tcBorders>
          <w:top w:val="single" w:sz="8" w:space="0" w:color="C3D69B" w:themeColor="accent6"/>
          <w:left w:val="single" w:sz="8" w:space="0" w:color="C3D69B" w:themeColor="accent6"/>
          <w:bottom w:val="single" w:sz="8" w:space="0" w:color="C3D69B" w:themeColor="accent6"/>
          <w:right w:val="single" w:sz="8" w:space="0" w:color="C3D69B" w:themeColor="accent6"/>
        </w:tcBorders>
        <w:shd w:val="clear" w:color="auto" w:fill="F0F4E6" w:themeFill="accent6" w:themeFillTint="3F"/>
      </w:tcPr>
    </w:tblStylePr>
    <w:tblStylePr w:type="band1Horz">
      <w:tblPr/>
      <w:tcPr>
        <w:tcBorders>
          <w:top w:val="single" w:sz="8" w:space="0" w:color="C3D69B" w:themeColor="accent6"/>
          <w:left w:val="single" w:sz="8" w:space="0" w:color="C3D69B" w:themeColor="accent6"/>
          <w:bottom w:val="single" w:sz="8" w:space="0" w:color="C3D69B" w:themeColor="accent6"/>
          <w:right w:val="single" w:sz="8" w:space="0" w:color="C3D69B" w:themeColor="accent6"/>
          <w:insideV w:val="single" w:sz="8" w:space="0" w:color="C3D69B" w:themeColor="accent6"/>
        </w:tcBorders>
        <w:shd w:val="clear" w:color="auto" w:fill="F0F4E6" w:themeFill="accent6" w:themeFillTint="3F"/>
      </w:tcPr>
    </w:tblStylePr>
    <w:tblStylePr w:type="band2Horz">
      <w:tblPr/>
      <w:tcPr>
        <w:tcBorders>
          <w:top w:val="single" w:sz="8" w:space="0" w:color="C3D69B" w:themeColor="accent6"/>
          <w:left w:val="single" w:sz="8" w:space="0" w:color="C3D69B" w:themeColor="accent6"/>
          <w:bottom w:val="single" w:sz="8" w:space="0" w:color="C3D69B" w:themeColor="accent6"/>
          <w:right w:val="single" w:sz="8" w:space="0" w:color="C3D69B" w:themeColor="accent6"/>
          <w:insideV w:val="single" w:sz="8" w:space="0" w:color="C3D69B" w:themeColor="accent6"/>
        </w:tcBorders>
      </w:tcPr>
    </w:tblStylePr>
  </w:style>
  <w:style w:type="table" w:customStyle="1" w:styleId="Tabela-Siatka93">
    <w:name w:val="Tabela - Siatka93"/>
    <w:basedOn w:val="Standardowy"/>
    <w:next w:val="Tabela-Siatka"/>
    <w:uiPriority w:val="59"/>
    <w:rsid w:val="00492D5F"/>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PAaga213">
    <w:name w:val="Tabela-MPA_aga213"/>
    <w:basedOn w:val="Standardowy"/>
    <w:uiPriority w:val="62"/>
    <w:rsid w:val="00492D5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514">
    <w:name w:val="Tabela - Siatka514"/>
    <w:basedOn w:val="Standardowy"/>
    <w:next w:val="Tabela-Siatka"/>
    <w:uiPriority w:val="3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PAaga123">
    <w:name w:val="Tabela-MPA_aga123"/>
    <w:basedOn w:val="Standardowy"/>
    <w:uiPriority w:val="62"/>
    <w:rsid w:val="00492D5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33">
    <w:name w:val="Tabela-MPA_aga33"/>
    <w:basedOn w:val="Standardowy"/>
    <w:uiPriority w:val="62"/>
    <w:rsid w:val="00492D5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43">
    <w:name w:val="Tabela-MPA_aga43"/>
    <w:basedOn w:val="Standardowy"/>
    <w:uiPriority w:val="62"/>
    <w:rsid w:val="00492D5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103">
    <w:name w:val="Tabela - Siatka103"/>
    <w:basedOn w:val="Standardowy"/>
    <w:next w:val="Tabela-Siatka"/>
    <w:uiPriority w:val="3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PAaga53">
    <w:name w:val="Tabela-MPA_aga53"/>
    <w:basedOn w:val="Standardowy"/>
    <w:uiPriority w:val="62"/>
    <w:rsid w:val="00492D5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63">
    <w:name w:val="Tabela-MPA_aga63"/>
    <w:basedOn w:val="Standardowy"/>
    <w:uiPriority w:val="62"/>
    <w:rsid w:val="00492D5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113">
    <w:name w:val="Tabela - Siatka113"/>
    <w:basedOn w:val="Standardowy"/>
    <w:next w:val="Tabela-Siatka"/>
    <w:uiPriority w:val="39"/>
    <w:rsid w:val="00492D5F"/>
    <w:pPr>
      <w:spacing w:after="0" w:line="240" w:lineRule="auto"/>
    </w:pPr>
    <w:rPr>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2">
    <w:name w:val="Bez listy12"/>
    <w:next w:val="Bezlisty"/>
    <w:uiPriority w:val="99"/>
    <w:semiHidden/>
    <w:unhideWhenUsed/>
    <w:rsid w:val="00492D5F"/>
  </w:style>
  <w:style w:type="table" w:customStyle="1" w:styleId="Tabela-Siatka122">
    <w:name w:val="Tabela - Siatka122"/>
    <w:basedOn w:val="Standardowy"/>
    <w:next w:val="Tabela-Siatka"/>
    <w:uiPriority w:val="5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2">
    <w:name w:val="Tabela - Siatka212"/>
    <w:basedOn w:val="Standardowy"/>
    <w:next w:val="Tabela-Siatka"/>
    <w:uiPriority w:val="5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42">
    <w:name w:val="Tabela - Siatka142"/>
    <w:basedOn w:val="Standardowy"/>
    <w:next w:val="Tabela-Siatka"/>
    <w:uiPriority w:val="5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122">
    <w:name w:val="Jasne cieniowanie122"/>
    <w:basedOn w:val="Standardowy"/>
    <w:uiPriority w:val="60"/>
    <w:rsid w:val="00492D5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Jasnalistaakcent312">
    <w:name w:val="Jasna lista — akcent 312"/>
    <w:basedOn w:val="Standardowy"/>
    <w:next w:val="Jasnalistaakcent3"/>
    <w:uiPriority w:val="61"/>
    <w:rsid w:val="00492D5F"/>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tblBorders>
    </w:tblPr>
    <w:tblStylePr w:type="firstRow">
      <w:pPr>
        <w:spacing w:before="0" w:after="0" w:line="240" w:lineRule="auto"/>
      </w:pPr>
      <w:rPr>
        <w:b/>
        <w:bCs/>
        <w:color w:val="FFFFFF" w:themeColor="background1"/>
      </w:rPr>
      <w:tblPr/>
      <w:tcPr>
        <w:shd w:val="clear" w:color="auto" w:fill="9DA321" w:themeFill="accent3"/>
      </w:tcPr>
    </w:tblStylePr>
    <w:tblStylePr w:type="lastRow">
      <w:pPr>
        <w:spacing w:before="0" w:after="0" w:line="240" w:lineRule="auto"/>
      </w:pPr>
      <w:rPr>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tcBorders>
      </w:tcPr>
    </w:tblStylePr>
    <w:tblStylePr w:type="firstCol">
      <w:rPr>
        <w:b/>
        <w:bCs/>
      </w:rPr>
    </w:tblStylePr>
    <w:tblStylePr w:type="lastCol">
      <w:rPr>
        <w:b/>
        <w:bCs/>
      </w:r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style>
  <w:style w:type="table" w:customStyle="1" w:styleId="Jasnalista112">
    <w:name w:val="Jasna lista112"/>
    <w:basedOn w:val="Standardowy"/>
    <w:uiPriority w:val="61"/>
    <w:rsid w:val="00492D5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Tabelasiatki4akcent6122">
    <w:name w:val="Tabela siatki 4 — akcent 6122"/>
    <w:basedOn w:val="Standardowy"/>
    <w:uiPriority w:val="49"/>
    <w:rsid w:val="00492D5F"/>
    <w:pPr>
      <w:spacing w:after="0" w:line="240" w:lineRule="auto"/>
    </w:pPr>
    <w:tblPr>
      <w:tblStyleRowBandSize w:val="1"/>
      <w:tblStyleColBandSize w:val="1"/>
      <w:tblBorders>
        <w:top w:val="single" w:sz="4" w:space="0" w:color="DAE6C2" w:themeColor="accent6" w:themeTint="99"/>
        <w:left w:val="single" w:sz="4" w:space="0" w:color="DAE6C2" w:themeColor="accent6" w:themeTint="99"/>
        <w:bottom w:val="single" w:sz="4" w:space="0" w:color="DAE6C2" w:themeColor="accent6" w:themeTint="99"/>
        <w:right w:val="single" w:sz="4" w:space="0" w:color="DAE6C2" w:themeColor="accent6" w:themeTint="99"/>
        <w:insideH w:val="single" w:sz="4" w:space="0" w:color="DAE6C2" w:themeColor="accent6" w:themeTint="99"/>
        <w:insideV w:val="single" w:sz="4" w:space="0" w:color="DAE6C2" w:themeColor="accent6" w:themeTint="99"/>
      </w:tblBorders>
    </w:tblPr>
    <w:tblStylePr w:type="firstRow">
      <w:rPr>
        <w:b/>
        <w:bCs/>
        <w:color w:val="FFFFFF" w:themeColor="background1"/>
      </w:rPr>
      <w:tblPr/>
      <w:tcPr>
        <w:tcBorders>
          <w:top w:val="single" w:sz="4" w:space="0" w:color="C3D69B" w:themeColor="accent6"/>
          <w:left w:val="single" w:sz="4" w:space="0" w:color="C3D69B" w:themeColor="accent6"/>
          <w:bottom w:val="single" w:sz="4" w:space="0" w:color="C3D69B" w:themeColor="accent6"/>
          <w:right w:val="single" w:sz="4" w:space="0" w:color="C3D69B" w:themeColor="accent6"/>
          <w:insideH w:val="nil"/>
          <w:insideV w:val="nil"/>
        </w:tcBorders>
        <w:shd w:val="clear" w:color="auto" w:fill="C3D69B" w:themeFill="accent6"/>
      </w:tcPr>
    </w:tblStylePr>
    <w:tblStylePr w:type="lastRow">
      <w:rPr>
        <w:b/>
        <w:bCs/>
      </w:rPr>
      <w:tblPr/>
      <w:tcPr>
        <w:tcBorders>
          <w:top w:val="double" w:sz="4" w:space="0" w:color="C3D69B" w:themeColor="accent6"/>
        </w:tcBorders>
      </w:tcPr>
    </w:tblStylePr>
    <w:tblStylePr w:type="firstCol">
      <w:rPr>
        <w:b/>
        <w:bCs/>
      </w:rPr>
    </w:tblStylePr>
    <w:tblStylePr w:type="lastCol">
      <w:rPr>
        <w:b/>
        <w:bCs/>
      </w:rPr>
    </w:tblStylePr>
    <w:tblStylePr w:type="band1Vert">
      <w:tblPr/>
      <w:tcPr>
        <w:shd w:val="clear" w:color="auto" w:fill="F2F6EA" w:themeFill="accent6" w:themeFillTint="33"/>
      </w:tcPr>
    </w:tblStylePr>
    <w:tblStylePr w:type="band1Horz">
      <w:tblPr/>
      <w:tcPr>
        <w:shd w:val="clear" w:color="auto" w:fill="F2F6EA" w:themeFill="accent6" w:themeFillTint="33"/>
      </w:tcPr>
    </w:tblStylePr>
  </w:style>
  <w:style w:type="table" w:customStyle="1" w:styleId="Jasnecieniowanieakcent212">
    <w:name w:val="Jasne cieniowanie — akcent 212"/>
    <w:basedOn w:val="Standardowy"/>
    <w:next w:val="Jasnecieniowanieakcent2"/>
    <w:uiPriority w:val="60"/>
    <w:rsid w:val="00492D5F"/>
    <w:pPr>
      <w:spacing w:after="0" w:line="240" w:lineRule="auto"/>
    </w:pPr>
    <w:rPr>
      <w:color w:val="979D40" w:themeColor="accent2" w:themeShade="BF"/>
    </w:rPr>
    <w:tblPr>
      <w:tblStyleRowBandSize w:val="1"/>
      <w:tblStyleColBandSize w:val="1"/>
      <w:tblBorders>
        <w:top w:val="single" w:sz="8" w:space="0" w:color="BCC167" w:themeColor="accent2"/>
        <w:bottom w:val="single" w:sz="8" w:space="0" w:color="BCC167" w:themeColor="accent2"/>
      </w:tblBorders>
    </w:tblPr>
    <w:tblStylePr w:type="firstRow">
      <w:pPr>
        <w:spacing w:before="0" w:after="0" w:line="240" w:lineRule="auto"/>
      </w:pPr>
      <w:rPr>
        <w:b/>
        <w:bCs/>
      </w:rPr>
      <w:tblPr/>
      <w:tcPr>
        <w:tcBorders>
          <w:top w:val="single" w:sz="8" w:space="0" w:color="BCC167" w:themeColor="accent2"/>
          <w:left w:val="nil"/>
          <w:bottom w:val="single" w:sz="8" w:space="0" w:color="BCC167" w:themeColor="accent2"/>
          <w:right w:val="nil"/>
          <w:insideH w:val="nil"/>
          <w:insideV w:val="nil"/>
        </w:tcBorders>
      </w:tcPr>
    </w:tblStylePr>
    <w:tblStylePr w:type="lastRow">
      <w:pPr>
        <w:spacing w:before="0" w:after="0" w:line="240" w:lineRule="auto"/>
      </w:pPr>
      <w:rPr>
        <w:b/>
        <w:bCs/>
      </w:rPr>
      <w:tblPr/>
      <w:tcPr>
        <w:tcBorders>
          <w:top w:val="single" w:sz="8" w:space="0" w:color="BCC167" w:themeColor="accent2"/>
          <w:left w:val="nil"/>
          <w:bottom w:val="single" w:sz="8" w:space="0" w:color="BCC167"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EEFD9" w:themeFill="accent2" w:themeFillTint="3F"/>
      </w:tcPr>
    </w:tblStylePr>
    <w:tblStylePr w:type="band1Horz">
      <w:tblPr/>
      <w:tcPr>
        <w:tcBorders>
          <w:left w:val="nil"/>
          <w:right w:val="nil"/>
          <w:insideH w:val="nil"/>
          <w:insideV w:val="nil"/>
        </w:tcBorders>
        <w:shd w:val="clear" w:color="auto" w:fill="EEEFD9" w:themeFill="accent2" w:themeFillTint="3F"/>
      </w:tcPr>
    </w:tblStylePr>
  </w:style>
  <w:style w:type="table" w:customStyle="1" w:styleId="Jasnasiatkaakcent342">
    <w:name w:val="Jasna siatka — akcent 342"/>
    <w:basedOn w:val="Standardowy"/>
    <w:next w:val="Jasnasiatkaakcent3"/>
    <w:uiPriority w:val="62"/>
    <w:rsid w:val="00492D5F"/>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18" w:space="0" w:color="9DA321" w:themeColor="accent3"/>
          <w:right w:val="single" w:sz="8" w:space="0" w:color="9DA321" w:themeColor="accent3"/>
          <w:insideH w:val="nil"/>
          <w:insideV w:val="single" w:sz="8" w:space="0" w:color="9DA321"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shd w:val="clear" w:color="auto" w:fill="EFF2BE" w:themeFill="accent3" w:themeFillTint="3F"/>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shd w:val="clear" w:color="auto" w:fill="EFF2BE" w:themeFill="accent3" w:themeFillTint="3F"/>
      </w:tcPr>
    </w:tblStylePr>
    <w:tblStylePr w:type="band2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tcPr>
    </w:tblStylePr>
  </w:style>
  <w:style w:type="table" w:customStyle="1" w:styleId="Jasnasiatkaakcent212">
    <w:name w:val="Jasna siatka — akcent 212"/>
    <w:basedOn w:val="Standardowy"/>
    <w:next w:val="Jasnasiatkaakcent2"/>
    <w:uiPriority w:val="62"/>
    <w:rsid w:val="00492D5F"/>
    <w:pPr>
      <w:spacing w:after="0" w:line="240" w:lineRule="auto"/>
    </w:pPr>
    <w:tblPr>
      <w:tblStyleRowBandSize w:val="1"/>
      <w:tblStyleColBandSize w:val="1"/>
      <w:tblBorders>
        <w:top w:val="single" w:sz="8" w:space="0" w:color="BCC167" w:themeColor="accent2"/>
        <w:left w:val="single" w:sz="8" w:space="0" w:color="BCC167" w:themeColor="accent2"/>
        <w:bottom w:val="single" w:sz="8" w:space="0" w:color="BCC167" w:themeColor="accent2"/>
        <w:right w:val="single" w:sz="8" w:space="0" w:color="BCC167" w:themeColor="accent2"/>
        <w:insideH w:val="single" w:sz="8" w:space="0" w:color="BCC167" w:themeColor="accent2"/>
        <w:insideV w:val="single" w:sz="8" w:space="0" w:color="BCC167"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CC167" w:themeColor="accent2"/>
          <w:left w:val="single" w:sz="8" w:space="0" w:color="BCC167" w:themeColor="accent2"/>
          <w:bottom w:val="single" w:sz="18" w:space="0" w:color="BCC167" w:themeColor="accent2"/>
          <w:right w:val="single" w:sz="8" w:space="0" w:color="BCC167" w:themeColor="accent2"/>
          <w:insideH w:val="nil"/>
          <w:insideV w:val="single" w:sz="8" w:space="0" w:color="BCC167"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CC167" w:themeColor="accent2"/>
          <w:left w:val="single" w:sz="8" w:space="0" w:color="BCC167" w:themeColor="accent2"/>
          <w:bottom w:val="single" w:sz="8" w:space="0" w:color="BCC167" w:themeColor="accent2"/>
          <w:right w:val="single" w:sz="8" w:space="0" w:color="BCC167" w:themeColor="accent2"/>
          <w:insideH w:val="nil"/>
          <w:insideV w:val="single" w:sz="8" w:space="0" w:color="BCC167"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CC167" w:themeColor="accent2"/>
          <w:left w:val="single" w:sz="8" w:space="0" w:color="BCC167" w:themeColor="accent2"/>
          <w:bottom w:val="single" w:sz="8" w:space="0" w:color="BCC167" w:themeColor="accent2"/>
          <w:right w:val="single" w:sz="8" w:space="0" w:color="BCC167" w:themeColor="accent2"/>
        </w:tcBorders>
      </w:tcPr>
    </w:tblStylePr>
    <w:tblStylePr w:type="band1Vert">
      <w:tblPr/>
      <w:tcPr>
        <w:tcBorders>
          <w:top w:val="single" w:sz="8" w:space="0" w:color="BCC167" w:themeColor="accent2"/>
          <w:left w:val="single" w:sz="8" w:space="0" w:color="BCC167" w:themeColor="accent2"/>
          <w:bottom w:val="single" w:sz="8" w:space="0" w:color="BCC167" w:themeColor="accent2"/>
          <w:right w:val="single" w:sz="8" w:space="0" w:color="BCC167" w:themeColor="accent2"/>
        </w:tcBorders>
        <w:shd w:val="clear" w:color="auto" w:fill="EEEFD9" w:themeFill="accent2" w:themeFillTint="3F"/>
      </w:tcPr>
    </w:tblStylePr>
    <w:tblStylePr w:type="band1Horz">
      <w:tblPr/>
      <w:tcPr>
        <w:tcBorders>
          <w:top w:val="single" w:sz="8" w:space="0" w:color="BCC167" w:themeColor="accent2"/>
          <w:left w:val="single" w:sz="8" w:space="0" w:color="BCC167" w:themeColor="accent2"/>
          <w:bottom w:val="single" w:sz="8" w:space="0" w:color="BCC167" w:themeColor="accent2"/>
          <w:right w:val="single" w:sz="8" w:space="0" w:color="BCC167" w:themeColor="accent2"/>
          <w:insideV w:val="single" w:sz="8" w:space="0" w:color="BCC167" w:themeColor="accent2"/>
        </w:tcBorders>
        <w:shd w:val="clear" w:color="auto" w:fill="EEEFD9" w:themeFill="accent2" w:themeFillTint="3F"/>
      </w:tcPr>
    </w:tblStylePr>
    <w:tblStylePr w:type="band2Horz">
      <w:tblPr/>
      <w:tcPr>
        <w:tcBorders>
          <w:top w:val="single" w:sz="8" w:space="0" w:color="BCC167" w:themeColor="accent2"/>
          <w:left w:val="single" w:sz="8" w:space="0" w:color="BCC167" w:themeColor="accent2"/>
          <w:bottom w:val="single" w:sz="8" w:space="0" w:color="BCC167" w:themeColor="accent2"/>
          <w:right w:val="single" w:sz="8" w:space="0" w:color="BCC167" w:themeColor="accent2"/>
          <w:insideV w:val="single" w:sz="8" w:space="0" w:color="BCC167" w:themeColor="accent2"/>
        </w:tcBorders>
      </w:tcPr>
    </w:tblStylePr>
  </w:style>
  <w:style w:type="table" w:customStyle="1" w:styleId="Jasnecieniowanie1112">
    <w:name w:val="Jasne cieniowanie1112"/>
    <w:basedOn w:val="Standardowy"/>
    <w:next w:val="Jasnecieniowanie1"/>
    <w:uiPriority w:val="60"/>
    <w:rsid w:val="00492D5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elasiatki4akcent61112">
    <w:name w:val="Tabela siatki 4 — akcent 61112"/>
    <w:basedOn w:val="Standardowy"/>
    <w:uiPriority w:val="49"/>
    <w:rsid w:val="00492D5F"/>
    <w:pPr>
      <w:spacing w:after="0" w:line="240" w:lineRule="auto"/>
    </w:pPr>
    <w:tblPr>
      <w:tblStyleRowBandSize w:val="1"/>
      <w:tblStyleColBandSize w:val="1"/>
      <w:tblBorders>
        <w:top w:val="single" w:sz="4" w:space="0" w:color="DAE6C2" w:themeColor="accent6" w:themeTint="99"/>
        <w:left w:val="single" w:sz="4" w:space="0" w:color="DAE6C2" w:themeColor="accent6" w:themeTint="99"/>
        <w:bottom w:val="single" w:sz="4" w:space="0" w:color="DAE6C2" w:themeColor="accent6" w:themeTint="99"/>
        <w:right w:val="single" w:sz="4" w:space="0" w:color="DAE6C2" w:themeColor="accent6" w:themeTint="99"/>
        <w:insideH w:val="single" w:sz="4" w:space="0" w:color="DAE6C2" w:themeColor="accent6" w:themeTint="99"/>
        <w:insideV w:val="single" w:sz="4" w:space="0" w:color="DAE6C2" w:themeColor="accent6" w:themeTint="99"/>
      </w:tblBorders>
    </w:tblPr>
    <w:tblStylePr w:type="firstRow">
      <w:rPr>
        <w:b/>
        <w:bCs/>
        <w:color w:val="FFFFFF" w:themeColor="background1"/>
      </w:rPr>
      <w:tblPr/>
      <w:tcPr>
        <w:tcBorders>
          <w:top w:val="single" w:sz="4" w:space="0" w:color="C3D69B" w:themeColor="accent6"/>
          <w:left w:val="single" w:sz="4" w:space="0" w:color="C3D69B" w:themeColor="accent6"/>
          <w:bottom w:val="single" w:sz="4" w:space="0" w:color="C3D69B" w:themeColor="accent6"/>
          <w:right w:val="single" w:sz="4" w:space="0" w:color="C3D69B" w:themeColor="accent6"/>
          <w:insideH w:val="nil"/>
          <w:insideV w:val="nil"/>
        </w:tcBorders>
        <w:shd w:val="clear" w:color="auto" w:fill="C3D69B" w:themeFill="accent6"/>
      </w:tcPr>
    </w:tblStylePr>
    <w:tblStylePr w:type="lastRow">
      <w:rPr>
        <w:b/>
        <w:bCs/>
      </w:rPr>
      <w:tblPr/>
      <w:tcPr>
        <w:tcBorders>
          <w:top w:val="double" w:sz="4" w:space="0" w:color="C3D69B" w:themeColor="accent6"/>
        </w:tcBorders>
      </w:tcPr>
    </w:tblStylePr>
    <w:tblStylePr w:type="firstCol">
      <w:rPr>
        <w:b/>
        <w:bCs/>
      </w:rPr>
    </w:tblStylePr>
    <w:tblStylePr w:type="lastCol">
      <w:rPr>
        <w:b/>
        <w:bCs/>
      </w:rPr>
    </w:tblStylePr>
    <w:tblStylePr w:type="band1Vert">
      <w:tblPr/>
      <w:tcPr>
        <w:shd w:val="clear" w:color="auto" w:fill="F2F6EA" w:themeFill="accent6" w:themeFillTint="33"/>
      </w:tcPr>
    </w:tblStylePr>
    <w:tblStylePr w:type="band1Horz">
      <w:tblPr/>
      <w:tcPr>
        <w:shd w:val="clear" w:color="auto" w:fill="F2F6EA" w:themeFill="accent6" w:themeFillTint="33"/>
      </w:tcPr>
    </w:tblStylePr>
  </w:style>
  <w:style w:type="table" w:customStyle="1" w:styleId="Jasnasiatkaakcent3112">
    <w:name w:val="Jasna siatka — akcent 3112"/>
    <w:basedOn w:val="Standardowy"/>
    <w:uiPriority w:val="62"/>
    <w:rsid w:val="00492D5F"/>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shd w:val="clear" w:color="auto" w:fill="9DA321" w:themeFill="accent3"/>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Horz">
      <w:tblPr/>
      <w:tcPr>
        <w:tcBorders>
          <w:top w:val="nil"/>
          <w:left w:val="nil"/>
          <w:bottom w:val="nil"/>
          <w:right w:val="nil"/>
          <w:insideH w:val="nil"/>
          <w:insideV w:val="nil"/>
        </w:tcBorders>
        <w:shd w:val="clear" w:color="auto" w:fill="EFF2BE" w:themeFill="accent3" w:themeFillTint="3F"/>
      </w:tcPr>
    </w:tblStylePr>
    <w:tblStylePr w:type="band2Horz">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style>
  <w:style w:type="table" w:customStyle="1" w:styleId="Tabela-MPAaga72">
    <w:name w:val="Tabela-MPA_aga72"/>
    <w:basedOn w:val="Standardowy"/>
    <w:uiPriority w:val="62"/>
    <w:rsid w:val="00492D5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132">
    <w:name w:val="Tabela-MPA_aga132"/>
    <w:basedOn w:val="Standardowy"/>
    <w:uiPriority w:val="62"/>
    <w:rsid w:val="00492D5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Jasnasiatkaakcent3212">
    <w:name w:val="Jasna siatka — akcent 3212"/>
    <w:basedOn w:val="Standardowy"/>
    <w:next w:val="Jasnasiatkaakcent3"/>
    <w:uiPriority w:val="62"/>
    <w:rsid w:val="00492D5F"/>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18" w:space="0" w:color="9DA321" w:themeColor="accent3"/>
          <w:right w:val="single" w:sz="8" w:space="0" w:color="9DA321" w:themeColor="accent3"/>
          <w:insideH w:val="nil"/>
          <w:insideV w:val="single" w:sz="8" w:space="0" w:color="9DA321"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shd w:val="clear" w:color="auto" w:fill="EFF2BE" w:themeFill="accent3" w:themeFillTint="3F"/>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shd w:val="clear" w:color="auto" w:fill="EFF2BE" w:themeFill="accent3" w:themeFillTint="3F"/>
      </w:tcPr>
    </w:tblStylePr>
    <w:tblStylePr w:type="band2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tcPr>
    </w:tblStylePr>
  </w:style>
  <w:style w:type="table" w:customStyle="1" w:styleId="Jasnasiatkaakcent3312">
    <w:name w:val="Jasna siatka — akcent 3312"/>
    <w:basedOn w:val="Standardowy"/>
    <w:next w:val="Jasnasiatkaakcent3"/>
    <w:uiPriority w:val="62"/>
    <w:rsid w:val="00492D5F"/>
    <w:pPr>
      <w:spacing w:after="0" w:line="240" w:lineRule="auto"/>
    </w:pPr>
    <w:tblPr>
      <w:tblStyleRowBandSize w:val="1"/>
      <w:tblStyleColBandSize w:val="1"/>
      <w:tblBorders>
        <w:top w:val="single" w:sz="8" w:space="0" w:color="9DA321" w:themeColor="accent3"/>
        <w:left w:val="single" w:sz="8" w:space="0" w:color="9DA321" w:themeColor="accent3"/>
        <w:bottom w:val="single" w:sz="8" w:space="0" w:color="9DA321" w:themeColor="accent3"/>
        <w:right w:val="single" w:sz="8" w:space="0" w:color="9DA321" w:themeColor="accent3"/>
        <w:insideH w:val="single" w:sz="8" w:space="0" w:color="9DA321" w:themeColor="accent3"/>
        <w:insideV w:val="single" w:sz="8" w:space="0" w:color="9DA321"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18" w:space="0" w:color="9DA321" w:themeColor="accent3"/>
          <w:right w:val="single" w:sz="8" w:space="0" w:color="9DA321" w:themeColor="accent3"/>
          <w:insideH w:val="nil"/>
          <w:insideV w:val="single" w:sz="8" w:space="0" w:color="9DA321"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tcPr>
    </w:tblStylePr>
    <w:tblStylePr w:type="band1Vert">
      <w:tblPr/>
      <w:tcPr>
        <w:tcBorders>
          <w:top w:val="single" w:sz="8" w:space="0" w:color="9DA321" w:themeColor="accent3"/>
          <w:left w:val="single" w:sz="8" w:space="0" w:color="9DA321" w:themeColor="accent3"/>
          <w:bottom w:val="single" w:sz="8" w:space="0" w:color="9DA321" w:themeColor="accent3"/>
          <w:right w:val="single" w:sz="8" w:space="0" w:color="9DA321" w:themeColor="accent3"/>
        </w:tcBorders>
        <w:shd w:val="clear" w:color="auto" w:fill="EFF2BE" w:themeFill="accent3" w:themeFillTint="3F"/>
      </w:tcPr>
    </w:tblStylePr>
    <w:tblStylePr w:type="band1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shd w:val="clear" w:color="auto" w:fill="EFF2BE" w:themeFill="accent3" w:themeFillTint="3F"/>
      </w:tcPr>
    </w:tblStylePr>
    <w:tblStylePr w:type="band2Horz">
      <w:tblPr/>
      <w:tcPr>
        <w:tcBorders>
          <w:top w:val="single" w:sz="8" w:space="0" w:color="9DA321" w:themeColor="accent3"/>
          <w:left w:val="single" w:sz="8" w:space="0" w:color="9DA321" w:themeColor="accent3"/>
          <w:bottom w:val="single" w:sz="8" w:space="0" w:color="9DA321" w:themeColor="accent3"/>
          <w:right w:val="single" w:sz="8" w:space="0" w:color="9DA321" w:themeColor="accent3"/>
          <w:insideV w:val="single" w:sz="8" w:space="0" w:color="9DA321" w:themeColor="accent3"/>
        </w:tcBorders>
      </w:tcPr>
    </w:tblStylePr>
  </w:style>
  <w:style w:type="table" w:customStyle="1" w:styleId="Tabela-MPAaga222">
    <w:name w:val="Tabela-MPA_aga222"/>
    <w:basedOn w:val="Standardowy"/>
    <w:uiPriority w:val="62"/>
    <w:rsid w:val="00492D5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312">
    <w:name w:val="Tabela - Siatka312"/>
    <w:basedOn w:val="Standardowy"/>
    <w:next w:val="Tabela-Siatka"/>
    <w:uiPriority w:val="5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asiatka112">
    <w:name w:val="Jasna siatka112"/>
    <w:basedOn w:val="Standardowy"/>
    <w:uiPriority w:val="62"/>
    <w:rsid w:val="00492D5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leNormal42">
    <w:name w:val="Table Normal42"/>
    <w:uiPriority w:val="2"/>
    <w:semiHidden/>
    <w:unhideWhenUsed/>
    <w:qFormat/>
    <w:rsid w:val="00492D5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Siatka412">
    <w:name w:val="Tabela - Siatka412"/>
    <w:basedOn w:val="Standardowy"/>
    <w:next w:val="Tabela-Siatka"/>
    <w:uiPriority w:val="5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2">
    <w:name w:val="Table Normal112"/>
    <w:uiPriority w:val="2"/>
    <w:semiHidden/>
    <w:unhideWhenUsed/>
    <w:qFormat/>
    <w:rsid w:val="00492D5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212">
    <w:name w:val="Table Normal212"/>
    <w:uiPriority w:val="2"/>
    <w:semiHidden/>
    <w:unhideWhenUsed/>
    <w:qFormat/>
    <w:rsid w:val="00492D5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Normal312">
    <w:name w:val="Table Normal312"/>
    <w:uiPriority w:val="2"/>
    <w:semiHidden/>
    <w:unhideWhenUsed/>
    <w:qFormat/>
    <w:rsid w:val="00492D5F"/>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Siatka1312">
    <w:name w:val="Tabela - Siatka1312"/>
    <w:basedOn w:val="Standardowy"/>
    <w:next w:val="Tabela-Siatka"/>
    <w:uiPriority w:val="5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22">
    <w:name w:val="Jasne cieniowanie22"/>
    <w:basedOn w:val="Standardowy"/>
    <w:next w:val="Jasnecieniowanie"/>
    <w:uiPriority w:val="60"/>
    <w:rsid w:val="00492D5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ela-MPAaga1112">
    <w:name w:val="Tabela-MPA_aga1112"/>
    <w:basedOn w:val="Standardowy"/>
    <w:uiPriority w:val="62"/>
    <w:rsid w:val="00492D5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522">
    <w:name w:val="Tabela - Siatka522"/>
    <w:basedOn w:val="Standardowy"/>
    <w:next w:val="Tabela-Siatka"/>
    <w:uiPriority w:val="5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12">
    <w:name w:val="Tabela - Siatka612"/>
    <w:basedOn w:val="Standardowy"/>
    <w:next w:val="Tabela-Siatka"/>
    <w:uiPriority w:val="5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12">
    <w:name w:val="Tabela - Siatka712"/>
    <w:basedOn w:val="Standardowy"/>
    <w:next w:val="Tabela-Siatka"/>
    <w:uiPriority w:val="5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12">
    <w:name w:val="Tabela - Siatka812"/>
    <w:basedOn w:val="Standardowy"/>
    <w:next w:val="Tabela-Siatka"/>
    <w:uiPriority w:val="5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asiatkaakcent612">
    <w:name w:val="Jasna siatka — akcent 612"/>
    <w:basedOn w:val="Standardowy"/>
    <w:next w:val="Jasnasiatkaakcent6"/>
    <w:uiPriority w:val="62"/>
    <w:rsid w:val="00492D5F"/>
    <w:pPr>
      <w:spacing w:after="0" w:line="240" w:lineRule="auto"/>
    </w:pPr>
    <w:tblPr>
      <w:tblStyleRowBandSize w:val="1"/>
      <w:tblStyleColBandSize w:val="1"/>
      <w:tblBorders>
        <w:top w:val="single" w:sz="8" w:space="0" w:color="C3D69B" w:themeColor="accent6"/>
        <w:left w:val="single" w:sz="8" w:space="0" w:color="C3D69B" w:themeColor="accent6"/>
        <w:bottom w:val="single" w:sz="8" w:space="0" w:color="C3D69B" w:themeColor="accent6"/>
        <w:right w:val="single" w:sz="8" w:space="0" w:color="C3D69B" w:themeColor="accent6"/>
        <w:insideH w:val="single" w:sz="8" w:space="0" w:color="C3D69B" w:themeColor="accent6"/>
        <w:insideV w:val="single" w:sz="8" w:space="0" w:color="C3D69B"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3D69B" w:themeColor="accent6"/>
          <w:left w:val="single" w:sz="8" w:space="0" w:color="C3D69B" w:themeColor="accent6"/>
          <w:bottom w:val="single" w:sz="18" w:space="0" w:color="C3D69B" w:themeColor="accent6"/>
          <w:right w:val="single" w:sz="8" w:space="0" w:color="C3D69B" w:themeColor="accent6"/>
          <w:insideH w:val="nil"/>
          <w:insideV w:val="single" w:sz="8" w:space="0" w:color="C3D69B"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3D69B" w:themeColor="accent6"/>
          <w:left w:val="single" w:sz="8" w:space="0" w:color="C3D69B" w:themeColor="accent6"/>
          <w:bottom w:val="single" w:sz="8" w:space="0" w:color="C3D69B" w:themeColor="accent6"/>
          <w:right w:val="single" w:sz="8" w:space="0" w:color="C3D69B" w:themeColor="accent6"/>
          <w:insideH w:val="nil"/>
          <w:insideV w:val="single" w:sz="8" w:space="0" w:color="C3D69B"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3D69B" w:themeColor="accent6"/>
          <w:left w:val="single" w:sz="8" w:space="0" w:color="C3D69B" w:themeColor="accent6"/>
          <w:bottom w:val="single" w:sz="8" w:space="0" w:color="C3D69B" w:themeColor="accent6"/>
          <w:right w:val="single" w:sz="8" w:space="0" w:color="C3D69B" w:themeColor="accent6"/>
        </w:tcBorders>
      </w:tcPr>
    </w:tblStylePr>
    <w:tblStylePr w:type="band1Vert">
      <w:tblPr/>
      <w:tcPr>
        <w:tcBorders>
          <w:top w:val="single" w:sz="8" w:space="0" w:color="C3D69B" w:themeColor="accent6"/>
          <w:left w:val="single" w:sz="8" w:space="0" w:color="C3D69B" w:themeColor="accent6"/>
          <w:bottom w:val="single" w:sz="8" w:space="0" w:color="C3D69B" w:themeColor="accent6"/>
          <w:right w:val="single" w:sz="8" w:space="0" w:color="C3D69B" w:themeColor="accent6"/>
        </w:tcBorders>
        <w:shd w:val="clear" w:color="auto" w:fill="F0F4E6" w:themeFill="accent6" w:themeFillTint="3F"/>
      </w:tcPr>
    </w:tblStylePr>
    <w:tblStylePr w:type="band1Horz">
      <w:tblPr/>
      <w:tcPr>
        <w:tcBorders>
          <w:top w:val="single" w:sz="8" w:space="0" w:color="C3D69B" w:themeColor="accent6"/>
          <w:left w:val="single" w:sz="8" w:space="0" w:color="C3D69B" w:themeColor="accent6"/>
          <w:bottom w:val="single" w:sz="8" w:space="0" w:color="C3D69B" w:themeColor="accent6"/>
          <w:right w:val="single" w:sz="8" w:space="0" w:color="C3D69B" w:themeColor="accent6"/>
          <w:insideV w:val="single" w:sz="8" w:space="0" w:color="C3D69B" w:themeColor="accent6"/>
        </w:tcBorders>
        <w:shd w:val="clear" w:color="auto" w:fill="F0F4E6" w:themeFill="accent6" w:themeFillTint="3F"/>
      </w:tcPr>
    </w:tblStylePr>
    <w:tblStylePr w:type="band2Horz">
      <w:tblPr/>
      <w:tcPr>
        <w:tcBorders>
          <w:top w:val="single" w:sz="8" w:space="0" w:color="C3D69B" w:themeColor="accent6"/>
          <w:left w:val="single" w:sz="8" w:space="0" w:color="C3D69B" w:themeColor="accent6"/>
          <w:bottom w:val="single" w:sz="8" w:space="0" w:color="C3D69B" w:themeColor="accent6"/>
          <w:right w:val="single" w:sz="8" w:space="0" w:color="C3D69B" w:themeColor="accent6"/>
          <w:insideV w:val="single" w:sz="8" w:space="0" w:color="C3D69B" w:themeColor="accent6"/>
        </w:tcBorders>
      </w:tcPr>
    </w:tblStylePr>
  </w:style>
  <w:style w:type="table" w:customStyle="1" w:styleId="Tabela-Siatka912">
    <w:name w:val="Tabela - Siatka912"/>
    <w:basedOn w:val="Standardowy"/>
    <w:next w:val="Tabela-Siatka"/>
    <w:uiPriority w:val="59"/>
    <w:rsid w:val="00492D5F"/>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PAaga2112">
    <w:name w:val="Tabela-MPA_aga2112"/>
    <w:basedOn w:val="Standardowy"/>
    <w:uiPriority w:val="62"/>
    <w:rsid w:val="00492D5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5112">
    <w:name w:val="Tabela - Siatka5112"/>
    <w:basedOn w:val="Standardowy"/>
    <w:next w:val="Tabela-Siatka"/>
    <w:uiPriority w:val="3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PAaga1213">
    <w:name w:val="Tabela-MPA_aga1213"/>
    <w:basedOn w:val="Standardowy"/>
    <w:uiPriority w:val="62"/>
    <w:rsid w:val="00492D5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312">
    <w:name w:val="Tabela-MPA_aga312"/>
    <w:basedOn w:val="Standardowy"/>
    <w:uiPriority w:val="62"/>
    <w:rsid w:val="00492D5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412">
    <w:name w:val="Tabela-MPA_aga412"/>
    <w:basedOn w:val="Standardowy"/>
    <w:uiPriority w:val="62"/>
    <w:rsid w:val="00492D5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1012">
    <w:name w:val="Tabela - Siatka1012"/>
    <w:basedOn w:val="Standardowy"/>
    <w:next w:val="Tabela-Siatka"/>
    <w:uiPriority w:val="3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PAaga512">
    <w:name w:val="Tabela-MPA_aga512"/>
    <w:basedOn w:val="Standardowy"/>
    <w:uiPriority w:val="62"/>
    <w:rsid w:val="00492D5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MPAaga613">
    <w:name w:val="Tabela-MPA_aga613"/>
    <w:basedOn w:val="Standardowy"/>
    <w:uiPriority w:val="62"/>
    <w:rsid w:val="00492D5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1112">
    <w:name w:val="Tabela - Siatka1112"/>
    <w:basedOn w:val="Standardowy"/>
    <w:next w:val="Tabela-Siatka"/>
    <w:uiPriority w:val="39"/>
    <w:rsid w:val="00492D5F"/>
    <w:pPr>
      <w:spacing w:after="0" w:line="240" w:lineRule="auto"/>
    </w:pPr>
    <w:rPr>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122">
    <w:name w:val="Tabela - Siatka5122"/>
    <w:basedOn w:val="Standardowy"/>
    <w:next w:val="Tabela-Siatka"/>
    <w:uiPriority w:val="39"/>
    <w:rsid w:val="00492D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2">
    <w:name w:val="Tabela - Siatka152"/>
    <w:basedOn w:val="Standardowy"/>
    <w:next w:val="Tabela-Siatka"/>
    <w:uiPriority w:val="39"/>
    <w:rsid w:val="00492D5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62">
    <w:name w:val="Tabela - Siatka162"/>
    <w:basedOn w:val="Standardowy"/>
    <w:next w:val="Tabela-Siatka"/>
    <w:uiPriority w:val="59"/>
    <w:rsid w:val="00492D5F"/>
    <w:pPr>
      <w:suppressAutoHyphens/>
      <w:spacing w:after="0" w:line="240" w:lineRule="auto"/>
    </w:pPr>
    <w:rPr>
      <w:rFonts w:ascii="Liberation Serif" w:eastAsia="NSimSun" w:hAnsi="Liberation Serif" w:cs="Lucida Sans"/>
      <w:kern w:val="2"/>
      <w:sz w:val="24"/>
      <w:szCs w:val="24"/>
      <w:lang w:eastAsia="zh-CN" w:bidi="hi-I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MPAaga6112">
    <w:name w:val="Tabela-MPA_aga6112"/>
    <w:basedOn w:val="Standardowy"/>
    <w:uiPriority w:val="62"/>
    <w:rsid w:val="00492D5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table" w:customStyle="1" w:styleId="Tabela-Siatka172">
    <w:name w:val="Tabela - Siatka172"/>
    <w:basedOn w:val="Standardowy"/>
    <w:next w:val="Tabela-Siatka"/>
    <w:uiPriority w:val="59"/>
    <w:rsid w:val="00492D5F"/>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MPAaga12112">
    <w:name w:val="Tabela-MPA_aga12112"/>
    <w:basedOn w:val="Standardowy"/>
    <w:uiPriority w:val="62"/>
    <w:rsid w:val="00492D5F"/>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Cambria" w:eastAsia="Times New Roman" w:hAnsi="Cambria" w:cs="Times New Roman"/>
        <w:b/>
        <w:bCs/>
      </w:rPr>
      <w:tblPr/>
      <w:tcPr>
        <w:shd w:val="clear" w:color="auto" w:fill="92D050"/>
      </w:tcPr>
    </w:tblStylePr>
    <w:tblStylePr w:type="lastRow">
      <w:pPr>
        <w:spacing w:before="0" w:after="0" w:line="240" w:lineRule="auto"/>
      </w:pPr>
      <w:rPr>
        <w:rFonts w:ascii="Cambria" w:eastAsia="Times New Roman" w:hAnsi="Cambria"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6EED5"/>
      </w:tcPr>
    </w:tblStylePr>
    <w:tblStylePr w:type="band1Horz">
      <w:tblPr/>
      <w:tcPr>
        <w:shd w:val="clear" w:color="auto" w:fill="EAF1DD"/>
      </w:tcPr>
    </w:tblStylePr>
  </w:style>
  <w:style w:type="table" w:customStyle="1" w:styleId="Jasnecieniowanieakcent32">
    <w:name w:val="Jasne cieniowanie — akcent 32"/>
    <w:basedOn w:val="Standardowy"/>
    <w:next w:val="Jasnecieniowanieakcent3"/>
    <w:uiPriority w:val="60"/>
    <w:rsid w:val="00492D5F"/>
    <w:pPr>
      <w:spacing w:after="0" w:line="240" w:lineRule="auto"/>
    </w:pPr>
    <w:rPr>
      <w:color w:val="757918" w:themeColor="accent3" w:themeShade="BF"/>
    </w:rPr>
    <w:tblPr>
      <w:tblStyleRowBandSize w:val="1"/>
      <w:tblStyleColBandSize w:val="1"/>
      <w:tblBorders>
        <w:top w:val="single" w:sz="8" w:space="0" w:color="9DA321" w:themeColor="accent3"/>
        <w:bottom w:val="single" w:sz="8" w:space="0" w:color="9DA321" w:themeColor="accent3"/>
      </w:tblBorders>
    </w:tblPr>
    <w:tblStylePr w:type="firstRow">
      <w:pPr>
        <w:spacing w:before="0" w:after="0" w:line="240" w:lineRule="auto"/>
      </w:pPr>
      <w:rPr>
        <w:b/>
        <w:bCs/>
      </w:rPr>
      <w:tblPr/>
      <w:tcPr>
        <w:tcBorders>
          <w:top w:val="single" w:sz="8" w:space="0" w:color="9DA321" w:themeColor="accent3"/>
          <w:left w:val="nil"/>
          <w:bottom w:val="single" w:sz="8" w:space="0" w:color="9DA321" w:themeColor="accent3"/>
          <w:right w:val="nil"/>
          <w:insideH w:val="nil"/>
          <w:insideV w:val="nil"/>
        </w:tcBorders>
      </w:tcPr>
    </w:tblStylePr>
    <w:tblStylePr w:type="lastRow">
      <w:pPr>
        <w:spacing w:before="0" w:after="0" w:line="240" w:lineRule="auto"/>
      </w:pPr>
      <w:rPr>
        <w:b/>
        <w:bCs/>
      </w:rPr>
      <w:tblPr/>
      <w:tcPr>
        <w:tcBorders>
          <w:top w:val="single" w:sz="8" w:space="0" w:color="9DA321" w:themeColor="accent3"/>
          <w:left w:val="nil"/>
          <w:bottom w:val="single" w:sz="8" w:space="0" w:color="9DA321"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F2BE" w:themeFill="accent3" w:themeFillTint="3F"/>
      </w:tcPr>
    </w:tblStylePr>
    <w:tblStylePr w:type="band1Horz">
      <w:tblPr/>
      <w:tcPr>
        <w:tcBorders>
          <w:left w:val="nil"/>
          <w:right w:val="nil"/>
          <w:insideH w:val="nil"/>
          <w:insideV w:val="nil"/>
        </w:tcBorders>
        <w:shd w:val="clear" w:color="auto" w:fill="EFF2BE" w:themeFill="accent3" w:themeFillTint="3F"/>
      </w:tcPr>
    </w:tblStylePr>
  </w:style>
  <w:style w:type="table" w:customStyle="1" w:styleId="Tabela-Siatka182">
    <w:name w:val="Tabela - Siatka182"/>
    <w:basedOn w:val="Standardowy"/>
    <w:next w:val="Tabela-Siatka"/>
    <w:uiPriority w:val="59"/>
    <w:rsid w:val="00492D5F"/>
    <w:pPr>
      <w:suppressAutoHyphens/>
      <w:spacing w:after="0" w:line="240" w:lineRule="auto"/>
    </w:pPr>
    <w:rPr>
      <w:rFonts w:ascii="Liberation Serif" w:eastAsia="NSimSun" w:hAnsi="Liberation Serif" w:cs="Lucida Sans"/>
      <w:kern w:val="2"/>
      <w:sz w:val="24"/>
      <w:szCs w:val="24"/>
      <w:lang w:eastAsia="zh-CN" w:bidi="hi-I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92">
    <w:name w:val="Tabela - Siatka192"/>
    <w:basedOn w:val="Standardowy"/>
    <w:next w:val="Tabela-Siatka"/>
    <w:uiPriority w:val="59"/>
    <w:rsid w:val="00492D5F"/>
    <w:pPr>
      <w:suppressAutoHyphens/>
      <w:spacing w:after="0" w:line="240" w:lineRule="auto"/>
    </w:pPr>
    <w:rPr>
      <w:rFonts w:ascii="Liberation Serif" w:eastAsia="NSimSun" w:hAnsi="Liberation Serif" w:cs="Lucida Sans"/>
      <w:kern w:val="2"/>
      <w:sz w:val="24"/>
      <w:szCs w:val="24"/>
      <w:lang w:eastAsia="zh-CN" w:bidi="hi-I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01">
    <w:name w:val="Tabela - Siatka201"/>
    <w:basedOn w:val="Standardowy"/>
    <w:next w:val="Tabela-Siatka"/>
    <w:uiPriority w:val="59"/>
    <w:rsid w:val="00492D5F"/>
    <w:pPr>
      <w:suppressAutoHyphens/>
      <w:spacing w:after="0" w:line="240" w:lineRule="auto"/>
    </w:pPr>
    <w:rPr>
      <w:rFonts w:ascii="Liberation Serif" w:eastAsia="NSimSun" w:hAnsi="Liberation Serif" w:cs="Lucida Sans"/>
      <w:kern w:val="2"/>
      <w:sz w:val="24"/>
      <w:szCs w:val="24"/>
      <w:lang w:eastAsia="zh-CN" w:bidi="hi-I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MPAaga25">
    <w:name w:val="Tabela-MPA_aga25"/>
    <w:basedOn w:val="Standardowy"/>
    <w:uiPriority w:val="62"/>
    <w:rsid w:val="00E10C8A"/>
    <w:pPr>
      <w:spacing w:after="0" w:line="240" w:lineRule="auto"/>
    </w:pPr>
    <w:rPr>
      <w:sz w:val="20"/>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spacing w:before="0" w:after="0" w:line="240" w:lineRule="auto"/>
      </w:pPr>
      <w:rPr>
        <w:rFonts w:asciiTheme="majorHAnsi" w:eastAsiaTheme="majorEastAsia" w:hAnsiTheme="majorHAnsi" w:cstheme="majorBidi"/>
        <w:b/>
        <w:bCs/>
      </w:rPr>
      <w:tblPr/>
      <w:tcPr>
        <w:shd w:val="clear" w:color="auto" w:fill="92D050"/>
      </w:tcPr>
    </w:tblStylePr>
    <w:tblStylePr w:type="lastRow">
      <w:pPr>
        <w:spacing w:before="0" w:after="0" w:line="240" w:lineRule="auto"/>
      </w:pPr>
      <w:rPr>
        <w:rFonts w:asciiTheme="majorHAnsi" w:eastAsiaTheme="majorEastAsia" w:hAnsiTheme="majorHAnsi" w:cstheme="majorBidi"/>
        <w:b/>
        <w:bCs/>
      </w:rPr>
      <w:tblPr/>
      <w:tcPr>
        <w:tcBorders>
          <w:top w:val="double" w:sz="6" w:space="0" w:color="9DA321" w:themeColor="accent3"/>
          <w:left w:val="single" w:sz="8" w:space="0" w:color="9DA321" w:themeColor="accent3"/>
          <w:bottom w:val="single" w:sz="8" w:space="0" w:color="9DA321" w:themeColor="accent3"/>
          <w:right w:val="single" w:sz="8" w:space="0" w:color="9DA321" w:themeColor="accent3"/>
          <w:insideH w:val="nil"/>
          <w:insideV w:val="single" w:sz="8" w:space="0" w:color="9DA321"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4" w:space="0" w:color="auto"/>
          <w:left w:val="single" w:sz="4" w:space="0" w:color="auto"/>
          <w:bottom w:val="single" w:sz="4" w:space="0" w:color="auto"/>
          <w:right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FF2BE" w:themeFill="accent3" w:themeFillTint="3F"/>
      </w:tcPr>
    </w:tblStylePr>
    <w:tblStylePr w:type="band1Horz">
      <w:tblPr/>
      <w:tcPr>
        <w:shd w:val="clear" w:color="auto" w:fill="F2F4CA" w:themeFill="accent3" w:themeFillTint="33"/>
      </w:tcPr>
    </w:tblStylePr>
  </w:style>
  <w:style w:type="paragraph" w:customStyle="1" w:styleId="TableParagraph">
    <w:name w:val="Table Paragraph"/>
    <w:basedOn w:val="Normalny"/>
    <w:uiPriority w:val="1"/>
    <w:rsid w:val="00532E5F"/>
    <w:pPr>
      <w:widowControl w:val="0"/>
      <w:autoSpaceDE w:val="0"/>
      <w:autoSpaceDN w:val="0"/>
      <w:spacing w:line="240" w:lineRule="auto"/>
      <w:ind w:left="110" w:firstLine="0"/>
      <w:jc w:val="left"/>
    </w:pPr>
    <w:rPr>
      <w:rFonts w:ascii="Times New Roman" w:eastAsia="Times New Roman" w:hAnsi="Times New Roman" w:cs="Times New Roman"/>
      <w:color w:val="auto"/>
    </w:rPr>
  </w:style>
  <w:style w:type="paragraph" w:styleId="Tytu">
    <w:name w:val="Title"/>
    <w:basedOn w:val="Normalny"/>
    <w:next w:val="Normalny"/>
    <w:link w:val="TytuZnak"/>
    <w:uiPriority w:val="10"/>
    <w:rsid w:val="00843088"/>
    <w:pPr>
      <w:spacing w:line="240" w:lineRule="auto"/>
      <w:contextualSpacing/>
    </w:pPr>
    <w:rPr>
      <w:rFonts w:asciiTheme="majorHAnsi" w:eastAsiaTheme="majorEastAsia" w:hAnsiTheme="majorHAnsi" w:cstheme="majorBidi"/>
      <w:color w:val="auto"/>
      <w:spacing w:val="-10"/>
      <w:kern w:val="28"/>
      <w:sz w:val="56"/>
      <w:szCs w:val="56"/>
    </w:rPr>
  </w:style>
  <w:style w:type="character" w:customStyle="1" w:styleId="TytuZnak">
    <w:name w:val="Tytuł Znak"/>
    <w:basedOn w:val="Domylnaczcionkaakapitu"/>
    <w:link w:val="Tytu"/>
    <w:uiPriority w:val="10"/>
    <w:rsid w:val="00843088"/>
    <w:rPr>
      <w:rFonts w:asciiTheme="majorHAnsi" w:eastAsiaTheme="majorEastAsia" w:hAnsiTheme="majorHAnsi" w:cstheme="majorBidi"/>
      <w:spacing w:val="-10"/>
      <w:kern w:val="28"/>
      <w:sz w:val="56"/>
      <w:szCs w:val="56"/>
    </w:rPr>
  </w:style>
  <w:style w:type="paragraph" w:customStyle="1" w:styleId="Stylrysunek">
    <w:name w:val="Styl rysunek"/>
    <w:basedOn w:val="Styltabela"/>
    <w:qFormat/>
    <w:rsid w:val="00843088"/>
    <w:pPr>
      <w:jc w:val="center"/>
    </w:pPr>
    <w:rPr>
      <w:rFonts w:eastAsiaTheme="minorEastAsia"/>
    </w:rPr>
  </w:style>
  <w:style w:type="character" w:styleId="Nierozpoznanawzmianka">
    <w:name w:val="Unresolved Mention"/>
    <w:basedOn w:val="Domylnaczcionkaakapitu"/>
    <w:uiPriority w:val="99"/>
    <w:semiHidden/>
    <w:unhideWhenUsed/>
    <w:rsid w:val="00F901DB"/>
    <w:rPr>
      <w:color w:val="605E5C"/>
      <w:shd w:val="clear" w:color="auto" w:fill="E1DFDD"/>
    </w:rPr>
  </w:style>
  <w:style w:type="character" w:styleId="Wyrnienieintensywne">
    <w:name w:val="Intense Emphasis"/>
    <w:aliases w:val="Wyróżnienie"/>
    <w:uiPriority w:val="21"/>
    <w:qFormat/>
    <w:rsid w:val="009946BE"/>
    <w:rPr>
      <w:rFonts w:eastAsia="Calibri" w:cstheme="minorHAnsi"/>
      <w:b/>
      <w:color w:val="8AB833"/>
    </w:rPr>
  </w:style>
  <w:style w:type="paragraph" w:customStyle="1" w:styleId="Wyrnieniewiksze">
    <w:name w:val="Wyróżnienie większe"/>
    <w:basedOn w:val="Normalny"/>
    <w:link w:val="WyrnieniewikszeZnak"/>
    <w:qFormat/>
    <w:rsid w:val="008A0CCC"/>
    <w:pPr>
      <w:ind w:left="284" w:firstLine="0"/>
    </w:pPr>
    <w:rPr>
      <w:rFonts w:cstheme="minorHAnsi"/>
      <w:b/>
      <w:bCs/>
      <w:color w:val="4E5110" w:themeColor="accent3" w:themeShade="80"/>
      <w:sz w:val="28"/>
      <w:szCs w:val="28"/>
    </w:rPr>
  </w:style>
  <w:style w:type="character" w:customStyle="1" w:styleId="WyrnieniewikszeZnak">
    <w:name w:val="Wyróżnienie większe Znak"/>
    <w:basedOn w:val="Domylnaczcionkaakapitu"/>
    <w:link w:val="Wyrnieniewiksze"/>
    <w:rsid w:val="008A0CCC"/>
    <w:rPr>
      <w:rFonts w:cstheme="minorHAnsi"/>
      <w:b/>
      <w:bCs/>
      <w:color w:val="4E5110" w:themeColor="accent3" w:themeShade="80"/>
      <w:sz w:val="28"/>
      <w:szCs w:val="28"/>
    </w:rPr>
  </w:style>
  <w:style w:type="table" w:styleId="Tabelasiatki4akcent1">
    <w:name w:val="Grid Table 4 Accent 1"/>
    <w:basedOn w:val="Standardowy"/>
    <w:uiPriority w:val="49"/>
    <w:rsid w:val="00D155AA"/>
    <w:pPr>
      <w:spacing w:after="0" w:line="240" w:lineRule="auto"/>
    </w:pPr>
    <w:tblPr>
      <w:tblStyleRowBandSize w:val="1"/>
      <w:tblStyleColBandSize w:val="1"/>
      <w:tblBorders>
        <w:top w:val="single" w:sz="4" w:space="0" w:color="A6D165" w:themeColor="accent1" w:themeTint="99"/>
        <w:left w:val="single" w:sz="4" w:space="0" w:color="A6D165" w:themeColor="accent1" w:themeTint="99"/>
        <w:bottom w:val="single" w:sz="4" w:space="0" w:color="A6D165" w:themeColor="accent1" w:themeTint="99"/>
        <w:right w:val="single" w:sz="4" w:space="0" w:color="A6D165" w:themeColor="accent1" w:themeTint="99"/>
        <w:insideH w:val="single" w:sz="4" w:space="0" w:color="A6D165" w:themeColor="accent1" w:themeTint="99"/>
        <w:insideV w:val="single" w:sz="4" w:space="0" w:color="A6D165" w:themeColor="accent1" w:themeTint="99"/>
      </w:tblBorders>
    </w:tblPr>
    <w:tblStylePr w:type="firstRow">
      <w:rPr>
        <w:b/>
        <w:bCs/>
        <w:color w:val="FFFFFF" w:themeColor="background1"/>
      </w:rPr>
      <w:tblPr/>
      <w:tcPr>
        <w:tcBorders>
          <w:top w:val="single" w:sz="4" w:space="0" w:color="638A29" w:themeColor="accent1"/>
          <w:left w:val="single" w:sz="4" w:space="0" w:color="638A29" w:themeColor="accent1"/>
          <w:bottom w:val="single" w:sz="4" w:space="0" w:color="638A29" w:themeColor="accent1"/>
          <w:right w:val="single" w:sz="4" w:space="0" w:color="638A29" w:themeColor="accent1"/>
          <w:insideH w:val="nil"/>
          <w:insideV w:val="nil"/>
        </w:tcBorders>
        <w:shd w:val="clear" w:color="auto" w:fill="638A29" w:themeFill="accent1"/>
      </w:tcPr>
    </w:tblStylePr>
    <w:tblStylePr w:type="lastRow">
      <w:rPr>
        <w:b/>
        <w:bCs/>
      </w:rPr>
      <w:tblPr/>
      <w:tcPr>
        <w:tcBorders>
          <w:top w:val="double" w:sz="4" w:space="0" w:color="638A29" w:themeColor="accent1"/>
        </w:tcBorders>
      </w:tcPr>
    </w:tblStylePr>
    <w:tblStylePr w:type="firstCol">
      <w:rPr>
        <w:b/>
        <w:bCs/>
      </w:rPr>
    </w:tblStylePr>
    <w:tblStylePr w:type="lastCol">
      <w:rPr>
        <w:b/>
        <w:bCs/>
      </w:rPr>
    </w:tblStylePr>
    <w:tblStylePr w:type="band1Vert">
      <w:tblPr/>
      <w:tcPr>
        <w:shd w:val="clear" w:color="auto" w:fill="E1EFCB" w:themeFill="accent1" w:themeFillTint="33"/>
      </w:tcPr>
    </w:tblStylePr>
    <w:tblStylePr w:type="band1Horz">
      <w:tblPr/>
      <w:tcPr>
        <w:shd w:val="clear" w:color="auto" w:fill="E1EFCB" w:themeFill="accent1" w:themeFillTint="33"/>
      </w:tcPr>
    </w:tblStylePr>
  </w:style>
  <w:style w:type="table" w:styleId="Tabelalisty1jasnaakcent1">
    <w:name w:val="List Table 1 Light Accent 1"/>
    <w:basedOn w:val="Standardowy"/>
    <w:uiPriority w:val="46"/>
    <w:rsid w:val="00D155AA"/>
    <w:pPr>
      <w:spacing w:after="0" w:line="240" w:lineRule="auto"/>
    </w:pPr>
    <w:tblPr>
      <w:tblStyleRowBandSize w:val="1"/>
      <w:tblStyleColBandSize w:val="1"/>
    </w:tblPr>
    <w:tblStylePr w:type="firstRow">
      <w:rPr>
        <w:b/>
        <w:bCs/>
      </w:rPr>
      <w:tblPr/>
      <w:tcPr>
        <w:tcBorders>
          <w:bottom w:val="single" w:sz="4" w:space="0" w:color="A6D165" w:themeColor="accent1" w:themeTint="99"/>
        </w:tcBorders>
      </w:tcPr>
    </w:tblStylePr>
    <w:tblStylePr w:type="lastRow">
      <w:rPr>
        <w:b/>
        <w:bCs/>
      </w:rPr>
      <w:tblPr/>
      <w:tcPr>
        <w:tcBorders>
          <w:top w:val="single" w:sz="4" w:space="0" w:color="A6D165" w:themeColor="accent1" w:themeTint="99"/>
        </w:tcBorders>
      </w:tcPr>
    </w:tblStylePr>
    <w:tblStylePr w:type="firstCol">
      <w:rPr>
        <w:b/>
        <w:bCs/>
      </w:rPr>
    </w:tblStylePr>
    <w:tblStylePr w:type="lastCol">
      <w:rPr>
        <w:b/>
        <w:bCs/>
      </w:rPr>
    </w:tblStylePr>
    <w:tblStylePr w:type="band1Vert">
      <w:tblPr/>
      <w:tcPr>
        <w:shd w:val="clear" w:color="auto" w:fill="E1EFCB" w:themeFill="accent1" w:themeFillTint="33"/>
      </w:tcPr>
    </w:tblStylePr>
    <w:tblStylePr w:type="band1Horz">
      <w:tblPr/>
      <w:tcPr>
        <w:shd w:val="clear" w:color="auto" w:fill="E1EFCB" w:themeFill="accent1" w:themeFillTint="33"/>
      </w:tcPr>
    </w:tblStylePr>
  </w:style>
  <w:style w:type="table" w:styleId="Tabelalisty2akcent1">
    <w:name w:val="List Table 2 Accent 1"/>
    <w:basedOn w:val="Standardowy"/>
    <w:uiPriority w:val="47"/>
    <w:rsid w:val="00D155AA"/>
    <w:pPr>
      <w:spacing w:after="0" w:line="240" w:lineRule="auto"/>
    </w:pPr>
    <w:tblPr>
      <w:tblStyleRowBandSize w:val="1"/>
      <w:tblStyleColBandSize w:val="1"/>
      <w:tblBorders>
        <w:top w:val="single" w:sz="4" w:space="0" w:color="A6D165" w:themeColor="accent1" w:themeTint="99"/>
        <w:bottom w:val="single" w:sz="4" w:space="0" w:color="A6D165" w:themeColor="accent1" w:themeTint="99"/>
        <w:insideH w:val="single" w:sz="4" w:space="0" w:color="A6D165"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1EFCB" w:themeFill="accent1" w:themeFillTint="33"/>
      </w:tcPr>
    </w:tblStylePr>
    <w:tblStylePr w:type="band1Horz">
      <w:tblPr/>
      <w:tcPr>
        <w:shd w:val="clear" w:color="auto" w:fill="E1EFCB" w:themeFill="accent1" w:themeFillTint="33"/>
      </w:tcPr>
    </w:tblStylePr>
  </w:style>
  <w:style w:type="table" w:styleId="Tabelalisty5ciemnaakcent6">
    <w:name w:val="List Table 5 Dark Accent 6"/>
    <w:basedOn w:val="Standardowy"/>
    <w:uiPriority w:val="50"/>
    <w:rsid w:val="00D155AA"/>
    <w:pPr>
      <w:spacing w:after="0" w:line="240" w:lineRule="auto"/>
    </w:pPr>
    <w:rPr>
      <w:color w:val="FFFFFF" w:themeColor="background1"/>
    </w:rPr>
    <w:tblPr>
      <w:tblStyleRowBandSize w:val="1"/>
      <w:tblStyleColBandSize w:val="1"/>
      <w:tblBorders>
        <w:top w:val="single" w:sz="24" w:space="0" w:color="C3D69B" w:themeColor="accent6"/>
        <w:left w:val="single" w:sz="24" w:space="0" w:color="C3D69B" w:themeColor="accent6"/>
        <w:bottom w:val="single" w:sz="24" w:space="0" w:color="C3D69B" w:themeColor="accent6"/>
        <w:right w:val="single" w:sz="24" w:space="0" w:color="C3D69B" w:themeColor="accent6"/>
      </w:tblBorders>
    </w:tblPr>
    <w:tcPr>
      <w:shd w:val="clear" w:color="auto" w:fill="C3D69B"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elasiatki5ciemnaakcent2">
    <w:name w:val="Grid Table 5 Dark Accent 2"/>
    <w:basedOn w:val="Standardowy"/>
    <w:uiPriority w:val="50"/>
    <w:rsid w:val="00D155A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1F2E0"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CC167"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CC167"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CC167"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CC167" w:themeFill="accent2"/>
      </w:tcPr>
    </w:tblStylePr>
    <w:tblStylePr w:type="band1Vert">
      <w:tblPr/>
      <w:tcPr>
        <w:shd w:val="clear" w:color="auto" w:fill="E4E6C2" w:themeFill="accent2" w:themeFillTint="66"/>
      </w:tcPr>
    </w:tblStylePr>
    <w:tblStylePr w:type="band1Horz">
      <w:tblPr/>
      <w:tcPr>
        <w:shd w:val="clear" w:color="auto" w:fill="E4E6C2" w:themeFill="accent2" w:themeFillTint="66"/>
      </w:tcPr>
    </w:tblStylePr>
  </w:style>
  <w:style w:type="table" w:styleId="Tabelasiatki5ciemnaakcent6">
    <w:name w:val="Grid Table 5 Dark Accent 6"/>
    <w:basedOn w:val="Standardowy"/>
    <w:uiPriority w:val="50"/>
    <w:rsid w:val="00D155A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6EA"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3D69B"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3D69B"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3D69B"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3D69B" w:themeFill="accent6"/>
      </w:tcPr>
    </w:tblStylePr>
    <w:tblStylePr w:type="band1Vert">
      <w:tblPr/>
      <w:tcPr>
        <w:shd w:val="clear" w:color="auto" w:fill="E6EED6" w:themeFill="accent6" w:themeFillTint="66"/>
      </w:tcPr>
    </w:tblStylePr>
    <w:tblStylePr w:type="band1Horz">
      <w:tblPr/>
      <w:tcPr>
        <w:shd w:val="clear" w:color="auto" w:fill="E6EED6" w:themeFill="accent6" w:themeFillTint="66"/>
      </w:tcPr>
    </w:tblStylePr>
  </w:style>
  <w:style w:type="table" w:styleId="Tabelalisty7kolorowaakcent6">
    <w:name w:val="List Table 7 Colorful Accent 6"/>
    <w:basedOn w:val="Standardowy"/>
    <w:uiPriority w:val="52"/>
    <w:rsid w:val="00D155AA"/>
    <w:pPr>
      <w:spacing w:after="0" w:line="240" w:lineRule="auto"/>
    </w:pPr>
    <w:rPr>
      <w:color w:val="9BBB5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3D69B"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3D69B"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3D69B"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3D69B" w:themeColor="accent6"/>
        </w:tcBorders>
        <w:shd w:val="clear" w:color="auto" w:fill="FFFFFF" w:themeFill="background1"/>
      </w:tcPr>
    </w:tblStylePr>
    <w:tblStylePr w:type="band1Vert">
      <w:tblPr/>
      <w:tcPr>
        <w:shd w:val="clear" w:color="auto" w:fill="F2F6EA" w:themeFill="accent6" w:themeFillTint="33"/>
      </w:tcPr>
    </w:tblStylePr>
    <w:tblStylePr w:type="band1Horz">
      <w:tblPr/>
      <w:tcPr>
        <w:shd w:val="clear" w:color="auto" w:fill="F2F6EA"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elalisty4akcent2">
    <w:name w:val="List Table 4 Accent 2"/>
    <w:basedOn w:val="Standardowy"/>
    <w:uiPriority w:val="49"/>
    <w:rsid w:val="00D155AA"/>
    <w:pPr>
      <w:spacing w:after="0" w:line="240" w:lineRule="auto"/>
    </w:pPr>
    <w:tblPr>
      <w:tblStyleRowBandSize w:val="1"/>
      <w:tblStyleColBandSize w:val="1"/>
      <w:tblBorders>
        <w:top w:val="single" w:sz="4" w:space="0" w:color="D6D9A3" w:themeColor="accent2" w:themeTint="99"/>
        <w:left w:val="single" w:sz="4" w:space="0" w:color="D6D9A3" w:themeColor="accent2" w:themeTint="99"/>
        <w:bottom w:val="single" w:sz="4" w:space="0" w:color="D6D9A3" w:themeColor="accent2" w:themeTint="99"/>
        <w:right w:val="single" w:sz="4" w:space="0" w:color="D6D9A3" w:themeColor="accent2" w:themeTint="99"/>
        <w:insideH w:val="single" w:sz="4" w:space="0" w:color="D6D9A3" w:themeColor="accent2" w:themeTint="99"/>
      </w:tblBorders>
    </w:tblPr>
    <w:tblStylePr w:type="firstRow">
      <w:rPr>
        <w:b/>
        <w:bCs/>
        <w:color w:val="FFFFFF" w:themeColor="background1"/>
      </w:rPr>
      <w:tblPr/>
      <w:tcPr>
        <w:tcBorders>
          <w:top w:val="single" w:sz="4" w:space="0" w:color="BCC167" w:themeColor="accent2"/>
          <w:left w:val="single" w:sz="4" w:space="0" w:color="BCC167" w:themeColor="accent2"/>
          <w:bottom w:val="single" w:sz="4" w:space="0" w:color="BCC167" w:themeColor="accent2"/>
          <w:right w:val="single" w:sz="4" w:space="0" w:color="BCC167" w:themeColor="accent2"/>
          <w:insideH w:val="nil"/>
        </w:tcBorders>
        <w:shd w:val="clear" w:color="auto" w:fill="BCC167" w:themeFill="accent2"/>
      </w:tcPr>
    </w:tblStylePr>
    <w:tblStylePr w:type="lastRow">
      <w:rPr>
        <w:b/>
        <w:bCs/>
      </w:rPr>
      <w:tblPr/>
      <w:tcPr>
        <w:tcBorders>
          <w:top w:val="double" w:sz="4" w:space="0" w:color="D6D9A3" w:themeColor="accent2" w:themeTint="99"/>
        </w:tcBorders>
      </w:tcPr>
    </w:tblStylePr>
    <w:tblStylePr w:type="firstCol">
      <w:rPr>
        <w:b/>
        <w:bCs/>
      </w:rPr>
    </w:tblStylePr>
    <w:tblStylePr w:type="lastCol">
      <w:rPr>
        <w:b/>
        <w:bCs/>
      </w:rPr>
    </w:tblStylePr>
    <w:tblStylePr w:type="band1Vert">
      <w:tblPr/>
      <w:tcPr>
        <w:shd w:val="clear" w:color="auto" w:fill="F1F2E0" w:themeFill="accent2" w:themeFillTint="33"/>
      </w:tcPr>
    </w:tblStylePr>
    <w:tblStylePr w:type="band1Horz">
      <w:tblPr/>
      <w:tcPr>
        <w:shd w:val="clear" w:color="auto" w:fill="F1F2E0" w:themeFill="accent2" w:themeFillTint="33"/>
      </w:tcPr>
    </w:tblStylePr>
  </w:style>
  <w:style w:type="table" w:styleId="Tabelasiatki5ciemnaakcent4">
    <w:name w:val="Grid Table 5 Dark Accent 4"/>
    <w:basedOn w:val="Standardowy"/>
    <w:uiPriority w:val="50"/>
    <w:rsid w:val="00D155A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FAFA"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6E6E6"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6E6E6"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6E6E6"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6E6E6" w:themeFill="accent4"/>
      </w:tcPr>
    </w:tblStylePr>
    <w:tblStylePr w:type="band1Vert">
      <w:tblPr/>
      <w:tcPr>
        <w:shd w:val="clear" w:color="auto" w:fill="F5F5F5" w:themeFill="accent4" w:themeFillTint="66"/>
      </w:tcPr>
    </w:tblStylePr>
    <w:tblStylePr w:type="band1Horz">
      <w:tblPr/>
      <w:tcPr>
        <w:shd w:val="clear" w:color="auto" w:fill="F5F5F5" w:themeFill="accent4" w:themeFillTint="66"/>
      </w:tcPr>
    </w:tblStylePr>
  </w:style>
  <w:style w:type="table" w:styleId="Tabelasiatki5ciemnaakcent1">
    <w:name w:val="Grid Table 5 Dark Accent 1"/>
    <w:basedOn w:val="Standardowy"/>
    <w:uiPriority w:val="50"/>
    <w:rsid w:val="00D155A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1EFC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38A29"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38A29"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38A29"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38A29" w:themeFill="accent1"/>
      </w:tcPr>
    </w:tblStylePr>
    <w:tblStylePr w:type="band1Vert">
      <w:tblPr/>
      <w:tcPr>
        <w:shd w:val="clear" w:color="auto" w:fill="C3E098" w:themeFill="accent1" w:themeFillTint="66"/>
      </w:tcPr>
    </w:tblStylePr>
    <w:tblStylePr w:type="band1Horz">
      <w:tblPr/>
      <w:tcPr>
        <w:shd w:val="clear" w:color="auto" w:fill="C3E098" w:themeFill="accent1" w:themeFillTint="66"/>
      </w:tcPr>
    </w:tblStylePr>
  </w:style>
  <w:style w:type="table" w:styleId="Tabelasiatki3akcent1">
    <w:name w:val="Grid Table 3 Accent 1"/>
    <w:basedOn w:val="Standardowy"/>
    <w:uiPriority w:val="48"/>
    <w:rsid w:val="00D155AA"/>
    <w:pPr>
      <w:spacing w:after="0" w:line="240" w:lineRule="auto"/>
    </w:pPr>
    <w:tblPr>
      <w:tblStyleRowBandSize w:val="1"/>
      <w:tblStyleColBandSize w:val="1"/>
      <w:tblBorders>
        <w:top w:val="single" w:sz="4" w:space="0" w:color="A6D165" w:themeColor="accent1" w:themeTint="99"/>
        <w:left w:val="single" w:sz="4" w:space="0" w:color="A6D165" w:themeColor="accent1" w:themeTint="99"/>
        <w:bottom w:val="single" w:sz="4" w:space="0" w:color="A6D165" w:themeColor="accent1" w:themeTint="99"/>
        <w:right w:val="single" w:sz="4" w:space="0" w:color="A6D165" w:themeColor="accent1" w:themeTint="99"/>
        <w:insideH w:val="single" w:sz="4" w:space="0" w:color="A6D165" w:themeColor="accent1" w:themeTint="99"/>
        <w:insideV w:val="single" w:sz="4" w:space="0" w:color="A6D16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1EFCB" w:themeFill="accent1" w:themeFillTint="33"/>
      </w:tcPr>
    </w:tblStylePr>
    <w:tblStylePr w:type="band1Horz">
      <w:tblPr/>
      <w:tcPr>
        <w:shd w:val="clear" w:color="auto" w:fill="E1EFCB" w:themeFill="accent1" w:themeFillTint="33"/>
      </w:tcPr>
    </w:tblStylePr>
    <w:tblStylePr w:type="neCell">
      <w:tblPr/>
      <w:tcPr>
        <w:tcBorders>
          <w:bottom w:val="single" w:sz="4" w:space="0" w:color="A6D165" w:themeColor="accent1" w:themeTint="99"/>
        </w:tcBorders>
      </w:tcPr>
    </w:tblStylePr>
    <w:tblStylePr w:type="nwCell">
      <w:tblPr/>
      <w:tcPr>
        <w:tcBorders>
          <w:bottom w:val="single" w:sz="4" w:space="0" w:color="A6D165" w:themeColor="accent1" w:themeTint="99"/>
        </w:tcBorders>
      </w:tcPr>
    </w:tblStylePr>
    <w:tblStylePr w:type="seCell">
      <w:tblPr/>
      <w:tcPr>
        <w:tcBorders>
          <w:top w:val="single" w:sz="4" w:space="0" w:color="A6D165" w:themeColor="accent1" w:themeTint="99"/>
        </w:tcBorders>
      </w:tcPr>
    </w:tblStylePr>
    <w:tblStylePr w:type="swCell">
      <w:tblPr/>
      <w:tcPr>
        <w:tcBorders>
          <w:top w:val="single" w:sz="4" w:space="0" w:color="A6D165" w:themeColor="accent1" w:themeTint="99"/>
        </w:tcBorders>
      </w:tcPr>
    </w:tblStylePr>
  </w:style>
  <w:style w:type="table" w:styleId="Tabelasiatki2akcent1">
    <w:name w:val="Grid Table 2 Accent 1"/>
    <w:basedOn w:val="Standardowy"/>
    <w:uiPriority w:val="47"/>
    <w:rsid w:val="005750D6"/>
    <w:pPr>
      <w:spacing w:after="0" w:line="240" w:lineRule="auto"/>
    </w:pPr>
    <w:tblPr>
      <w:tblStyleRowBandSize w:val="1"/>
      <w:tblStyleColBandSize w:val="1"/>
      <w:tblBorders>
        <w:top w:val="single" w:sz="2" w:space="0" w:color="A6D165" w:themeColor="accent1" w:themeTint="99"/>
        <w:bottom w:val="single" w:sz="2" w:space="0" w:color="A6D165" w:themeColor="accent1" w:themeTint="99"/>
        <w:insideH w:val="single" w:sz="2" w:space="0" w:color="A6D165" w:themeColor="accent1" w:themeTint="99"/>
        <w:insideV w:val="single" w:sz="2" w:space="0" w:color="A6D165" w:themeColor="accent1" w:themeTint="99"/>
      </w:tblBorders>
    </w:tblPr>
    <w:tblStylePr w:type="firstRow">
      <w:rPr>
        <w:b/>
        <w:bCs/>
      </w:rPr>
      <w:tblPr/>
      <w:tcPr>
        <w:tcBorders>
          <w:top w:val="nil"/>
          <w:bottom w:val="single" w:sz="12" w:space="0" w:color="A6D165" w:themeColor="accent1" w:themeTint="99"/>
          <w:insideH w:val="nil"/>
          <w:insideV w:val="nil"/>
        </w:tcBorders>
        <w:shd w:val="clear" w:color="auto" w:fill="FFFFFF" w:themeFill="background1"/>
      </w:tcPr>
    </w:tblStylePr>
    <w:tblStylePr w:type="lastRow">
      <w:rPr>
        <w:b/>
        <w:bCs/>
      </w:rPr>
      <w:tblPr/>
      <w:tcPr>
        <w:tcBorders>
          <w:top w:val="double" w:sz="2" w:space="0" w:color="A6D16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1EFCB" w:themeFill="accent1" w:themeFillTint="33"/>
      </w:tcPr>
    </w:tblStylePr>
    <w:tblStylePr w:type="band1Horz">
      <w:tblPr/>
      <w:tcPr>
        <w:shd w:val="clear" w:color="auto" w:fill="E1EFCB" w:themeFill="accent1" w:themeFillTint="33"/>
      </w:tcPr>
    </w:tblStylePr>
  </w:style>
  <w:style w:type="table" w:styleId="Tabelalisty4akcent1">
    <w:name w:val="List Table 4 Accent 1"/>
    <w:basedOn w:val="Standardowy"/>
    <w:uiPriority w:val="49"/>
    <w:rsid w:val="00FC7CB0"/>
    <w:pPr>
      <w:spacing w:after="0" w:line="240" w:lineRule="auto"/>
    </w:pPr>
    <w:tblPr>
      <w:tblStyleRowBandSize w:val="1"/>
      <w:tblStyleColBandSize w:val="1"/>
      <w:tblBorders>
        <w:top w:val="single" w:sz="4" w:space="0" w:color="A6D165" w:themeColor="accent1" w:themeTint="99"/>
        <w:left w:val="single" w:sz="4" w:space="0" w:color="A6D165" w:themeColor="accent1" w:themeTint="99"/>
        <w:bottom w:val="single" w:sz="4" w:space="0" w:color="A6D165" w:themeColor="accent1" w:themeTint="99"/>
        <w:right w:val="single" w:sz="4" w:space="0" w:color="A6D165" w:themeColor="accent1" w:themeTint="99"/>
        <w:insideH w:val="single" w:sz="4" w:space="0" w:color="A6D165" w:themeColor="accent1" w:themeTint="99"/>
      </w:tblBorders>
    </w:tblPr>
    <w:tblStylePr w:type="firstRow">
      <w:rPr>
        <w:b/>
        <w:bCs/>
        <w:color w:val="FFFFFF" w:themeColor="background1"/>
      </w:rPr>
      <w:tblPr/>
      <w:tcPr>
        <w:tcBorders>
          <w:top w:val="single" w:sz="4" w:space="0" w:color="638A29" w:themeColor="accent1"/>
          <w:left w:val="single" w:sz="4" w:space="0" w:color="638A29" w:themeColor="accent1"/>
          <w:bottom w:val="single" w:sz="4" w:space="0" w:color="638A29" w:themeColor="accent1"/>
          <w:right w:val="single" w:sz="4" w:space="0" w:color="638A29" w:themeColor="accent1"/>
          <w:insideH w:val="nil"/>
        </w:tcBorders>
        <w:shd w:val="clear" w:color="auto" w:fill="638A29" w:themeFill="accent1"/>
      </w:tcPr>
    </w:tblStylePr>
    <w:tblStylePr w:type="lastRow">
      <w:rPr>
        <w:b/>
        <w:bCs/>
      </w:rPr>
      <w:tblPr/>
      <w:tcPr>
        <w:tcBorders>
          <w:top w:val="double" w:sz="4" w:space="0" w:color="A6D165" w:themeColor="accent1" w:themeTint="99"/>
        </w:tcBorders>
      </w:tcPr>
    </w:tblStylePr>
    <w:tblStylePr w:type="firstCol">
      <w:rPr>
        <w:b/>
        <w:bCs/>
      </w:rPr>
    </w:tblStylePr>
    <w:tblStylePr w:type="lastCol">
      <w:rPr>
        <w:b/>
        <w:bCs/>
      </w:rPr>
    </w:tblStylePr>
    <w:tblStylePr w:type="band1Vert">
      <w:tblPr/>
      <w:tcPr>
        <w:shd w:val="clear" w:color="auto" w:fill="E1EFCB" w:themeFill="accent1" w:themeFillTint="33"/>
      </w:tcPr>
    </w:tblStylePr>
    <w:tblStylePr w:type="band1Horz">
      <w:tblPr/>
      <w:tcPr>
        <w:shd w:val="clear" w:color="auto" w:fill="E1EFCB" w:themeFill="accent1" w:themeFillTint="33"/>
      </w:tcPr>
    </w:tblStylePr>
  </w:style>
  <w:style w:type="table" w:styleId="Tabelasiatki4akcent6">
    <w:name w:val="Grid Table 4 Accent 6"/>
    <w:basedOn w:val="Standardowy"/>
    <w:uiPriority w:val="49"/>
    <w:rsid w:val="00E709CC"/>
    <w:pPr>
      <w:spacing w:after="0" w:line="240" w:lineRule="auto"/>
    </w:pPr>
    <w:rPr>
      <w:kern w:val="2"/>
      <w14:ligatures w14:val="standardContextual"/>
    </w:rPr>
    <w:tblPr>
      <w:tblStyleRowBandSize w:val="1"/>
      <w:tblStyleColBandSize w:val="1"/>
      <w:tblBorders>
        <w:top w:val="single" w:sz="4" w:space="0" w:color="DAE6C2" w:themeColor="accent6" w:themeTint="99"/>
        <w:left w:val="single" w:sz="4" w:space="0" w:color="DAE6C2" w:themeColor="accent6" w:themeTint="99"/>
        <w:bottom w:val="single" w:sz="4" w:space="0" w:color="DAE6C2" w:themeColor="accent6" w:themeTint="99"/>
        <w:right w:val="single" w:sz="4" w:space="0" w:color="DAE6C2" w:themeColor="accent6" w:themeTint="99"/>
        <w:insideH w:val="single" w:sz="4" w:space="0" w:color="DAE6C2" w:themeColor="accent6" w:themeTint="99"/>
        <w:insideV w:val="single" w:sz="4" w:space="0" w:color="DAE6C2" w:themeColor="accent6" w:themeTint="99"/>
      </w:tblBorders>
    </w:tblPr>
    <w:tblStylePr w:type="firstRow">
      <w:rPr>
        <w:b/>
        <w:bCs/>
        <w:color w:val="FFFFFF" w:themeColor="background1"/>
      </w:rPr>
      <w:tblPr/>
      <w:tcPr>
        <w:tcBorders>
          <w:top w:val="single" w:sz="4" w:space="0" w:color="C3D69B" w:themeColor="accent6"/>
          <w:left w:val="single" w:sz="4" w:space="0" w:color="C3D69B" w:themeColor="accent6"/>
          <w:bottom w:val="single" w:sz="4" w:space="0" w:color="C3D69B" w:themeColor="accent6"/>
          <w:right w:val="single" w:sz="4" w:space="0" w:color="C3D69B" w:themeColor="accent6"/>
          <w:insideH w:val="nil"/>
          <w:insideV w:val="nil"/>
        </w:tcBorders>
        <w:shd w:val="clear" w:color="auto" w:fill="C3D69B" w:themeFill="accent6"/>
      </w:tcPr>
    </w:tblStylePr>
    <w:tblStylePr w:type="lastRow">
      <w:rPr>
        <w:b/>
        <w:bCs/>
      </w:rPr>
      <w:tblPr/>
      <w:tcPr>
        <w:tcBorders>
          <w:top w:val="double" w:sz="4" w:space="0" w:color="C3D69B" w:themeColor="accent6"/>
        </w:tcBorders>
      </w:tcPr>
    </w:tblStylePr>
    <w:tblStylePr w:type="firstCol">
      <w:rPr>
        <w:b/>
        <w:bCs/>
      </w:rPr>
    </w:tblStylePr>
    <w:tblStylePr w:type="lastCol">
      <w:rPr>
        <w:b/>
        <w:bCs/>
      </w:rPr>
    </w:tblStylePr>
    <w:tblStylePr w:type="band1Vert">
      <w:tblPr/>
      <w:tcPr>
        <w:shd w:val="clear" w:color="auto" w:fill="F2F6EA" w:themeFill="accent6" w:themeFillTint="33"/>
      </w:tcPr>
    </w:tblStylePr>
    <w:tblStylePr w:type="band1Horz">
      <w:tblPr/>
      <w:tcPr>
        <w:shd w:val="clear" w:color="auto" w:fill="F2F6EA" w:themeFill="accent6" w:themeFillTint="33"/>
      </w:tcPr>
    </w:tblStylePr>
  </w:style>
  <w:style w:type="table" w:customStyle="1" w:styleId="Tabela-Siatka25">
    <w:name w:val="Tabela - Siatka25"/>
    <w:basedOn w:val="Standardowy"/>
    <w:next w:val="Tabela-Siatka"/>
    <w:uiPriority w:val="39"/>
    <w:rsid w:val="006450DE"/>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listy4akcent61">
    <w:name w:val="Tabela listy 4 — akcent 61"/>
    <w:basedOn w:val="Standardowy"/>
    <w:next w:val="Tabelalisty4akcent6"/>
    <w:uiPriority w:val="49"/>
    <w:rsid w:val="00E833A9"/>
    <w:pPr>
      <w:spacing w:after="0" w:line="240" w:lineRule="auto"/>
    </w:pPr>
    <w:rPr>
      <w:kern w:val="2"/>
      <w14:ligatures w14:val="standardContextual"/>
    </w:rPr>
    <w:tblPr>
      <w:tblStyleRowBandSize w:val="1"/>
      <w:tblStyleColBandSize w:val="1"/>
      <w:tblBorders>
        <w:top w:val="single" w:sz="4" w:space="0" w:color="DAE6C2"/>
        <w:left w:val="single" w:sz="4" w:space="0" w:color="DAE6C2"/>
        <w:bottom w:val="single" w:sz="4" w:space="0" w:color="DAE6C2"/>
        <w:right w:val="single" w:sz="4" w:space="0" w:color="DAE6C2"/>
        <w:insideH w:val="single" w:sz="4" w:space="0" w:color="DAE6C2"/>
      </w:tblBorders>
    </w:tblPr>
    <w:tblStylePr w:type="firstRow">
      <w:rPr>
        <w:b/>
        <w:bCs/>
        <w:color w:val="FFFFFF"/>
      </w:rPr>
      <w:tblPr/>
      <w:tcPr>
        <w:tcBorders>
          <w:top w:val="single" w:sz="4" w:space="0" w:color="C3D69B"/>
          <w:left w:val="single" w:sz="4" w:space="0" w:color="C3D69B"/>
          <w:bottom w:val="single" w:sz="4" w:space="0" w:color="C3D69B"/>
          <w:right w:val="single" w:sz="4" w:space="0" w:color="C3D69B"/>
          <w:insideH w:val="nil"/>
        </w:tcBorders>
        <w:shd w:val="clear" w:color="auto" w:fill="C3D69B"/>
      </w:tcPr>
    </w:tblStylePr>
    <w:tblStylePr w:type="lastRow">
      <w:rPr>
        <w:b/>
        <w:bCs/>
      </w:rPr>
      <w:tblPr/>
      <w:tcPr>
        <w:tcBorders>
          <w:top w:val="double" w:sz="4" w:space="0" w:color="DAE6C2"/>
        </w:tcBorders>
      </w:tcPr>
    </w:tblStylePr>
    <w:tblStylePr w:type="firstCol">
      <w:rPr>
        <w:b/>
        <w:bCs/>
      </w:rPr>
    </w:tblStylePr>
    <w:tblStylePr w:type="lastCol">
      <w:rPr>
        <w:b/>
        <w:bCs/>
      </w:rPr>
    </w:tblStylePr>
    <w:tblStylePr w:type="band1Vert">
      <w:tblPr/>
      <w:tcPr>
        <w:shd w:val="clear" w:color="auto" w:fill="F2F6EA"/>
      </w:tcPr>
    </w:tblStylePr>
    <w:tblStylePr w:type="band1Horz">
      <w:tblPr/>
      <w:tcPr>
        <w:shd w:val="clear" w:color="auto" w:fill="F2F6EA"/>
      </w:tcPr>
    </w:tblStylePr>
  </w:style>
  <w:style w:type="table" w:styleId="Tabelalisty4akcent6">
    <w:name w:val="List Table 4 Accent 6"/>
    <w:basedOn w:val="Standardowy"/>
    <w:uiPriority w:val="49"/>
    <w:rsid w:val="00E833A9"/>
    <w:pPr>
      <w:spacing w:after="0" w:line="240" w:lineRule="auto"/>
    </w:pPr>
    <w:tblPr>
      <w:tblStyleRowBandSize w:val="1"/>
      <w:tblStyleColBandSize w:val="1"/>
      <w:tblBorders>
        <w:top w:val="single" w:sz="4" w:space="0" w:color="DAE6C2" w:themeColor="accent6" w:themeTint="99"/>
        <w:left w:val="single" w:sz="4" w:space="0" w:color="DAE6C2" w:themeColor="accent6" w:themeTint="99"/>
        <w:bottom w:val="single" w:sz="4" w:space="0" w:color="DAE6C2" w:themeColor="accent6" w:themeTint="99"/>
        <w:right w:val="single" w:sz="4" w:space="0" w:color="DAE6C2" w:themeColor="accent6" w:themeTint="99"/>
        <w:insideH w:val="single" w:sz="4" w:space="0" w:color="DAE6C2" w:themeColor="accent6" w:themeTint="99"/>
      </w:tblBorders>
    </w:tblPr>
    <w:tblStylePr w:type="firstRow">
      <w:rPr>
        <w:b/>
        <w:bCs/>
        <w:color w:val="FFFFFF" w:themeColor="background1"/>
      </w:rPr>
      <w:tblPr/>
      <w:tcPr>
        <w:tcBorders>
          <w:top w:val="single" w:sz="4" w:space="0" w:color="C3D69B" w:themeColor="accent6"/>
          <w:left w:val="single" w:sz="4" w:space="0" w:color="C3D69B" w:themeColor="accent6"/>
          <w:bottom w:val="single" w:sz="4" w:space="0" w:color="C3D69B" w:themeColor="accent6"/>
          <w:right w:val="single" w:sz="4" w:space="0" w:color="C3D69B" w:themeColor="accent6"/>
          <w:insideH w:val="nil"/>
        </w:tcBorders>
        <w:shd w:val="clear" w:color="auto" w:fill="C3D69B" w:themeFill="accent6"/>
      </w:tcPr>
    </w:tblStylePr>
    <w:tblStylePr w:type="lastRow">
      <w:rPr>
        <w:b/>
        <w:bCs/>
      </w:rPr>
      <w:tblPr/>
      <w:tcPr>
        <w:tcBorders>
          <w:top w:val="double" w:sz="4" w:space="0" w:color="DAE6C2" w:themeColor="accent6" w:themeTint="99"/>
        </w:tcBorders>
      </w:tcPr>
    </w:tblStylePr>
    <w:tblStylePr w:type="firstCol">
      <w:rPr>
        <w:b/>
        <w:bCs/>
      </w:rPr>
    </w:tblStylePr>
    <w:tblStylePr w:type="lastCol">
      <w:rPr>
        <w:b/>
        <w:bCs/>
      </w:rPr>
    </w:tblStylePr>
    <w:tblStylePr w:type="band1Vert">
      <w:tblPr/>
      <w:tcPr>
        <w:shd w:val="clear" w:color="auto" w:fill="F2F6EA" w:themeFill="accent6" w:themeFillTint="33"/>
      </w:tcPr>
    </w:tblStylePr>
    <w:tblStylePr w:type="band1Horz">
      <w:tblPr/>
      <w:tcPr>
        <w:shd w:val="clear" w:color="auto" w:fill="F2F6EA"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24486">
      <w:bodyDiv w:val="1"/>
      <w:marLeft w:val="0"/>
      <w:marRight w:val="0"/>
      <w:marTop w:val="0"/>
      <w:marBottom w:val="0"/>
      <w:divBdr>
        <w:top w:val="none" w:sz="0" w:space="0" w:color="auto"/>
        <w:left w:val="none" w:sz="0" w:space="0" w:color="auto"/>
        <w:bottom w:val="none" w:sz="0" w:space="0" w:color="auto"/>
        <w:right w:val="none" w:sz="0" w:space="0" w:color="auto"/>
      </w:divBdr>
      <w:divsChild>
        <w:div w:id="549924034">
          <w:marLeft w:val="475"/>
          <w:marRight w:val="0"/>
          <w:marTop w:val="86"/>
          <w:marBottom w:val="120"/>
          <w:divBdr>
            <w:top w:val="none" w:sz="0" w:space="0" w:color="auto"/>
            <w:left w:val="none" w:sz="0" w:space="0" w:color="auto"/>
            <w:bottom w:val="none" w:sz="0" w:space="0" w:color="auto"/>
            <w:right w:val="none" w:sz="0" w:space="0" w:color="auto"/>
          </w:divBdr>
        </w:div>
        <w:div w:id="1049763139">
          <w:marLeft w:val="475"/>
          <w:marRight w:val="0"/>
          <w:marTop w:val="86"/>
          <w:marBottom w:val="120"/>
          <w:divBdr>
            <w:top w:val="none" w:sz="0" w:space="0" w:color="auto"/>
            <w:left w:val="none" w:sz="0" w:space="0" w:color="auto"/>
            <w:bottom w:val="none" w:sz="0" w:space="0" w:color="auto"/>
            <w:right w:val="none" w:sz="0" w:space="0" w:color="auto"/>
          </w:divBdr>
        </w:div>
        <w:div w:id="1359621869">
          <w:marLeft w:val="475"/>
          <w:marRight w:val="0"/>
          <w:marTop w:val="86"/>
          <w:marBottom w:val="120"/>
          <w:divBdr>
            <w:top w:val="none" w:sz="0" w:space="0" w:color="auto"/>
            <w:left w:val="none" w:sz="0" w:space="0" w:color="auto"/>
            <w:bottom w:val="none" w:sz="0" w:space="0" w:color="auto"/>
            <w:right w:val="none" w:sz="0" w:space="0" w:color="auto"/>
          </w:divBdr>
        </w:div>
        <w:div w:id="1989361305">
          <w:marLeft w:val="475"/>
          <w:marRight w:val="0"/>
          <w:marTop w:val="86"/>
          <w:marBottom w:val="120"/>
          <w:divBdr>
            <w:top w:val="none" w:sz="0" w:space="0" w:color="auto"/>
            <w:left w:val="none" w:sz="0" w:space="0" w:color="auto"/>
            <w:bottom w:val="none" w:sz="0" w:space="0" w:color="auto"/>
            <w:right w:val="none" w:sz="0" w:space="0" w:color="auto"/>
          </w:divBdr>
        </w:div>
      </w:divsChild>
    </w:div>
    <w:div w:id="1317539">
      <w:bodyDiv w:val="1"/>
      <w:marLeft w:val="0"/>
      <w:marRight w:val="0"/>
      <w:marTop w:val="0"/>
      <w:marBottom w:val="0"/>
      <w:divBdr>
        <w:top w:val="none" w:sz="0" w:space="0" w:color="auto"/>
        <w:left w:val="none" w:sz="0" w:space="0" w:color="auto"/>
        <w:bottom w:val="none" w:sz="0" w:space="0" w:color="auto"/>
        <w:right w:val="none" w:sz="0" w:space="0" w:color="auto"/>
      </w:divBdr>
    </w:div>
    <w:div w:id="5376379">
      <w:bodyDiv w:val="1"/>
      <w:marLeft w:val="0"/>
      <w:marRight w:val="0"/>
      <w:marTop w:val="0"/>
      <w:marBottom w:val="0"/>
      <w:divBdr>
        <w:top w:val="none" w:sz="0" w:space="0" w:color="auto"/>
        <w:left w:val="none" w:sz="0" w:space="0" w:color="auto"/>
        <w:bottom w:val="none" w:sz="0" w:space="0" w:color="auto"/>
        <w:right w:val="none" w:sz="0" w:space="0" w:color="auto"/>
      </w:divBdr>
    </w:div>
    <w:div w:id="6029937">
      <w:bodyDiv w:val="1"/>
      <w:marLeft w:val="0"/>
      <w:marRight w:val="0"/>
      <w:marTop w:val="0"/>
      <w:marBottom w:val="0"/>
      <w:divBdr>
        <w:top w:val="none" w:sz="0" w:space="0" w:color="auto"/>
        <w:left w:val="none" w:sz="0" w:space="0" w:color="auto"/>
        <w:bottom w:val="none" w:sz="0" w:space="0" w:color="auto"/>
        <w:right w:val="none" w:sz="0" w:space="0" w:color="auto"/>
      </w:divBdr>
    </w:div>
    <w:div w:id="9333594">
      <w:bodyDiv w:val="1"/>
      <w:marLeft w:val="0"/>
      <w:marRight w:val="0"/>
      <w:marTop w:val="0"/>
      <w:marBottom w:val="0"/>
      <w:divBdr>
        <w:top w:val="none" w:sz="0" w:space="0" w:color="auto"/>
        <w:left w:val="none" w:sz="0" w:space="0" w:color="auto"/>
        <w:bottom w:val="none" w:sz="0" w:space="0" w:color="auto"/>
        <w:right w:val="none" w:sz="0" w:space="0" w:color="auto"/>
      </w:divBdr>
      <w:divsChild>
        <w:div w:id="178400182">
          <w:marLeft w:val="547"/>
          <w:marRight w:val="0"/>
          <w:marTop w:val="0"/>
          <w:marBottom w:val="0"/>
          <w:divBdr>
            <w:top w:val="none" w:sz="0" w:space="0" w:color="auto"/>
            <w:left w:val="none" w:sz="0" w:space="0" w:color="auto"/>
            <w:bottom w:val="none" w:sz="0" w:space="0" w:color="auto"/>
            <w:right w:val="none" w:sz="0" w:space="0" w:color="auto"/>
          </w:divBdr>
        </w:div>
      </w:divsChild>
    </w:div>
    <w:div w:id="12341741">
      <w:bodyDiv w:val="1"/>
      <w:marLeft w:val="0"/>
      <w:marRight w:val="0"/>
      <w:marTop w:val="0"/>
      <w:marBottom w:val="0"/>
      <w:divBdr>
        <w:top w:val="none" w:sz="0" w:space="0" w:color="auto"/>
        <w:left w:val="none" w:sz="0" w:space="0" w:color="auto"/>
        <w:bottom w:val="none" w:sz="0" w:space="0" w:color="auto"/>
        <w:right w:val="none" w:sz="0" w:space="0" w:color="auto"/>
      </w:divBdr>
      <w:divsChild>
        <w:div w:id="910962224">
          <w:marLeft w:val="547"/>
          <w:marRight w:val="0"/>
          <w:marTop w:val="0"/>
          <w:marBottom w:val="0"/>
          <w:divBdr>
            <w:top w:val="none" w:sz="0" w:space="0" w:color="auto"/>
            <w:left w:val="none" w:sz="0" w:space="0" w:color="auto"/>
            <w:bottom w:val="none" w:sz="0" w:space="0" w:color="auto"/>
            <w:right w:val="none" w:sz="0" w:space="0" w:color="auto"/>
          </w:divBdr>
        </w:div>
      </w:divsChild>
    </w:div>
    <w:div w:id="16660069">
      <w:bodyDiv w:val="1"/>
      <w:marLeft w:val="0"/>
      <w:marRight w:val="0"/>
      <w:marTop w:val="0"/>
      <w:marBottom w:val="0"/>
      <w:divBdr>
        <w:top w:val="none" w:sz="0" w:space="0" w:color="auto"/>
        <w:left w:val="none" w:sz="0" w:space="0" w:color="auto"/>
        <w:bottom w:val="none" w:sz="0" w:space="0" w:color="auto"/>
        <w:right w:val="none" w:sz="0" w:space="0" w:color="auto"/>
      </w:divBdr>
    </w:div>
    <w:div w:id="17699572">
      <w:bodyDiv w:val="1"/>
      <w:marLeft w:val="0"/>
      <w:marRight w:val="0"/>
      <w:marTop w:val="0"/>
      <w:marBottom w:val="0"/>
      <w:divBdr>
        <w:top w:val="none" w:sz="0" w:space="0" w:color="auto"/>
        <w:left w:val="none" w:sz="0" w:space="0" w:color="auto"/>
        <w:bottom w:val="none" w:sz="0" w:space="0" w:color="auto"/>
        <w:right w:val="none" w:sz="0" w:space="0" w:color="auto"/>
      </w:divBdr>
    </w:div>
    <w:div w:id="22488608">
      <w:bodyDiv w:val="1"/>
      <w:marLeft w:val="0"/>
      <w:marRight w:val="0"/>
      <w:marTop w:val="0"/>
      <w:marBottom w:val="0"/>
      <w:divBdr>
        <w:top w:val="none" w:sz="0" w:space="0" w:color="auto"/>
        <w:left w:val="none" w:sz="0" w:space="0" w:color="auto"/>
        <w:bottom w:val="none" w:sz="0" w:space="0" w:color="auto"/>
        <w:right w:val="none" w:sz="0" w:space="0" w:color="auto"/>
      </w:divBdr>
    </w:div>
    <w:div w:id="26878740">
      <w:bodyDiv w:val="1"/>
      <w:marLeft w:val="0"/>
      <w:marRight w:val="0"/>
      <w:marTop w:val="0"/>
      <w:marBottom w:val="0"/>
      <w:divBdr>
        <w:top w:val="none" w:sz="0" w:space="0" w:color="auto"/>
        <w:left w:val="none" w:sz="0" w:space="0" w:color="auto"/>
        <w:bottom w:val="none" w:sz="0" w:space="0" w:color="auto"/>
        <w:right w:val="none" w:sz="0" w:space="0" w:color="auto"/>
      </w:divBdr>
    </w:div>
    <w:div w:id="28340840">
      <w:bodyDiv w:val="1"/>
      <w:marLeft w:val="0"/>
      <w:marRight w:val="0"/>
      <w:marTop w:val="0"/>
      <w:marBottom w:val="0"/>
      <w:divBdr>
        <w:top w:val="none" w:sz="0" w:space="0" w:color="auto"/>
        <w:left w:val="none" w:sz="0" w:space="0" w:color="auto"/>
        <w:bottom w:val="none" w:sz="0" w:space="0" w:color="auto"/>
        <w:right w:val="none" w:sz="0" w:space="0" w:color="auto"/>
      </w:divBdr>
      <w:divsChild>
        <w:div w:id="674964843">
          <w:marLeft w:val="0"/>
          <w:marRight w:val="0"/>
          <w:marTop w:val="0"/>
          <w:marBottom w:val="0"/>
          <w:divBdr>
            <w:top w:val="none" w:sz="0" w:space="0" w:color="auto"/>
            <w:left w:val="none" w:sz="0" w:space="0" w:color="auto"/>
            <w:bottom w:val="none" w:sz="0" w:space="0" w:color="auto"/>
            <w:right w:val="none" w:sz="0" w:space="0" w:color="auto"/>
          </w:divBdr>
          <w:divsChild>
            <w:div w:id="626665452">
              <w:marLeft w:val="0"/>
              <w:marRight w:val="0"/>
              <w:marTop w:val="0"/>
              <w:marBottom w:val="0"/>
              <w:divBdr>
                <w:top w:val="none" w:sz="0" w:space="0" w:color="auto"/>
                <w:left w:val="none" w:sz="0" w:space="0" w:color="auto"/>
                <w:bottom w:val="none" w:sz="0" w:space="0" w:color="auto"/>
                <w:right w:val="none" w:sz="0" w:space="0" w:color="auto"/>
              </w:divBdr>
              <w:divsChild>
                <w:div w:id="2146847750">
                  <w:marLeft w:val="0"/>
                  <w:marRight w:val="0"/>
                  <w:marTop w:val="0"/>
                  <w:marBottom w:val="300"/>
                  <w:divBdr>
                    <w:top w:val="none" w:sz="0" w:space="0" w:color="auto"/>
                    <w:left w:val="none" w:sz="0" w:space="0" w:color="auto"/>
                    <w:bottom w:val="none" w:sz="0" w:space="0" w:color="auto"/>
                    <w:right w:val="none" w:sz="0" w:space="0" w:color="auto"/>
                  </w:divBdr>
                  <w:divsChild>
                    <w:div w:id="2036736358">
                      <w:marLeft w:val="0"/>
                      <w:marRight w:val="0"/>
                      <w:marTop w:val="0"/>
                      <w:marBottom w:val="0"/>
                      <w:divBdr>
                        <w:top w:val="none" w:sz="0" w:space="0" w:color="auto"/>
                        <w:left w:val="none" w:sz="0" w:space="0" w:color="auto"/>
                        <w:bottom w:val="none" w:sz="0" w:space="0" w:color="auto"/>
                        <w:right w:val="none" w:sz="0" w:space="0" w:color="auto"/>
                      </w:divBdr>
                      <w:divsChild>
                        <w:div w:id="431172982">
                          <w:marLeft w:val="0"/>
                          <w:marRight w:val="0"/>
                          <w:marTop w:val="0"/>
                          <w:marBottom w:val="150"/>
                          <w:divBdr>
                            <w:top w:val="none" w:sz="0" w:space="0" w:color="auto"/>
                            <w:left w:val="none" w:sz="0" w:space="0" w:color="auto"/>
                            <w:bottom w:val="single" w:sz="6" w:space="0" w:color="FFFFFF"/>
                            <w:right w:val="none" w:sz="0" w:space="0" w:color="auto"/>
                          </w:divBdr>
                        </w:div>
                        <w:div w:id="801462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4035870">
          <w:marLeft w:val="0"/>
          <w:marRight w:val="600"/>
          <w:marTop w:val="0"/>
          <w:marBottom w:val="0"/>
          <w:divBdr>
            <w:top w:val="none" w:sz="0" w:space="0" w:color="auto"/>
            <w:left w:val="none" w:sz="0" w:space="0" w:color="auto"/>
            <w:bottom w:val="none" w:sz="0" w:space="0" w:color="auto"/>
            <w:right w:val="none" w:sz="0" w:space="0" w:color="auto"/>
          </w:divBdr>
          <w:divsChild>
            <w:div w:id="1727948361">
              <w:marLeft w:val="0"/>
              <w:marRight w:val="0"/>
              <w:marTop w:val="0"/>
              <w:marBottom w:val="0"/>
              <w:divBdr>
                <w:top w:val="none" w:sz="0" w:space="0" w:color="auto"/>
                <w:left w:val="none" w:sz="0" w:space="0" w:color="auto"/>
                <w:bottom w:val="none" w:sz="0" w:space="0" w:color="auto"/>
                <w:right w:val="none" w:sz="0" w:space="0" w:color="auto"/>
              </w:divBdr>
              <w:divsChild>
                <w:div w:id="72641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03824">
      <w:bodyDiv w:val="1"/>
      <w:marLeft w:val="0"/>
      <w:marRight w:val="0"/>
      <w:marTop w:val="0"/>
      <w:marBottom w:val="0"/>
      <w:divBdr>
        <w:top w:val="none" w:sz="0" w:space="0" w:color="auto"/>
        <w:left w:val="none" w:sz="0" w:space="0" w:color="auto"/>
        <w:bottom w:val="none" w:sz="0" w:space="0" w:color="auto"/>
        <w:right w:val="none" w:sz="0" w:space="0" w:color="auto"/>
      </w:divBdr>
      <w:divsChild>
        <w:div w:id="382364796">
          <w:marLeft w:val="547"/>
          <w:marRight w:val="0"/>
          <w:marTop w:val="0"/>
          <w:marBottom w:val="0"/>
          <w:divBdr>
            <w:top w:val="none" w:sz="0" w:space="0" w:color="auto"/>
            <w:left w:val="none" w:sz="0" w:space="0" w:color="auto"/>
            <w:bottom w:val="none" w:sz="0" w:space="0" w:color="auto"/>
            <w:right w:val="none" w:sz="0" w:space="0" w:color="auto"/>
          </w:divBdr>
        </w:div>
        <w:div w:id="1273631892">
          <w:marLeft w:val="547"/>
          <w:marRight w:val="0"/>
          <w:marTop w:val="0"/>
          <w:marBottom w:val="0"/>
          <w:divBdr>
            <w:top w:val="none" w:sz="0" w:space="0" w:color="auto"/>
            <w:left w:val="none" w:sz="0" w:space="0" w:color="auto"/>
            <w:bottom w:val="none" w:sz="0" w:space="0" w:color="auto"/>
            <w:right w:val="none" w:sz="0" w:space="0" w:color="auto"/>
          </w:divBdr>
        </w:div>
      </w:divsChild>
    </w:div>
    <w:div w:id="29033615">
      <w:bodyDiv w:val="1"/>
      <w:marLeft w:val="0"/>
      <w:marRight w:val="0"/>
      <w:marTop w:val="0"/>
      <w:marBottom w:val="0"/>
      <w:divBdr>
        <w:top w:val="none" w:sz="0" w:space="0" w:color="auto"/>
        <w:left w:val="none" w:sz="0" w:space="0" w:color="auto"/>
        <w:bottom w:val="none" w:sz="0" w:space="0" w:color="auto"/>
        <w:right w:val="none" w:sz="0" w:space="0" w:color="auto"/>
      </w:divBdr>
    </w:div>
    <w:div w:id="30616408">
      <w:bodyDiv w:val="1"/>
      <w:marLeft w:val="0"/>
      <w:marRight w:val="0"/>
      <w:marTop w:val="0"/>
      <w:marBottom w:val="0"/>
      <w:divBdr>
        <w:top w:val="none" w:sz="0" w:space="0" w:color="auto"/>
        <w:left w:val="none" w:sz="0" w:space="0" w:color="auto"/>
        <w:bottom w:val="none" w:sz="0" w:space="0" w:color="auto"/>
        <w:right w:val="none" w:sz="0" w:space="0" w:color="auto"/>
      </w:divBdr>
    </w:div>
    <w:div w:id="31347090">
      <w:bodyDiv w:val="1"/>
      <w:marLeft w:val="0"/>
      <w:marRight w:val="0"/>
      <w:marTop w:val="0"/>
      <w:marBottom w:val="0"/>
      <w:divBdr>
        <w:top w:val="none" w:sz="0" w:space="0" w:color="auto"/>
        <w:left w:val="none" w:sz="0" w:space="0" w:color="auto"/>
        <w:bottom w:val="none" w:sz="0" w:space="0" w:color="auto"/>
        <w:right w:val="none" w:sz="0" w:space="0" w:color="auto"/>
      </w:divBdr>
    </w:div>
    <w:div w:id="35669301">
      <w:bodyDiv w:val="1"/>
      <w:marLeft w:val="0"/>
      <w:marRight w:val="0"/>
      <w:marTop w:val="0"/>
      <w:marBottom w:val="0"/>
      <w:divBdr>
        <w:top w:val="none" w:sz="0" w:space="0" w:color="auto"/>
        <w:left w:val="none" w:sz="0" w:space="0" w:color="auto"/>
        <w:bottom w:val="none" w:sz="0" w:space="0" w:color="auto"/>
        <w:right w:val="none" w:sz="0" w:space="0" w:color="auto"/>
      </w:divBdr>
    </w:div>
    <w:div w:id="39912680">
      <w:bodyDiv w:val="1"/>
      <w:marLeft w:val="0"/>
      <w:marRight w:val="0"/>
      <w:marTop w:val="0"/>
      <w:marBottom w:val="0"/>
      <w:divBdr>
        <w:top w:val="none" w:sz="0" w:space="0" w:color="auto"/>
        <w:left w:val="none" w:sz="0" w:space="0" w:color="auto"/>
        <w:bottom w:val="none" w:sz="0" w:space="0" w:color="auto"/>
        <w:right w:val="none" w:sz="0" w:space="0" w:color="auto"/>
      </w:divBdr>
    </w:div>
    <w:div w:id="40636599">
      <w:bodyDiv w:val="1"/>
      <w:marLeft w:val="0"/>
      <w:marRight w:val="0"/>
      <w:marTop w:val="0"/>
      <w:marBottom w:val="0"/>
      <w:divBdr>
        <w:top w:val="none" w:sz="0" w:space="0" w:color="auto"/>
        <w:left w:val="none" w:sz="0" w:space="0" w:color="auto"/>
        <w:bottom w:val="none" w:sz="0" w:space="0" w:color="auto"/>
        <w:right w:val="none" w:sz="0" w:space="0" w:color="auto"/>
      </w:divBdr>
      <w:divsChild>
        <w:div w:id="210196957">
          <w:marLeft w:val="547"/>
          <w:marRight w:val="0"/>
          <w:marTop w:val="86"/>
          <w:marBottom w:val="0"/>
          <w:divBdr>
            <w:top w:val="none" w:sz="0" w:space="0" w:color="auto"/>
            <w:left w:val="none" w:sz="0" w:space="0" w:color="auto"/>
            <w:bottom w:val="none" w:sz="0" w:space="0" w:color="auto"/>
            <w:right w:val="none" w:sz="0" w:space="0" w:color="auto"/>
          </w:divBdr>
        </w:div>
        <w:div w:id="236329622">
          <w:marLeft w:val="547"/>
          <w:marRight w:val="0"/>
          <w:marTop w:val="86"/>
          <w:marBottom w:val="0"/>
          <w:divBdr>
            <w:top w:val="none" w:sz="0" w:space="0" w:color="auto"/>
            <w:left w:val="none" w:sz="0" w:space="0" w:color="auto"/>
            <w:bottom w:val="none" w:sz="0" w:space="0" w:color="auto"/>
            <w:right w:val="none" w:sz="0" w:space="0" w:color="auto"/>
          </w:divBdr>
        </w:div>
        <w:div w:id="253904295">
          <w:marLeft w:val="547"/>
          <w:marRight w:val="0"/>
          <w:marTop w:val="86"/>
          <w:marBottom w:val="0"/>
          <w:divBdr>
            <w:top w:val="none" w:sz="0" w:space="0" w:color="auto"/>
            <w:left w:val="none" w:sz="0" w:space="0" w:color="auto"/>
            <w:bottom w:val="none" w:sz="0" w:space="0" w:color="auto"/>
            <w:right w:val="none" w:sz="0" w:space="0" w:color="auto"/>
          </w:divBdr>
        </w:div>
        <w:div w:id="440564857">
          <w:marLeft w:val="547"/>
          <w:marRight w:val="0"/>
          <w:marTop w:val="86"/>
          <w:marBottom w:val="0"/>
          <w:divBdr>
            <w:top w:val="none" w:sz="0" w:space="0" w:color="auto"/>
            <w:left w:val="none" w:sz="0" w:space="0" w:color="auto"/>
            <w:bottom w:val="none" w:sz="0" w:space="0" w:color="auto"/>
            <w:right w:val="none" w:sz="0" w:space="0" w:color="auto"/>
          </w:divBdr>
        </w:div>
        <w:div w:id="465514493">
          <w:marLeft w:val="547"/>
          <w:marRight w:val="0"/>
          <w:marTop w:val="86"/>
          <w:marBottom w:val="0"/>
          <w:divBdr>
            <w:top w:val="none" w:sz="0" w:space="0" w:color="auto"/>
            <w:left w:val="none" w:sz="0" w:space="0" w:color="auto"/>
            <w:bottom w:val="none" w:sz="0" w:space="0" w:color="auto"/>
            <w:right w:val="none" w:sz="0" w:space="0" w:color="auto"/>
          </w:divBdr>
        </w:div>
        <w:div w:id="706880725">
          <w:marLeft w:val="547"/>
          <w:marRight w:val="0"/>
          <w:marTop w:val="86"/>
          <w:marBottom w:val="0"/>
          <w:divBdr>
            <w:top w:val="none" w:sz="0" w:space="0" w:color="auto"/>
            <w:left w:val="none" w:sz="0" w:space="0" w:color="auto"/>
            <w:bottom w:val="none" w:sz="0" w:space="0" w:color="auto"/>
            <w:right w:val="none" w:sz="0" w:space="0" w:color="auto"/>
          </w:divBdr>
        </w:div>
        <w:div w:id="1173691431">
          <w:marLeft w:val="547"/>
          <w:marRight w:val="0"/>
          <w:marTop w:val="86"/>
          <w:marBottom w:val="0"/>
          <w:divBdr>
            <w:top w:val="none" w:sz="0" w:space="0" w:color="auto"/>
            <w:left w:val="none" w:sz="0" w:space="0" w:color="auto"/>
            <w:bottom w:val="none" w:sz="0" w:space="0" w:color="auto"/>
            <w:right w:val="none" w:sz="0" w:space="0" w:color="auto"/>
          </w:divBdr>
        </w:div>
        <w:div w:id="1637103778">
          <w:marLeft w:val="547"/>
          <w:marRight w:val="0"/>
          <w:marTop w:val="86"/>
          <w:marBottom w:val="0"/>
          <w:divBdr>
            <w:top w:val="none" w:sz="0" w:space="0" w:color="auto"/>
            <w:left w:val="none" w:sz="0" w:space="0" w:color="auto"/>
            <w:bottom w:val="none" w:sz="0" w:space="0" w:color="auto"/>
            <w:right w:val="none" w:sz="0" w:space="0" w:color="auto"/>
          </w:divBdr>
        </w:div>
      </w:divsChild>
    </w:div>
    <w:div w:id="41057021">
      <w:bodyDiv w:val="1"/>
      <w:marLeft w:val="0"/>
      <w:marRight w:val="0"/>
      <w:marTop w:val="0"/>
      <w:marBottom w:val="0"/>
      <w:divBdr>
        <w:top w:val="none" w:sz="0" w:space="0" w:color="auto"/>
        <w:left w:val="none" w:sz="0" w:space="0" w:color="auto"/>
        <w:bottom w:val="none" w:sz="0" w:space="0" w:color="auto"/>
        <w:right w:val="none" w:sz="0" w:space="0" w:color="auto"/>
      </w:divBdr>
    </w:div>
    <w:div w:id="48263087">
      <w:bodyDiv w:val="1"/>
      <w:marLeft w:val="0"/>
      <w:marRight w:val="0"/>
      <w:marTop w:val="0"/>
      <w:marBottom w:val="0"/>
      <w:divBdr>
        <w:top w:val="none" w:sz="0" w:space="0" w:color="auto"/>
        <w:left w:val="none" w:sz="0" w:space="0" w:color="auto"/>
        <w:bottom w:val="none" w:sz="0" w:space="0" w:color="auto"/>
        <w:right w:val="none" w:sz="0" w:space="0" w:color="auto"/>
      </w:divBdr>
    </w:div>
    <w:div w:id="49427660">
      <w:bodyDiv w:val="1"/>
      <w:marLeft w:val="0"/>
      <w:marRight w:val="0"/>
      <w:marTop w:val="0"/>
      <w:marBottom w:val="0"/>
      <w:divBdr>
        <w:top w:val="none" w:sz="0" w:space="0" w:color="auto"/>
        <w:left w:val="none" w:sz="0" w:space="0" w:color="auto"/>
        <w:bottom w:val="none" w:sz="0" w:space="0" w:color="auto"/>
        <w:right w:val="none" w:sz="0" w:space="0" w:color="auto"/>
      </w:divBdr>
    </w:div>
    <w:div w:id="50739344">
      <w:bodyDiv w:val="1"/>
      <w:marLeft w:val="0"/>
      <w:marRight w:val="0"/>
      <w:marTop w:val="0"/>
      <w:marBottom w:val="0"/>
      <w:divBdr>
        <w:top w:val="none" w:sz="0" w:space="0" w:color="auto"/>
        <w:left w:val="none" w:sz="0" w:space="0" w:color="auto"/>
        <w:bottom w:val="none" w:sz="0" w:space="0" w:color="auto"/>
        <w:right w:val="none" w:sz="0" w:space="0" w:color="auto"/>
      </w:divBdr>
    </w:div>
    <w:div w:id="51388055">
      <w:bodyDiv w:val="1"/>
      <w:marLeft w:val="0"/>
      <w:marRight w:val="0"/>
      <w:marTop w:val="0"/>
      <w:marBottom w:val="0"/>
      <w:divBdr>
        <w:top w:val="none" w:sz="0" w:space="0" w:color="auto"/>
        <w:left w:val="none" w:sz="0" w:space="0" w:color="auto"/>
        <w:bottom w:val="none" w:sz="0" w:space="0" w:color="auto"/>
        <w:right w:val="none" w:sz="0" w:space="0" w:color="auto"/>
      </w:divBdr>
    </w:div>
    <w:div w:id="51538274">
      <w:bodyDiv w:val="1"/>
      <w:marLeft w:val="0"/>
      <w:marRight w:val="0"/>
      <w:marTop w:val="0"/>
      <w:marBottom w:val="0"/>
      <w:divBdr>
        <w:top w:val="none" w:sz="0" w:space="0" w:color="auto"/>
        <w:left w:val="none" w:sz="0" w:space="0" w:color="auto"/>
        <w:bottom w:val="none" w:sz="0" w:space="0" w:color="auto"/>
        <w:right w:val="none" w:sz="0" w:space="0" w:color="auto"/>
      </w:divBdr>
    </w:div>
    <w:div w:id="57217902">
      <w:bodyDiv w:val="1"/>
      <w:marLeft w:val="0"/>
      <w:marRight w:val="0"/>
      <w:marTop w:val="0"/>
      <w:marBottom w:val="0"/>
      <w:divBdr>
        <w:top w:val="none" w:sz="0" w:space="0" w:color="auto"/>
        <w:left w:val="none" w:sz="0" w:space="0" w:color="auto"/>
        <w:bottom w:val="none" w:sz="0" w:space="0" w:color="auto"/>
        <w:right w:val="none" w:sz="0" w:space="0" w:color="auto"/>
      </w:divBdr>
    </w:div>
    <w:div w:id="58485803">
      <w:bodyDiv w:val="1"/>
      <w:marLeft w:val="0"/>
      <w:marRight w:val="0"/>
      <w:marTop w:val="0"/>
      <w:marBottom w:val="0"/>
      <w:divBdr>
        <w:top w:val="none" w:sz="0" w:space="0" w:color="auto"/>
        <w:left w:val="none" w:sz="0" w:space="0" w:color="auto"/>
        <w:bottom w:val="none" w:sz="0" w:space="0" w:color="auto"/>
        <w:right w:val="none" w:sz="0" w:space="0" w:color="auto"/>
      </w:divBdr>
    </w:div>
    <w:div w:id="58595201">
      <w:bodyDiv w:val="1"/>
      <w:marLeft w:val="0"/>
      <w:marRight w:val="0"/>
      <w:marTop w:val="0"/>
      <w:marBottom w:val="0"/>
      <w:divBdr>
        <w:top w:val="none" w:sz="0" w:space="0" w:color="auto"/>
        <w:left w:val="none" w:sz="0" w:space="0" w:color="auto"/>
        <w:bottom w:val="none" w:sz="0" w:space="0" w:color="auto"/>
        <w:right w:val="none" w:sz="0" w:space="0" w:color="auto"/>
      </w:divBdr>
    </w:div>
    <w:div w:id="58938759">
      <w:bodyDiv w:val="1"/>
      <w:marLeft w:val="0"/>
      <w:marRight w:val="0"/>
      <w:marTop w:val="0"/>
      <w:marBottom w:val="0"/>
      <w:divBdr>
        <w:top w:val="none" w:sz="0" w:space="0" w:color="auto"/>
        <w:left w:val="none" w:sz="0" w:space="0" w:color="auto"/>
        <w:bottom w:val="none" w:sz="0" w:space="0" w:color="auto"/>
        <w:right w:val="none" w:sz="0" w:space="0" w:color="auto"/>
      </w:divBdr>
    </w:div>
    <w:div w:id="59259043">
      <w:bodyDiv w:val="1"/>
      <w:marLeft w:val="0"/>
      <w:marRight w:val="0"/>
      <w:marTop w:val="0"/>
      <w:marBottom w:val="0"/>
      <w:divBdr>
        <w:top w:val="none" w:sz="0" w:space="0" w:color="auto"/>
        <w:left w:val="none" w:sz="0" w:space="0" w:color="auto"/>
        <w:bottom w:val="none" w:sz="0" w:space="0" w:color="auto"/>
        <w:right w:val="none" w:sz="0" w:space="0" w:color="auto"/>
      </w:divBdr>
    </w:div>
    <w:div w:id="63841905">
      <w:bodyDiv w:val="1"/>
      <w:marLeft w:val="0"/>
      <w:marRight w:val="0"/>
      <w:marTop w:val="0"/>
      <w:marBottom w:val="0"/>
      <w:divBdr>
        <w:top w:val="none" w:sz="0" w:space="0" w:color="auto"/>
        <w:left w:val="none" w:sz="0" w:space="0" w:color="auto"/>
        <w:bottom w:val="none" w:sz="0" w:space="0" w:color="auto"/>
        <w:right w:val="none" w:sz="0" w:space="0" w:color="auto"/>
      </w:divBdr>
    </w:div>
    <w:div w:id="70391057">
      <w:bodyDiv w:val="1"/>
      <w:marLeft w:val="0"/>
      <w:marRight w:val="0"/>
      <w:marTop w:val="0"/>
      <w:marBottom w:val="0"/>
      <w:divBdr>
        <w:top w:val="none" w:sz="0" w:space="0" w:color="auto"/>
        <w:left w:val="none" w:sz="0" w:space="0" w:color="auto"/>
        <w:bottom w:val="none" w:sz="0" w:space="0" w:color="auto"/>
        <w:right w:val="none" w:sz="0" w:space="0" w:color="auto"/>
      </w:divBdr>
      <w:divsChild>
        <w:div w:id="48649379">
          <w:marLeft w:val="547"/>
          <w:marRight w:val="0"/>
          <w:marTop w:val="0"/>
          <w:marBottom w:val="0"/>
          <w:divBdr>
            <w:top w:val="none" w:sz="0" w:space="0" w:color="auto"/>
            <w:left w:val="none" w:sz="0" w:space="0" w:color="auto"/>
            <w:bottom w:val="none" w:sz="0" w:space="0" w:color="auto"/>
            <w:right w:val="none" w:sz="0" w:space="0" w:color="auto"/>
          </w:divBdr>
        </w:div>
        <w:div w:id="1005016679">
          <w:marLeft w:val="547"/>
          <w:marRight w:val="0"/>
          <w:marTop w:val="0"/>
          <w:marBottom w:val="0"/>
          <w:divBdr>
            <w:top w:val="none" w:sz="0" w:space="0" w:color="auto"/>
            <w:left w:val="none" w:sz="0" w:space="0" w:color="auto"/>
            <w:bottom w:val="none" w:sz="0" w:space="0" w:color="auto"/>
            <w:right w:val="none" w:sz="0" w:space="0" w:color="auto"/>
          </w:divBdr>
        </w:div>
        <w:div w:id="1327514070">
          <w:marLeft w:val="547"/>
          <w:marRight w:val="0"/>
          <w:marTop w:val="0"/>
          <w:marBottom w:val="0"/>
          <w:divBdr>
            <w:top w:val="none" w:sz="0" w:space="0" w:color="auto"/>
            <w:left w:val="none" w:sz="0" w:space="0" w:color="auto"/>
            <w:bottom w:val="none" w:sz="0" w:space="0" w:color="auto"/>
            <w:right w:val="none" w:sz="0" w:space="0" w:color="auto"/>
          </w:divBdr>
        </w:div>
        <w:div w:id="1775516551">
          <w:marLeft w:val="547"/>
          <w:marRight w:val="0"/>
          <w:marTop w:val="0"/>
          <w:marBottom w:val="0"/>
          <w:divBdr>
            <w:top w:val="none" w:sz="0" w:space="0" w:color="auto"/>
            <w:left w:val="none" w:sz="0" w:space="0" w:color="auto"/>
            <w:bottom w:val="none" w:sz="0" w:space="0" w:color="auto"/>
            <w:right w:val="none" w:sz="0" w:space="0" w:color="auto"/>
          </w:divBdr>
        </w:div>
      </w:divsChild>
    </w:div>
    <w:div w:id="75060275">
      <w:bodyDiv w:val="1"/>
      <w:marLeft w:val="0"/>
      <w:marRight w:val="0"/>
      <w:marTop w:val="0"/>
      <w:marBottom w:val="0"/>
      <w:divBdr>
        <w:top w:val="none" w:sz="0" w:space="0" w:color="auto"/>
        <w:left w:val="none" w:sz="0" w:space="0" w:color="auto"/>
        <w:bottom w:val="none" w:sz="0" w:space="0" w:color="auto"/>
        <w:right w:val="none" w:sz="0" w:space="0" w:color="auto"/>
      </w:divBdr>
    </w:div>
    <w:div w:id="76709165">
      <w:bodyDiv w:val="1"/>
      <w:marLeft w:val="0"/>
      <w:marRight w:val="0"/>
      <w:marTop w:val="0"/>
      <w:marBottom w:val="0"/>
      <w:divBdr>
        <w:top w:val="none" w:sz="0" w:space="0" w:color="auto"/>
        <w:left w:val="none" w:sz="0" w:space="0" w:color="auto"/>
        <w:bottom w:val="none" w:sz="0" w:space="0" w:color="auto"/>
        <w:right w:val="none" w:sz="0" w:space="0" w:color="auto"/>
      </w:divBdr>
    </w:div>
    <w:div w:id="81685727">
      <w:bodyDiv w:val="1"/>
      <w:marLeft w:val="0"/>
      <w:marRight w:val="0"/>
      <w:marTop w:val="0"/>
      <w:marBottom w:val="0"/>
      <w:divBdr>
        <w:top w:val="none" w:sz="0" w:space="0" w:color="auto"/>
        <w:left w:val="none" w:sz="0" w:space="0" w:color="auto"/>
        <w:bottom w:val="none" w:sz="0" w:space="0" w:color="auto"/>
        <w:right w:val="none" w:sz="0" w:space="0" w:color="auto"/>
      </w:divBdr>
    </w:div>
    <w:div w:id="83959254">
      <w:bodyDiv w:val="1"/>
      <w:marLeft w:val="0"/>
      <w:marRight w:val="0"/>
      <w:marTop w:val="0"/>
      <w:marBottom w:val="0"/>
      <w:divBdr>
        <w:top w:val="none" w:sz="0" w:space="0" w:color="auto"/>
        <w:left w:val="none" w:sz="0" w:space="0" w:color="auto"/>
        <w:bottom w:val="none" w:sz="0" w:space="0" w:color="auto"/>
        <w:right w:val="none" w:sz="0" w:space="0" w:color="auto"/>
      </w:divBdr>
    </w:div>
    <w:div w:id="86200463">
      <w:bodyDiv w:val="1"/>
      <w:marLeft w:val="0"/>
      <w:marRight w:val="0"/>
      <w:marTop w:val="0"/>
      <w:marBottom w:val="0"/>
      <w:divBdr>
        <w:top w:val="none" w:sz="0" w:space="0" w:color="auto"/>
        <w:left w:val="none" w:sz="0" w:space="0" w:color="auto"/>
        <w:bottom w:val="none" w:sz="0" w:space="0" w:color="auto"/>
        <w:right w:val="none" w:sz="0" w:space="0" w:color="auto"/>
      </w:divBdr>
    </w:div>
    <w:div w:id="87046852">
      <w:bodyDiv w:val="1"/>
      <w:marLeft w:val="0"/>
      <w:marRight w:val="0"/>
      <w:marTop w:val="0"/>
      <w:marBottom w:val="0"/>
      <w:divBdr>
        <w:top w:val="none" w:sz="0" w:space="0" w:color="auto"/>
        <w:left w:val="none" w:sz="0" w:space="0" w:color="auto"/>
        <w:bottom w:val="none" w:sz="0" w:space="0" w:color="auto"/>
        <w:right w:val="none" w:sz="0" w:space="0" w:color="auto"/>
      </w:divBdr>
      <w:divsChild>
        <w:div w:id="394400437">
          <w:marLeft w:val="0"/>
          <w:marRight w:val="0"/>
          <w:marTop w:val="0"/>
          <w:marBottom w:val="225"/>
          <w:divBdr>
            <w:top w:val="none" w:sz="0" w:space="0" w:color="auto"/>
            <w:left w:val="none" w:sz="0" w:space="0" w:color="auto"/>
            <w:bottom w:val="none" w:sz="0" w:space="0" w:color="auto"/>
            <w:right w:val="none" w:sz="0" w:space="0" w:color="auto"/>
          </w:divBdr>
        </w:div>
        <w:div w:id="740057699">
          <w:marLeft w:val="0"/>
          <w:marRight w:val="0"/>
          <w:marTop w:val="0"/>
          <w:marBottom w:val="225"/>
          <w:divBdr>
            <w:top w:val="none" w:sz="0" w:space="0" w:color="auto"/>
            <w:left w:val="none" w:sz="0" w:space="0" w:color="auto"/>
            <w:bottom w:val="none" w:sz="0" w:space="0" w:color="auto"/>
            <w:right w:val="none" w:sz="0" w:space="0" w:color="auto"/>
          </w:divBdr>
        </w:div>
      </w:divsChild>
    </w:div>
    <w:div w:id="87123493">
      <w:bodyDiv w:val="1"/>
      <w:marLeft w:val="0"/>
      <w:marRight w:val="0"/>
      <w:marTop w:val="0"/>
      <w:marBottom w:val="0"/>
      <w:divBdr>
        <w:top w:val="none" w:sz="0" w:space="0" w:color="auto"/>
        <w:left w:val="none" w:sz="0" w:space="0" w:color="auto"/>
        <w:bottom w:val="none" w:sz="0" w:space="0" w:color="auto"/>
        <w:right w:val="none" w:sz="0" w:space="0" w:color="auto"/>
      </w:divBdr>
      <w:divsChild>
        <w:div w:id="1400129271">
          <w:marLeft w:val="0"/>
          <w:marRight w:val="0"/>
          <w:marTop w:val="90"/>
          <w:marBottom w:val="0"/>
          <w:divBdr>
            <w:top w:val="none" w:sz="0" w:space="0" w:color="auto"/>
            <w:left w:val="none" w:sz="0" w:space="0" w:color="auto"/>
            <w:bottom w:val="none" w:sz="0" w:space="0" w:color="auto"/>
            <w:right w:val="none" w:sz="0" w:space="0" w:color="auto"/>
          </w:divBdr>
          <w:divsChild>
            <w:div w:id="893471368">
              <w:marLeft w:val="0"/>
              <w:marRight w:val="0"/>
              <w:marTop w:val="0"/>
              <w:marBottom w:val="420"/>
              <w:divBdr>
                <w:top w:val="none" w:sz="0" w:space="0" w:color="auto"/>
                <w:left w:val="none" w:sz="0" w:space="0" w:color="auto"/>
                <w:bottom w:val="none" w:sz="0" w:space="0" w:color="auto"/>
                <w:right w:val="none" w:sz="0" w:space="0" w:color="auto"/>
              </w:divBdr>
              <w:divsChild>
                <w:div w:id="63797458">
                  <w:marLeft w:val="0"/>
                  <w:marRight w:val="0"/>
                  <w:marTop w:val="0"/>
                  <w:marBottom w:val="0"/>
                  <w:divBdr>
                    <w:top w:val="none" w:sz="0" w:space="0" w:color="auto"/>
                    <w:left w:val="none" w:sz="0" w:space="0" w:color="auto"/>
                    <w:bottom w:val="none" w:sz="0" w:space="0" w:color="auto"/>
                    <w:right w:val="none" w:sz="0" w:space="0" w:color="auto"/>
                  </w:divBdr>
                  <w:divsChild>
                    <w:div w:id="667169752">
                      <w:marLeft w:val="0"/>
                      <w:marRight w:val="0"/>
                      <w:marTop w:val="0"/>
                      <w:marBottom w:val="0"/>
                      <w:divBdr>
                        <w:top w:val="none" w:sz="0" w:space="0" w:color="auto"/>
                        <w:left w:val="none" w:sz="0" w:space="0" w:color="auto"/>
                        <w:bottom w:val="none" w:sz="0" w:space="0" w:color="auto"/>
                        <w:right w:val="none" w:sz="0" w:space="0" w:color="auto"/>
                      </w:divBdr>
                      <w:divsChild>
                        <w:div w:id="116674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161260">
      <w:bodyDiv w:val="1"/>
      <w:marLeft w:val="0"/>
      <w:marRight w:val="0"/>
      <w:marTop w:val="0"/>
      <w:marBottom w:val="0"/>
      <w:divBdr>
        <w:top w:val="none" w:sz="0" w:space="0" w:color="auto"/>
        <w:left w:val="none" w:sz="0" w:space="0" w:color="auto"/>
        <w:bottom w:val="none" w:sz="0" w:space="0" w:color="auto"/>
        <w:right w:val="none" w:sz="0" w:space="0" w:color="auto"/>
      </w:divBdr>
    </w:div>
    <w:div w:id="91977953">
      <w:bodyDiv w:val="1"/>
      <w:marLeft w:val="0"/>
      <w:marRight w:val="0"/>
      <w:marTop w:val="0"/>
      <w:marBottom w:val="0"/>
      <w:divBdr>
        <w:top w:val="none" w:sz="0" w:space="0" w:color="auto"/>
        <w:left w:val="none" w:sz="0" w:space="0" w:color="auto"/>
        <w:bottom w:val="none" w:sz="0" w:space="0" w:color="auto"/>
        <w:right w:val="none" w:sz="0" w:space="0" w:color="auto"/>
      </w:divBdr>
    </w:div>
    <w:div w:id="94716922">
      <w:bodyDiv w:val="1"/>
      <w:marLeft w:val="0"/>
      <w:marRight w:val="0"/>
      <w:marTop w:val="0"/>
      <w:marBottom w:val="0"/>
      <w:divBdr>
        <w:top w:val="none" w:sz="0" w:space="0" w:color="auto"/>
        <w:left w:val="none" w:sz="0" w:space="0" w:color="auto"/>
        <w:bottom w:val="none" w:sz="0" w:space="0" w:color="auto"/>
        <w:right w:val="none" w:sz="0" w:space="0" w:color="auto"/>
      </w:divBdr>
    </w:div>
    <w:div w:id="95950902">
      <w:bodyDiv w:val="1"/>
      <w:marLeft w:val="0"/>
      <w:marRight w:val="0"/>
      <w:marTop w:val="0"/>
      <w:marBottom w:val="0"/>
      <w:divBdr>
        <w:top w:val="none" w:sz="0" w:space="0" w:color="auto"/>
        <w:left w:val="none" w:sz="0" w:space="0" w:color="auto"/>
        <w:bottom w:val="none" w:sz="0" w:space="0" w:color="auto"/>
        <w:right w:val="none" w:sz="0" w:space="0" w:color="auto"/>
      </w:divBdr>
    </w:div>
    <w:div w:id="98068946">
      <w:bodyDiv w:val="1"/>
      <w:marLeft w:val="0"/>
      <w:marRight w:val="0"/>
      <w:marTop w:val="0"/>
      <w:marBottom w:val="0"/>
      <w:divBdr>
        <w:top w:val="none" w:sz="0" w:space="0" w:color="auto"/>
        <w:left w:val="none" w:sz="0" w:space="0" w:color="auto"/>
        <w:bottom w:val="none" w:sz="0" w:space="0" w:color="auto"/>
        <w:right w:val="none" w:sz="0" w:space="0" w:color="auto"/>
      </w:divBdr>
    </w:div>
    <w:div w:id="98764529">
      <w:bodyDiv w:val="1"/>
      <w:marLeft w:val="0"/>
      <w:marRight w:val="0"/>
      <w:marTop w:val="0"/>
      <w:marBottom w:val="0"/>
      <w:divBdr>
        <w:top w:val="none" w:sz="0" w:space="0" w:color="auto"/>
        <w:left w:val="none" w:sz="0" w:space="0" w:color="auto"/>
        <w:bottom w:val="none" w:sz="0" w:space="0" w:color="auto"/>
        <w:right w:val="none" w:sz="0" w:space="0" w:color="auto"/>
      </w:divBdr>
      <w:divsChild>
        <w:div w:id="984822044">
          <w:marLeft w:val="0"/>
          <w:marRight w:val="0"/>
          <w:marTop w:val="0"/>
          <w:marBottom w:val="225"/>
          <w:divBdr>
            <w:top w:val="none" w:sz="0" w:space="0" w:color="auto"/>
            <w:left w:val="none" w:sz="0" w:space="0" w:color="auto"/>
            <w:bottom w:val="none" w:sz="0" w:space="0" w:color="auto"/>
            <w:right w:val="none" w:sz="0" w:space="0" w:color="auto"/>
          </w:divBdr>
        </w:div>
        <w:div w:id="1446970436">
          <w:marLeft w:val="0"/>
          <w:marRight w:val="0"/>
          <w:marTop w:val="0"/>
          <w:marBottom w:val="225"/>
          <w:divBdr>
            <w:top w:val="none" w:sz="0" w:space="0" w:color="auto"/>
            <w:left w:val="none" w:sz="0" w:space="0" w:color="auto"/>
            <w:bottom w:val="none" w:sz="0" w:space="0" w:color="auto"/>
            <w:right w:val="none" w:sz="0" w:space="0" w:color="auto"/>
          </w:divBdr>
        </w:div>
      </w:divsChild>
    </w:div>
    <w:div w:id="98767661">
      <w:bodyDiv w:val="1"/>
      <w:marLeft w:val="0"/>
      <w:marRight w:val="0"/>
      <w:marTop w:val="0"/>
      <w:marBottom w:val="0"/>
      <w:divBdr>
        <w:top w:val="none" w:sz="0" w:space="0" w:color="auto"/>
        <w:left w:val="none" w:sz="0" w:space="0" w:color="auto"/>
        <w:bottom w:val="none" w:sz="0" w:space="0" w:color="auto"/>
        <w:right w:val="none" w:sz="0" w:space="0" w:color="auto"/>
      </w:divBdr>
    </w:div>
    <w:div w:id="105931671">
      <w:bodyDiv w:val="1"/>
      <w:marLeft w:val="0"/>
      <w:marRight w:val="0"/>
      <w:marTop w:val="0"/>
      <w:marBottom w:val="0"/>
      <w:divBdr>
        <w:top w:val="none" w:sz="0" w:space="0" w:color="auto"/>
        <w:left w:val="none" w:sz="0" w:space="0" w:color="auto"/>
        <w:bottom w:val="none" w:sz="0" w:space="0" w:color="auto"/>
        <w:right w:val="none" w:sz="0" w:space="0" w:color="auto"/>
      </w:divBdr>
    </w:div>
    <w:div w:id="106169028">
      <w:bodyDiv w:val="1"/>
      <w:marLeft w:val="0"/>
      <w:marRight w:val="0"/>
      <w:marTop w:val="0"/>
      <w:marBottom w:val="0"/>
      <w:divBdr>
        <w:top w:val="none" w:sz="0" w:space="0" w:color="auto"/>
        <w:left w:val="none" w:sz="0" w:space="0" w:color="auto"/>
        <w:bottom w:val="none" w:sz="0" w:space="0" w:color="auto"/>
        <w:right w:val="none" w:sz="0" w:space="0" w:color="auto"/>
      </w:divBdr>
    </w:div>
    <w:div w:id="106320448">
      <w:bodyDiv w:val="1"/>
      <w:marLeft w:val="0"/>
      <w:marRight w:val="0"/>
      <w:marTop w:val="0"/>
      <w:marBottom w:val="0"/>
      <w:divBdr>
        <w:top w:val="none" w:sz="0" w:space="0" w:color="auto"/>
        <w:left w:val="none" w:sz="0" w:space="0" w:color="auto"/>
        <w:bottom w:val="none" w:sz="0" w:space="0" w:color="auto"/>
        <w:right w:val="none" w:sz="0" w:space="0" w:color="auto"/>
      </w:divBdr>
    </w:div>
    <w:div w:id="106656313">
      <w:bodyDiv w:val="1"/>
      <w:marLeft w:val="0"/>
      <w:marRight w:val="0"/>
      <w:marTop w:val="0"/>
      <w:marBottom w:val="0"/>
      <w:divBdr>
        <w:top w:val="none" w:sz="0" w:space="0" w:color="auto"/>
        <w:left w:val="none" w:sz="0" w:space="0" w:color="auto"/>
        <w:bottom w:val="none" w:sz="0" w:space="0" w:color="auto"/>
        <w:right w:val="none" w:sz="0" w:space="0" w:color="auto"/>
      </w:divBdr>
    </w:div>
    <w:div w:id="108352757">
      <w:bodyDiv w:val="1"/>
      <w:marLeft w:val="0"/>
      <w:marRight w:val="0"/>
      <w:marTop w:val="0"/>
      <w:marBottom w:val="0"/>
      <w:divBdr>
        <w:top w:val="none" w:sz="0" w:space="0" w:color="auto"/>
        <w:left w:val="none" w:sz="0" w:space="0" w:color="auto"/>
        <w:bottom w:val="none" w:sz="0" w:space="0" w:color="auto"/>
        <w:right w:val="none" w:sz="0" w:space="0" w:color="auto"/>
      </w:divBdr>
    </w:div>
    <w:div w:id="109785645">
      <w:bodyDiv w:val="1"/>
      <w:marLeft w:val="0"/>
      <w:marRight w:val="0"/>
      <w:marTop w:val="0"/>
      <w:marBottom w:val="0"/>
      <w:divBdr>
        <w:top w:val="none" w:sz="0" w:space="0" w:color="auto"/>
        <w:left w:val="none" w:sz="0" w:space="0" w:color="auto"/>
        <w:bottom w:val="none" w:sz="0" w:space="0" w:color="auto"/>
        <w:right w:val="none" w:sz="0" w:space="0" w:color="auto"/>
      </w:divBdr>
    </w:div>
    <w:div w:id="111411867">
      <w:bodyDiv w:val="1"/>
      <w:marLeft w:val="0"/>
      <w:marRight w:val="0"/>
      <w:marTop w:val="0"/>
      <w:marBottom w:val="0"/>
      <w:divBdr>
        <w:top w:val="none" w:sz="0" w:space="0" w:color="auto"/>
        <w:left w:val="none" w:sz="0" w:space="0" w:color="auto"/>
        <w:bottom w:val="none" w:sz="0" w:space="0" w:color="auto"/>
        <w:right w:val="none" w:sz="0" w:space="0" w:color="auto"/>
      </w:divBdr>
    </w:div>
    <w:div w:id="114757489">
      <w:bodyDiv w:val="1"/>
      <w:marLeft w:val="0"/>
      <w:marRight w:val="0"/>
      <w:marTop w:val="0"/>
      <w:marBottom w:val="0"/>
      <w:divBdr>
        <w:top w:val="none" w:sz="0" w:space="0" w:color="auto"/>
        <w:left w:val="none" w:sz="0" w:space="0" w:color="auto"/>
        <w:bottom w:val="none" w:sz="0" w:space="0" w:color="auto"/>
        <w:right w:val="none" w:sz="0" w:space="0" w:color="auto"/>
      </w:divBdr>
    </w:div>
    <w:div w:id="122845293">
      <w:bodyDiv w:val="1"/>
      <w:marLeft w:val="0"/>
      <w:marRight w:val="0"/>
      <w:marTop w:val="0"/>
      <w:marBottom w:val="0"/>
      <w:divBdr>
        <w:top w:val="none" w:sz="0" w:space="0" w:color="auto"/>
        <w:left w:val="none" w:sz="0" w:space="0" w:color="auto"/>
        <w:bottom w:val="none" w:sz="0" w:space="0" w:color="auto"/>
        <w:right w:val="none" w:sz="0" w:space="0" w:color="auto"/>
      </w:divBdr>
    </w:div>
    <w:div w:id="129131054">
      <w:bodyDiv w:val="1"/>
      <w:marLeft w:val="0"/>
      <w:marRight w:val="0"/>
      <w:marTop w:val="0"/>
      <w:marBottom w:val="0"/>
      <w:divBdr>
        <w:top w:val="none" w:sz="0" w:space="0" w:color="auto"/>
        <w:left w:val="none" w:sz="0" w:space="0" w:color="auto"/>
        <w:bottom w:val="none" w:sz="0" w:space="0" w:color="auto"/>
        <w:right w:val="none" w:sz="0" w:space="0" w:color="auto"/>
      </w:divBdr>
    </w:div>
    <w:div w:id="133105507">
      <w:bodyDiv w:val="1"/>
      <w:marLeft w:val="0"/>
      <w:marRight w:val="0"/>
      <w:marTop w:val="0"/>
      <w:marBottom w:val="0"/>
      <w:divBdr>
        <w:top w:val="none" w:sz="0" w:space="0" w:color="auto"/>
        <w:left w:val="none" w:sz="0" w:space="0" w:color="auto"/>
        <w:bottom w:val="none" w:sz="0" w:space="0" w:color="auto"/>
        <w:right w:val="none" w:sz="0" w:space="0" w:color="auto"/>
      </w:divBdr>
    </w:div>
    <w:div w:id="134492017">
      <w:bodyDiv w:val="1"/>
      <w:marLeft w:val="0"/>
      <w:marRight w:val="0"/>
      <w:marTop w:val="0"/>
      <w:marBottom w:val="0"/>
      <w:divBdr>
        <w:top w:val="none" w:sz="0" w:space="0" w:color="auto"/>
        <w:left w:val="none" w:sz="0" w:space="0" w:color="auto"/>
        <w:bottom w:val="none" w:sz="0" w:space="0" w:color="auto"/>
        <w:right w:val="none" w:sz="0" w:space="0" w:color="auto"/>
      </w:divBdr>
    </w:div>
    <w:div w:id="145822443">
      <w:bodyDiv w:val="1"/>
      <w:marLeft w:val="0"/>
      <w:marRight w:val="0"/>
      <w:marTop w:val="0"/>
      <w:marBottom w:val="0"/>
      <w:divBdr>
        <w:top w:val="none" w:sz="0" w:space="0" w:color="auto"/>
        <w:left w:val="none" w:sz="0" w:space="0" w:color="auto"/>
        <w:bottom w:val="none" w:sz="0" w:space="0" w:color="auto"/>
        <w:right w:val="none" w:sz="0" w:space="0" w:color="auto"/>
      </w:divBdr>
    </w:div>
    <w:div w:id="151021857">
      <w:bodyDiv w:val="1"/>
      <w:marLeft w:val="0"/>
      <w:marRight w:val="0"/>
      <w:marTop w:val="0"/>
      <w:marBottom w:val="0"/>
      <w:divBdr>
        <w:top w:val="none" w:sz="0" w:space="0" w:color="auto"/>
        <w:left w:val="none" w:sz="0" w:space="0" w:color="auto"/>
        <w:bottom w:val="none" w:sz="0" w:space="0" w:color="auto"/>
        <w:right w:val="none" w:sz="0" w:space="0" w:color="auto"/>
      </w:divBdr>
      <w:divsChild>
        <w:div w:id="43796405">
          <w:marLeft w:val="547"/>
          <w:marRight w:val="0"/>
          <w:marTop w:val="0"/>
          <w:marBottom w:val="0"/>
          <w:divBdr>
            <w:top w:val="none" w:sz="0" w:space="0" w:color="auto"/>
            <w:left w:val="none" w:sz="0" w:space="0" w:color="auto"/>
            <w:bottom w:val="none" w:sz="0" w:space="0" w:color="auto"/>
            <w:right w:val="none" w:sz="0" w:space="0" w:color="auto"/>
          </w:divBdr>
        </w:div>
        <w:div w:id="536085910">
          <w:marLeft w:val="547"/>
          <w:marRight w:val="0"/>
          <w:marTop w:val="0"/>
          <w:marBottom w:val="0"/>
          <w:divBdr>
            <w:top w:val="none" w:sz="0" w:space="0" w:color="auto"/>
            <w:left w:val="none" w:sz="0" w:space="0" w:color="auto"/>
            <w:bottom w:val="none" w:sz="0" w:space="0" w:color="auto"/>
            <w:right w:val="none" w:sz="0" w:space="0" w:color="auto"/>
          </w:divBdr>
        </w:div>
        <w:div w:id="1659503864">
          <w:marLeft w:val="547"/>
          <w:marRight w:val="0"/>
          <w:marTop w:val="0"/>
          <w:marBottom w:val="0"/>
          <w:divBdr>
            <w:top w:val="none" w:sz="0" w:space="0" w:color="auto"/>
            <w:left w:val="none" w:sz="0" w:space="0" w:color="auto"/>
            <w:bottom w:val="none" w:sz="0" w:space="0" w:color="auto"/>
            <w:right w:val="none" w:sz="0" w:space="0" w:color="auto"/>
          </w:divBdr>
        </w:div>
        <w:div w:id="1717243284">
          <w:marLeft w:val="547"/>
          <w:marRight w:val="0"/>
          <w:marTop w:val="0"/>
          <w:marBottom w:val="0"/>
          <w:divBdr>
            <w:top w:val="none" w:sz="0" w:space="0" w:color="auto"/>
            <w:left w:val="none" w:sz="0" w:space="0" w:color="auto"/>
            <w:bottom w:val="none" w:sz="0" w:space="0" w:color="auto"/>
            <w:right w:val="none" w:sz="0" w:space="0" w:color="auto"/>
          </w:divBdr>
        </w:div>
      </w:divsChild>
    </w:div>
    <w:div w:id="154881654">
      <w:bodyDiv w:val="1"/>
      <w:marLeft w:val="0"/>
      <w:marRight w:val="0"/>
      <w:marTop w:val="0"/>
      <w:marBottom w:val="0"/>
      <w:divBdr>
        <w:top w:val="none" w:sz="0" w:space="0" w:color="auto"/>
        <w:left w:val="none" w:sz="0" w:space="0" w:color="auto"/>
        <w:bottom w:val="none" w:sz="0" w:space="0" w:color="auto"/>
        <w:right w:val="none" w:sz="0" w:space="0" w:color="auto"/>
      </w:divBdr>
    </w:div>
    <w:div w:id="157042311">
      <w:bodyDiv w:val="1"/>
      <w:marLeft w:val="0"/>
      <w:marRight w:val="0"/>
      <w:marTop w:val="0"/>
      <w:marBottom w:val="0"/>
      <w:divBdr>
        <w:top w:val="none" w:sz="0" w:space="0" w:color="auto"/>
        <w:left w:val="none" w:sz="0" w:space="0" w:color="auto"/>
        <w:bottom w:val="none" w:sz="0" w:space="0" w:color="auto"/>
        <w:right w:val="none" w:sz="0" w:space="0" w:color="auto"/>
      </w:divBdr>
    </w:div>
    <w:div w:id="160436384">
      <w:bodyDiv w:val="1"/>
      <w:marLeft w:val="0"/>
      <w:marRight w:val="0"/>
      <w:marTop w:val="0"/>
      <w:marBottom w:val="0"/>
      <w:divBdr>
        <w:top w:val="none" w:sz="0" w:space="0" w:color="auto"/>
        <w:left w:val="none" w:sz="0" w:space="0" w:color="auto"/>
        <w:bottom w:val="none" w:sz="0" w:space="0" w:color="auto"/>
        <w:right w:val="none" w:sz="0" w:space="0" w:color="auto"/>
      </w:divBdr>
    </w:div>
    <w:div w:id="170679836">
      <w:bodyDiv w:val="1"/>
      <w:marLeft w:val="0"/>
      <w:marRight w:val="0"/>
      <w:marTop w:val="0"/>
      <w:marBottom w:val="0"/>
      <w:divBdr>
        <w:top w:val="none" w:sz="0" w:space="0" w:color="auto"/>
        <w:left w:val="none" w:sz="0" w:space="0" w:color="auto"/>
        <w:bottom w:val="none" w:sz="0" w:space="0" w:color="auto"/>
        <w:right w:val="none" w:sz="0" w:space="0" w:color="auto"/>
      </w:divBdr>
    </w:div>
    <w:div w:id="177502570">
      <w:bodyDiv w:val="1"/>
      <w:marLeft w:val="0"/>
      <w:marRight w:val="0"/>
      <w:marTop w:val="0"/>
      <w:marBottom w:val="0"/>
      <w:divBdr>
        <w:top w:val="none" w:sz="0" w:space="0" w:color="auto"/>
        <w:left w:val="none" w:sz="0" w:space="0" w:color="auto"/>
        <w:bottom w:val="none" w:sz="0" w:space="0" w:color="auto"/>
        <w:right w:val="none" w:sz="0" w:space="0" w:color="auto"/>
      </w:divBdr>
    </w:div>
    <w:div w:id="177544748">
      <w:bodyDiv w:val="1"/>
      <w:marLeft w:val="0"/>
      <w:marRight w:val="0"/>
      <w:marTop w:val="0"/>
      <w:marBottom w:val="0"/>
      <w:divBdr>
        <w:top w:val="none" w:sz="0" w:space="0" w:color="auto"/>
        <w:left w:val="none" w:sz="0" w:space="0" w:color="auto"/>
        <w:bottom w:val="none" w:sz="0" w:space="0" w:color="auto"/>
        <w:right w:val="none" w:sz="0" w:space="0" w:color="auto"/>
      </w:divBdr>
    </w:div>
    <w:div w:id="177810989">
      <w:bodyDiv w:val="1"/>
      <w:marLeft w:val="0"/>
      <w:marRight w:val="0"/>
      <w:marTop w:val="0"/>
      <w:marBottom w:val="0"/>
      <w:divBdr>
        <w:top w:val="none" w:sz="0" w:space="0" w:color="auto"/>
        <w:left w:val="none" w:sz="0" w:space="0" w:color="auto"/>
        <w:bottom w:val="none" w:sz="0" w:space="0" w:color="auto"/>
        <w:right w:val="none" w:sz="0" w:space="0" w:color="auto"/>
      </w:divBdr>
    </w:div>
    <w:div w:id="180047776">
      <w:bodyDiv w:val="1"/>
      <w:marLeft w:val="0"/>
      <w:marRight w:val="0"/>
      <w:marTop w:val="0"/>
      <w:marBottom w:val="0"/>
      <w:divBdr>
        <w:top w:val="none" w:sz="0" w:space="0" w:color="auto"/>
        <w:left w:val="none" w:sz="0" w:space="0" w:color="auto"/>
        <w:bottom w:val="none" w:sz="0" w:space="0" w:color="auto"/>
        <w:right w:val="none" w:sz="0" w:space="0" w:color="auto"/>
      </w:divBdr>
    </w:div>
    <w:div w:id="184557028">
      <w:bodyDiv w:val="1"/>
      <w:marLeft w:val="0"/>
      <w:marRight w:val="0"/>
      <w:marTop w:val="0"/>
      <w:marBottom w:val="0"/>
      <w:divBdr>
        <w:top w:val="none" w:sz="0" w:space="0" w:color="auto"/>
        <w:left w:val="none" w:sz="0" w:space="0" w:color="auto"/>
        <w:bottom w:val="none" w:sz="0" w:space="0" w:color="auto"/>
        <w:right w:val="none" w:sz="0" w:space="0" w:color="auto"/>
      </w:divBdr>
    </w:div>
    <w:div w:id="186138894">
      <w:bodyDiv w:val="1"/>
      <w:marLeft w:val="0"/>
      <w:marRight w:val="0"/>
      <w:marTop w:val="0"/>
      <w:marBottom w:val="0"/>
      <w:divBdr>
        <w:top w:val="none" w:sz="0" w:space="0" w:color="auto"/>
        <w:left w:val="none" w:sz="0" w:space="0" w:color="auto"/>
        <w:bottom w:val="none" w:sz="0" w:space="0" w:color="auto"/>
        <w:right w:val="none" w:sz="0" w:space="0" w:color="auto"/>
      </w:divBdr>
    </w:div>
    <w:div w:id="186868995">
      <w:bodyDiv w:val="1"/>
      <w:marLeft w:val="0"/>
      <w:marRight w:val="0"/>
      <w:marTop w:val="0"/>
      <w:marBottom w:val="0"/>
      <w:divBdr>
        <w:top w:val="none" w:sz="0" w:space="0" w:color="auto"/>
        <w:left w:val="none" w:sz="0" w:space="0" w:color="auto"/>
        <w:bottom w:val="none" w:sz="0" w:space="0" w:color="auto"/>
        <w:right w:val="none" w:sz="0" w:space="0" w:color="auto"/>
      </w:divBdr>
      <w:divsChild>
        <w:div w:id="139034063">
          <w:marLeft w:val="0"/>
          <w:marRight w:val="0"/>
          <w:marTop w:val="0"/>
          <w:marBottom w:val="225"/>
          <w:divBdr>
            <w:top w:val="none" w:sz="0" w:space="0" w:color="auto"/>
            <w:left w:val="none" w:sz="0" w:space="0" w:color="auto"/>
            <w:bottom w:val="none" w:sz="0" w:space="0" w:color="auto"/>
            <w:right w:val="none" w:sz="0" w:space="0" w:color="auto"/>
          </w:divBdr>
        </w:div>
        <w:div w:id="1360084873">
          <w:marLeft w:val="0"/>
          <w:marRight w:val="0"/>
          <w:marTop w:val="0"/>
          <w:marBottom w:val="225"/>
          <w:divBdr>
            <w:top w:val="none" w:sz="0" w:space="0" w:color="auto"/>
            <w:left w:val="none" w:sz="0" w:space="0" w:color="auto"/>
            <w:bottom w:val="none" w:sz="0" w:space="0" w:color="auto"/>
            <w:right w:val="none" w:sz="0" w:space="0" w:color="auto"/>
          </w:divBdr>
        </w:div>
      </w:divsChild>
    </w:div>
    <w:div w:id="189536616">
      <w:bodyDiv w:val="1"/>
      <w:marLeft w:val="0"/>
      <w:marRight w:val="0"/>
      <w:marTop w:val="0"/>
      <w:marBottom w:val="0"/>
      <w:divBdr>
        <w:top w:val="none" w:sz="0" w:space="0" w:color="auto"/>
        <w:left w:val="none" w:sz="0" w:space="0" w:color="auto"/>
        <w:bottom w:val="none" w:sz="0" w:space="0" w:color="auto"/>
        <w:right w:val="none" w:sz="0" w:space="0" w:color="auto"/>
      </w:divBdr>
    </w:div>
    <w:div w:id="200483134">
      <w:bodyDiv w:val="1"/>
      <w:marLeft w:val="0"/>
      <w:marRight w:val="0"/>
      <w:marTop w:val="0"/>
      <w:marBottom w:val="0"/>
      <w:divBdr>
        <w:top w:val="none" w:sz="0" w:space="0" w:color="auto"/>
        <w:left w:val="none" w:sz="0" w:space="0" w:color="auto"/>
        <w:bottom w:val="none" w:sz="0" w:space="0" w:color="auto"/>
        <w:right w:val="none" w:sz="0" w:space="0" w:color="auto"/>
      </w:divBdr>
      <w:divsChild>
        <w:div w:id="1858886583">
          <w:marLeft w:val="0"/>
          <w:marRight w:val="0"/>
          <w:marTop w:val="0"/>
          <w:marBottom w:val="225"/>
          <w:divBdr>
            <w:top w:val="none" w:sz="0" w:space="0" w:color="auto"/>
            <w:left w:val="none" w:sz="0" w:space="0" w:color="auto"/>
            <w:bottom w:val="none" w:sz="0" w:space="0" w:color="auto"/>
            <w:right w:val="none" w:sz="0" w:space="0" w:color="auto"/>
          </w:divBdr>
        </w:div>
        <w:div w:id="1980452362">
          <w:marLeft w:val="0"/>
          <w:marRight w:val="0"/>
          <w:marTop w:val="0"/>
          <w:marBottom w:val="225"/>
          <w:divBdr>
            <w:top w:val="none" w:sz="0" w:space="0" w:color="auto"/>
            <w:left w:val="none" w:sz="0" w:space="0" w:color="auto"/>
            <w:bottom w:val="none" w:sz="0" w:space="0" w:color="auto"/>
            <w:right w:val="none" w:sz="0" w:space="0" w:color="auto"/>
          </w:divBdr>
        </w:div>
      </w:divsChild>
    </w:div>
    <w:div w:id="205800058">
      <w:bodyDiv w:val="1"/>
      <w:marLeft w:val="0"/>
      <w:marRight w:val="0"/>
      <w:marTop w:val="0"/>
      <w:marBottom w:val="0"/>
      <w:divBdr>
        <w:top w:val="none" w:sz="0" w:space="0" w:color="auto"/>
        <w:left w:val="none" w:sz="0" w:space="0" w:color="auto"/>
        <w:bottom w:val="none" w:sz="0" w:space="0" w:color="auto"/>
        <w:right w:val="none" w:sz="0" w:space="0" w:color="auto"/>
      </w:divBdr>
    </w:div>
    <w:div w:id="207762707">
      <w:bodyDiv w:val="1"/>
      <w:marLeft w:val="0"/>
      <w:marRight w:val="0"/>
      <w:marTop w:val="0"/>
      <w:marBottom w:val="0"/>
      <w:divBdr>
        <w:top w:val="none" w:sz="0" w:space="0" w:color="auto"/>
        <w:left w:val="none" w:sz="0" w:space="0" w:color="auto"/>
        <w:bottom w:val="none" w:sz="0" w:space="0" w:color="auto"/>
        <w:right w:val="none" w:sz="0" w:space="0" w:color="auto"/>
      </w:divBdr>
    </w:div>
    <w:div w:id="220218179">
      <w:bodyDiv w:val="1"/>
      <w:marLeft w:val="0"/>
      <w:marRight w:val="0"/>
      <w:marTop w:val="0"/>
      <w:marBottom w:val="0"/>
      <w:divBdr>
        <w:top w:val="none" w:sz="0" w:space="0" w:color="auto"/>
        <w:left w:val="none" w:sz="0" w:space="0" w:color="auto"/>
        <w:bottom w:val="none" w:sz="0" w:space="0" w:color="auto"/>
        <w:right w:val="none" w:sz="0" w:space="0" w:color="auto"/>
      </w:divBdr>
    </w:div>
    <w:div w:id="220673865">
      <w:bodyDiv w:val="1"/>
      <w:marLeft w:val="0"/>
      <w:marRight w:val="0"/>
      <w:marTop w:val="0"/>
      <w:marBottom w:val="0"/>
      <w:divBdr>
        <w:top w:val="none" w:sz="0" w:space="0" w:color="auto"/>
        <w:left w:val="none" w:sz="0" w:space="0" w:color="auto"/>
        <w:bottom w:val="none" w:sz="0" w:space="0" w:color="auto"/>
        <w:right w:val="none" w:sz="0" w:space="0" w:color="auto"/>
      </w:divBdr>
    </w:div>
    <w:div w:id="221525916">
      <w:bodyDiv w:val="1"/>
      <w:marLeft w:val="0"/>
      <w:marRight w:val="0"/>
      <w:marTop w:val="0"/>
      <w:marBottom w:val="0"/>
      <w:divBdr>
        <w:top w:val="none" w:sz="0" w:space="0" w:color="auto"/>
        <w:left w:val="none" w:sz="0" w:space="0" w:color="auto"/>
        <w:bottom w:val="none" w:sz="0" w:space="0" w:color="auto"/>
        <w:right w:val="none" w:sz="0" w:space="0" w:color="auto"/>
      </w:divBdr>
    </w:div>
    <w:div w:id="224150772">
      <w:bodyDiv w:val="1"/>
      <w:marLeft w:val="0"/>
      <w:marRight w:val="0"/>
      <w:marTop w:val="0"/>
      <w:marBottom w:val="0"/>
      <w:divBdr>
        <w:top w:val="none" w:sz="0" w:space="0" w:color="auto"/>
        <w:left w:val="none" w:sz="0" w:space="0" w:color="auto"/>
        <w:bottom w:val="none" w:sz="0" w:space="0" w:color="auto"/>
        <w:right w:val="none" w:sz="0" w:space="0" w:color="auto"/>
      </w:divBdr>
    </w:div>
    <w:div w:id="227955792">
      <w:bodyDiv w:val="1"/>
      <w:marLeft w:val="0"/>
      <w:marRight w:val="0"/>
      <w:marTop w:val="0"/>
      <w:marBottom w:val="0"/>
      <w:divBdr>
        <w:top w:val="none" w:sz="0" w:space="0" w:color="auto"/>
        <w:left w:val="none" w:sz="0" w:space="0" w:color="auto"/>
        <w:bottom w:val="none" w:sz="0" w:space="0" w:color="auto"/>
        <w:right w:val="none" w:sz="0" w:space="0" w:color="auto"/>
      </w:divBdr>
      <w:divsChild>
        <w:div w:id="233707268">
          <w:marLeft w:val="0"/>
          <w:marRight w:val="0"/>
          <w:marTop w:val="0"/>
          <w:marBottom w:val="0"/>
          <w:divBdr>
            <w:top w:val="none" w:sz="0" w:space="0" w:color="auto"/>
            <w:left w:val="none" w:sz="0" w:space="0" w:color="auto"/>
            <w:bottom w:val="none" w:sz="0" w:space="0" w:color="auto"/>
            <w:right w:val="none" w:sz="0" w:space="0" w:color="auto"/>
          </w:divBdr>
        </w:div>
      </w:divsChild>
    </w:div>
    <w:div w:id="228345665">
      <w:bodyDiv w:val="1"/>
      <w:marLeft w:val="0"/>
      <w:marRight w:val="0"/>
      <w:marTop w:val="0"/>
      <w:marBottom w:val="0"/>
      <w:divBdr>
        <w:top w:val="none" w:sz="0" w:space="0" w:color="auto"/>
        <w:left w:val="none" w:sz="0" w:space="0" w:color="auto"/>
        <w:bottom w:val="none" w:sz="0" w:space="0" w:color="auto"/>
        <w:right w:val="none" w:sz="0" w:space="0" w:color="auto"/>
      </w:divBdr>
    </w:div>
    <w:div w:id="236214072">
      <w:bodyDiv w:val="1"/>
      <w:marLeft w:val="0"/>
      <w:marRight w:val="0"/>
      <w:marTop w:val="0"/>
      <w:marBottom w:val="0"/>
      <w:divBdr>
        <w:top w:val="none" w:sz="0" w:space="0" w:color="auto"/>
        <w:left w:val="none" w:sz="0" w:space="0" w:color="auto"/>
        <w:bottom w:val="none" w:sz="0" w:space="0" w:color="auto"/>
        <w:right w:val="none" w:sz="0" w:space="0" w:color="auto"/>
      </w:divBdr>
    </w:div>
    <w:div w:id="238173765">
      <w:bodyDiv w:val="1"/>
      <w:marLeft w:val="0"/>
      <w:marRight w:val="0"/>
      <w:marTop w:val="0"/>
      <w:marBottom w:val="0"/>
      <w:divBdr>
        <w:top w:val="none" w:sz="0" w:space="0" w:color="auto"/>
        <w:left w:val="none" w:sz="0" w:space="0" w:color="auto"/>
        <w:bottom w:val="none" w:sz="0" w:space="0" w:color="auto"/>
        <w:right w:val="none" w:sz="0" w:space="0" w:color="auto"/>
      </w:divBdr>
    </w:div>
    <w:div w:id="240405523">
      <w:bodyDiv w:val="1"/>
      <w:marLeft w:val="0"/>
      <w:marRight w:val="0"/>
      <w:marTop w:val="0"/>
      <w:marBottom w:val="0"/>
      <w:divBdr>
        <w:top w:val="none" w:sz="0" w:space="0" w:color="auto"/>
        <w:left w:val="none" w:sz="0" w:space="0" w:color="auto"/>
        <w:bottom w:val="none" w:sz="0" w:space="0" w:color="auto"/>
        <w:right w:val="none" w:sz="0" w:space="0" w:color="auto"/>
      </w:divBdr>
    </w:div>
    <w:div w:id="249898298">
      <w:bodyDiv w:val="1"/>
      <w:marLeft w:val="0"/>
      <w:marRight w:val="0"/>
      <w:marTop w:val="0"/>
      <w:marBottom w:val="0"/>
      <w:divBdr>
        <w:top w:val="none" w:sz="0" w:space="0" w:color="auto"/>
        <w:left w:val="none" w:sz="0" w:space="0" w:color="auto"/>
        <w:bottom w:val="none" w:sz="0" w:space="0" w:color="auto"/>
        <w:right w:val="none" w:sz="0" w:space="0" w:color="auto"/>
      </w:divBdr>
      <w:divsChild>
        <w:div w:id="55277365">
          <w:marLeft w:val="547"/>
          <w:marRight w:val="0"/>
          <w:marTop w:val="86"/>
          <w:marBottom w:val="0"/>
          <w:divBdr>
            <w:top w:val="none" w:sz="0" w:space="0" w:color="auto"/>
            <w:left w:val="none" w:sz="0" w:space="0" w:color="auto"/>
            <w:bottom w:val="none" w:sz="0" w:space="0" w:color="auto"/>
            <w:right w:val="none" w:sz="0" w:space="0" w:color="auto"/>
          </w:divBdr>
        </w:div>
        <w:div w:id="508059913">
          <w:marLeft w:val="547"/>
          <w:marRight w:val="0"/>
          <w:marTop w:val="86"/>
          <w:marBottom w:val="0"/>
          <w:divBdr>
            <w:top w:val="none" w:sz="0" w:space="0" w:color="auto"/>
            <w:left w:val="none" w:sz="0" w:space="0" w:color="auto"/>
            <w:bottom w:val="none" w:sz="0" w:space="0" w:color="auto"/>
            <w:right w:val="none" w:sz="0" w:space="0" w:color="auto"/>
          </w:divBdr>
        </w:div>
        <w:div w:id="594823507">
          <w:marLeft w:val="547"/>
          <w:marRight w:val="0"/>
          <w:marTop w:val="86"/>
          <w:marBottom w:val="0"/>
          <w:divBdr>
            <w:top w:val="none" w:sz="0" w:space="0" w:color="auto"/>
            <w:left w:val="none" w:sz="0" w:space="0" w:color="auto"/>
            <w:bottom w:val="none" w:sz="0" w:space="0" w:color="auto"/>
            <w:right w:val="none" w:sz="0" w:space="0" w:color="auto"/>
          </w:divBdr>
        </w:div>
        <w:div w:id="607544643">
          <w:marLeft w:val="547"/>
          <w:marRight w:val="0"/>
          <w:marTop w:val="86"/>
          <w:marBottom w:val="0"/>
          <w:divBdr>
            <w:top w:val="none" w:sz="0" w:space="0" w:color="auto"/>
            <w:left w:val="none" w:sz="0" w:space="0" w:color="auto"/>
            <w:bottom w:val="none" w:sz="0" w:space="0" w:color="auto"/>
            <w:right w:val="none" w:sz="0" w:space="0" w:color="auto"/>
          </w:divBdr>
        </w:div>
        <w:div w:id="750585040">
          <w:marLeft w:val="547"/>
          <w:marRight w:val="0"/>
          <w:marTop w:val="86"/>
          <w:marBottom w:val="0"/>
          <w:divBdr>
            <w:top w:val="none" w:sz="0" w:space="0" w:color="auto"/>
            <w:left w:val="none" w:sz="0" w:space="0" w:color="auto"/>
            <w:bottom w:val="none" w:sz="0" w:space="0" w:color="auto"/>
            <w:right w:val="none" w:sz="0" w:space="0" w:color="auto"/>
          </w:divBdr>
        </w:div>
        <w:div w:id="1107889540">
          <w:marLeft w:val="547"/>
          <w:marRight w:val="0"/>
          <w:marTop w:val="86"/>
          <w:marBottom w:val="0"/>
          <w:divBdr>
            <w:top w:val="none" w:sz="0" w:space="0" w:color="auto"/>
            <w:left w:val="none" w:sz="0" w:space="0" w:color="auto"/>
            <w:bottom w:val="none" w:sz="0" w:space="0" w:color="auto"/>
            <w:right w:val="none" w:sz="0" w:space="0" w:color="auto"/>
          </w:divBdr>
        </w:div>
        <w:div w:id="1518470192">
          <w:marLeft w:val="547"/>
          <w:marRight w:val="0"/>
          <w:marTop w:val="86"/>
          <w:marBottom w:val="0"/>
          <w:divBdr>
            <w:top w:val="none" w:sz="0" w:space="0" w:color="auto"/>
            <w:left w:val="none" w:sz="0" w:space="0" w:color="auto"/>
            <w:bottom w:val="none" w:sz="0" w:space="0" w:color="auto"/>
            <w:right w:val="none" w:sz="0" w:space="0" w:color="auto"/>
          </w:divBdr>
        </w:div>
        <w:div w:id="1714427049">
          <w:marLeft w:val="547"/>
          <w:marRight w:val="0"/>
          <w:marTop w:val="86"/>
          <w:marBottom w:val="0"/>
          <w:divBdr>
            <w:top w:val="none" w:sz="0" w:space="0" w:color="auto"/>
            <w:left w:val="none" w:sz="0" w:space="0" w:color="auto"/>
            <w:bottom w:val="none" w:sz="0" w:space="0" w:color="auto"/>
            <w:right w:val="none" w:sz="0" w:space="0" w:color="auto"/>
          </w:divBdr>
        </w:div>
      </w:divsChild>
    </w:div>
    <w:div w:id="251666888">
      <w:bodyDiv w:val="1"/>
      <w:marLeft w:val="0"/>
      <w:marRight w:val="0"/>
      <w:marTop w:val="0"/>
      <w:marBottom w:val="0"/>
      <w:divBdr>
        <w:top w:val="none" w:sz="0" w:space="0" w:color="auto"/>
        <w:left w:val="none" w:sz="0" w:space="0" w:color="auto"/>
        <w:bottom w:val="none" w:sz="0" w:space="0" w:color="auto"/>
        <w:right w:val="none" w:sz="0" w:space="0" w:color="auto"/>
      </w:divBdr>
    </w:div>
    <w:div w:id="254292636">
      <w:bodyDiv w:val="1"/>
      <w:marLeft w:val="0"/>
      <w:marRight w:val="0"/>
      <w:marTop w:val="0"/>
      <w:marBottom w:val="0"/>
      <w:divBdr>
        <w:top w:val="none" w:sz="0" w:space="0" w:color="auto"/>
        <w:left w:val="none" w:sz="0" w:space="0" w:color="auto"/>
        <w:bottom w:val="none" w:sz="0" w:space="0" w:color="auto"/>
        <w:right w:val="none" w:sz="0" w:space="0" w:color="auto"/>
      </w:divBdr>
    </w:div>
    <w:div w:id="267276988">
      <w:bodyDiv w:val="1"/>
      <w:marLeft w:val="0"/>
      <w:marRight w:val="0"/>
      <w:marTop w:val="0"/>
      <w:marBottom w:val="0"/>
      <w:divBdr>
        <w:top w:val="none" w:sz="0" w:space="0" w:color="auto"/>
        <w:left w:val="none" w:sz="0" w:space="0" w:color="auto"/>
        <w:bottom w:val="none" w:sz="0" w:space="0" w:color="auto"/>
        <w:right w:val="none" w:sz="0" w:space="0" w:color="auto"/>
      </w:divBdr>
    </w:div>
    <w:div w:id="268662638">
      <w:bodyDiv w:val="1"/>
      <w:marLeft w:val="0"/>
      <w:marRight w:val="0"/>
      <w:marTop w:val="0"/>
      <w:marBottom w:val="0"/>
      <w:divBdr>
        <w:top w:val="none" w:sz="0" w:space="0" w:color="auto"/>
        <w:left w:val="none" w:sz="0" w:space="0" w:color="auto"/>
        <w:bottom w:val="none" w:sz="0" w:space="0" w:color="auto"/>
        <w:right w:val="none" w:sz="0" w:space="0" w:color="auto"/>
      </w:divBdr>
    </w:div>
    <w:div w:id="273025509">
      <w:bodyDiv w:val="1"/>
      <w:marLeft w:val="0"/>
      <w:marRight w:val="0"/>
      <w:marTop w:val="0"/>
      <w:marBottom w:val="0"/>
      <w:divBdr>
        <w:top w:val="none" w:sz="0" w:space="0" w:color="auto"/>
        <w:left w:val="none" w:sz="0" w:space="0" w:color="auto"/>
        <w:bottom w:val="none" w:sz="0" w:space="0" w:color="auto"/>
        <w:right w:val="none" w:sz="0" w:space="0" w:color="auto"/>
      </w:divBdr>
      <w:divsChild>
        <w:div w:id="124321842">
          <w:marLeft w:val="547"/>
          <w:marRight w:val="0"/>
          <w:marTop w:val="0"/>
          <w:marBottom w:val="0"/>
          <w:divBdr>
            <w:top w:val="none" w:sz="0" w:space="0" w:color="auto"/>
            <w:left w:val="none" w:sz="0" w:space="0" w:color="auto"/>
            <w:bottom w:val="none" w:sz="0" w:space="0" w:color="auto"/>
            <w:right w:val="none" w:sz="0" w:space="0" w:color="auto"/>
          </w:divBdr>
        </w:div>
      </w:divsChild>
    </w:div>
    <w:div w:id="274286716">
      <w:bodyDiv w:val="1"/>
      <w:marLeft w:val="0"/>
      <w:marRight w:val="0"/>
      <w:marTop w:val="0"/>
      <w:marBottom w:val="0"/>
      <w:divBdr>
        <w:top w:val="none" w:sz="0" w:space="0" w:color="auto"/>
        <w:left w:val="none" w:sz="0" w:space="0" w:color="auto"/>
        <w:bottom w:val="none" w:sz="0" w:space="0" w:color="auto"/>
        <w:right w:val="none" w:sz="0" w:space="0" w:color="auto"/>
      </w:divBdr>
    </w:div>
    <w:div w:id="281233048">
      <w:bodyDiv w:val="1"/>
      <w:marLeft w:val="0"/>
      <w:marRight w:val="0"/>
      <w:marTop w:val="0"/>
      <w:marBottom w:val="0"/>
      <w:divBdr>
        <w:top w:val="none" w:sz="0" w:space="0" w:color="auto"/>
        <w:left w:val="none" w:sz="0" w:space="0" w:color="auto"/>
        <w:bottom w:val="none" w:sz="0" w:space="0" w:color="auto"/>
        <w:right w:val="none" w:sz="0" w:space="0" w:color="auto"/>
      </w:divBdr>
    </w:div>
    <w:div w:id="285502908">
      <w:bodyDiv w:val="1"/>
      <w:marLeft w:val="0"/>
      <w:marRight w:val="0"/>
      <w:marTop w:val="0"/>
      <w:marBottom w:val="0"/>
      <w:divBdr>
        <w:top w:val="none" w:sz="0" w:space="0" w:color="auto"/>
        <w:left w:val="none" w:sz="0" w:space="0" w:color="auto"/>
        <w:bottom w:val="none" w:sz="0" w:space="0" w:color="auto"/>
        <w:right w:val="none" w:sz="0" w:space="0" w:color="auto"/>
      </w:divBdr>
    </w:div>
    <w:div w:id="288778854">
      <w:bodyDiv w:val="1"/>
      <w:marLeft w:val="0"/>
      <w:marRight w:val="0"/>
      <w:marTop w:val="0"/>
      <w:marBottom w:val="0"/>
      <w:divBdr>
        <w:top w:val="none" w:sz="0" w:space="0" w:color="auto"/>
        <w:left w:val="none" w:sz="0" w:space="0" w:color="auto"/>
        <w:bottom w:val="none" w:sz="0" w:space="0" w:color="auto"/>
        <w:right w:val="none" w:sz="0" w:space="0" w:color="auto"/>
      </w:divBdr>
    </w:div>
    <w:div w:id="290677456">
      <w:bodyDiv w:val="1"/>
      <w:marLeft w:val="0"/>
      <w:marRight w:val="0"/>
      <w:marTop w:val="0"/>
      <w:marBottom w:val="0"/>
      <w:divBdr>
        <w:top w:val="none" w:sz="0" w:space="0" w:color="auto"/>
        <w:left w:val="none" w:sz="0" w:space="0" w:color="auto"/>
        <w:bottom w:val="none" w:sz="0" w:space="0" w:color="auto"/>
        <w:right w:val="none" w:sz="0" w:space="0" w:color="auto"/>
      </w:divBdr>
    </w:div>
    <w:div w:id="291787016">
      <w:bodyDiv w:val="1"/>
      <w:marLeft w:val="0"/>
      <w:marRight w:val="0"/>
      <w:marTop w:val="0"/>
      <w:marBottom w:val="0"/>
      <w:divBdr>
        <w:top w:val="none" w:sz="0" w:space="0" w:color="auto"/>
        <w:left w:val="none" w:sz="0" w:space="0" w:color="auto"/>
        <w:bottom w:val="none" w:sz="0" w:space="0" w:color="auto"/>
        <w:right w:val="none" w:sz="0" w:space="0" w:color="auto"/>
      </w:divBdr>
      <w:divsChild>
        <w:div w:id="1757357393">
          <w:marLeft w:val="547"/>
          <w:marRight w:val="0"/>
          <w:marTop w:val="0"/>
          <w:marBottom w:val="0"/>
          <w:divBdr>
            <w:top w:val="none" w:sz="0" w:space="0" w:color="auto"/>
            <w:left w:val="none" w:sz="0" w:space="0" w:color="auto"/>
            <w:bottom w:val="none" w:sz="0" w:space="0" w:color="auto"/>
            <w:right w:val="none" w:sz="0" w:space="0" w:color="auto"/>
          </w:divBdr>
        </w:div>
        <w:div w:id="658459387">
          <w:marLeft w:val="547"/>
          <w:marRight w:val="0"/>
          <w:marTop w:val="0"/>
          <w:marBottom w:val="0"/>
          <w:divBdr>
            <w:top w:val="none" w:sz="0" w:space="0" w:color="auto"/>
            <w:left w:val="none" w:sz="0" w:space="0" w:color="auto"/>
            <w:bottom w:val="none" w:sz="0" w:space="0" w:color="auto"/>
            <w:right w:val="none" w:sz="0" w:space="0" w:color="auto"/>
          </w:divBdr>
        </w:div>
        <w:div w:id="1346595341">
          <w:marLeft w:val="547"/>
          <w:marRight w:val="0"/>
          <w:marTop w:val="0"/>
          <w:marBottom w:val="0"/>
          <w:divBdr>
            <w:top w:val="none" w:sz="0" w:space="0" w:color="auto"/>
            <w:left w:val="none" w:sz="0" w:space="0" w:color="auto"/>
            <w:bottom w:val="none" w:sz="0" w:space="0" w:color="auto"/>
            <w:right w:val="none" w:sz="0" w:space="0" w:color="auto"/>
          </w:divBdr>
        </w:div>
        <w:div w:id="304436734">
          <w:marLeft w:val="547"/>
          <w:marRight w:val="0"/>
          <w:marTop w:val="0"/>
          <w:marBottom w:val="0"/>
          <w:divBdr>
            <w:top w:val="none" w:sz="0" w:space="0" w:color="auto"/>
            <w:left w:val="none" w:sz="0" w:space="0" w:color="auto"/>
            <w:bottom w:val="none" w:sz="0" w:space="0" w:color="auto"/>
            <w:right w:val="none" w:sz="0" w:space="0" w:color="auto"/>
          </w:divBdr>
        </w:div>
      </w:divsChild>
    </w:div>
    <w:div w:id="305470850">
      <w:bodyDiv w:val="1"/>
      <w:marLeft w:val="0"/>
      <w:marRight w:val="0"/>
      <w:marTop w:val="0"/>
      <w:marBottom w:val="0"/>
      <w:divBdr>
        <w:top w:val="none" w:sz="0" w:space="0" w:color="auto"/>
        <w:left w:val="none" w:sz="0" w:space="0" w:color="auto"/>
        <w:bottom w:val="none" w:sz="0" w:space="0" w:color="auto"/>
        <w:right w:val="none" w:sz="0" w:space="0" w:color="auto"/>
      </w:divBdr>
    </w:div>
    <w:div w:id="306253099">
      <w:bodyDiv w:val="1"/>
      <w:marLeft w:val="0"/>
      <w:marRight w:val="0"/>
      <w:marTop w:val="0"/>
      <w:marBottom w:val="0"/>
      <w:divBdr>
        <w:top w:val="none" w:sz="0" w:space="0" w:color="auto"/>
        <w:left w:val="none" w:sz="0" w:space="0" w:color="auto"/>
        <w:bottom w:val="none" w:sz="0" w:space="0" w:color="auto"/>
        <w:right w:val="none" w:sz="0" w:space="0" w:color="auto"/>
      </w:divBdr>
    </w:div>
    <w:div w:id="306397906">
      <w:bodyDiv w:val="1"/>
      <w:marLeft w:val="0"/>
      <w:marRight w:val="0"/>
      <w:marTop w:val="0"/>
      <w:marBottom w:val="0"/>
      <w:divBdr>
        <w:top w:val="none" w:sz="0" w:space="0" w:color="auto"/>
        <w:left w:val="none" w:sz="0" w:space="0" w:color="auto"/>
        <w:bottom w:val="none" w:sz="0" w:space="0" w:color="auto"/>
        <w:right w:val="none" w:sz="0" w:space="0" w:color="auto"/>
      </w:divBdr>
    </w:div>
    <w:div w:id="316308372">
      <w:bodyDiv w:val="1"/>
      <w:marLeft w:val="0"/>
      <w:marRight w:val="0"/>
      <w:marTop w:val="0"/>
      <w:marBottom w:val="0"/>
      <w:divBdr>
        <w:top w:val="none" w:sz="0" w:space="0" w:color="auto"/>
        <w:left w:val="none" w:sz="0" w:space="0" w:color="auto"/>
        <w:bottom w:val="none" w:sz="0" w:space="0" w:color="auto"/>
        <w:right w:val="none" w:sz="0" w:space="0" w:color="auto"/>
      </w:divBdr>
      <w:divsChild>
        <w:div w:id="1245871630">
          <w:marLeft w:val="547"/>
          <w:marRight w:val="0"/>
          <w:marTop w:val="0"/>
          <w:marBottom w:val="0"/>
          <w:divBdr>
            <w:top w:val="none" w:sz="0" w:space="0" w:color="auto"/>
            <w:left w:val="none" w:sz="0" w:space="0" w:color="auto"/>
            <w:bottom w:val="none" w:sz="0" w:space="0" w:color="auto"/>
            <w:right w:val="none" w:sz="0" w:space="0" w:color="auto"/>
          </w:divBdr>
        </w:div>
      </w:divsChild>
    </w:div>
    <w:div w:id="318047065">
      <w:bodyDiv w:val="1"/>
      <w:marLeft w:val="0"/>
      <w:marRight w:val="0"/>
      <w:marTop w:val="0"/>
      <w:marBottom w:val="0"/>
      <w:divBdr>
        <w:top w:val="none" w:sz="0" w:space="0" w:color="auto"/>
        <w:left w:val="none" w:sz="0" w:space="0" w:color="auto"/>
        <w:bottom w:val="none" w:sz="0" w:space="0" w:color="auto"/>
        <w:right w:val="none" w:sz="0" w:space="0" w:color="auto"/>
      </w:divBdr>
      <w:divsChild>
        <w:div w:id="776026083">
          <w:marLeft w:val="0"/>
          <w:marRight w:val="0"/>
          <w:marTop w:val="0"/>
          <w:marBottom w:val="0"/>
          <w:divBdr>
            <w:top w:val="none" w:sz="0" w:space="0" w:color="auto"/>
            <w:left w:val="none" w:sz="0" w:space="0" w:color="auto"/>
            <w:bottom w:val="none" w:sz="0" w:space="0" w:color="auto"/>
            <w:right w:val="none" w:sz="0" w:space="0" w:color="auto"/>
          </w:divBdr>
          <w:divsChild>
            <w:div w:id="2138798373">
              <w:marLeft w:val="0"/>
              <w:marRight w:val="0"/>
              <w:marTop w:val="0"/>
              <w:marBottom w:val="0"/>
              <w:divBdr>
                <w:top w:val="none" w:sz="0" w:space="0" w:color="auto"/>
                <w:left w:val="none" w:sz="0" w:space="0" w:color="auto"/>
                <w:bottom w:val="none" w:sz="0" w:space="0" w:color="auto"/>
                <w:right w:val="none" w:sz="0" w:space="0" w:color="auto"/>
              </w:divBdr>
              <w:divsChild>
                <w:div w:id="1553038241">
                  <w:marLeft w:val="0"/>
                  <w:marRight w:val="0"/>
                  <w:marTop w:val="0"/>
                  <w:marBottom w:val="300"/>
                  <w:divBdr>
                    <w:top w:val="none" w:sz="0" w:space="0" w:color="auto"/>
                    <w:left w:val="none" w:sz="0" w:space="0" w:color="auto"/>
                    <w:bottom w:val="none" w:sz="0" w:space="0" w:color="auto"/>
                    <w:right w:val="none" w:sz="0" w:space="0" w:color="auto"/>
                  </w:divBdr>
                  <w:divsChild>
                    <w:div w:id="189800822">
                      <w:marLeft w:val="0"/>
                      <w:marRight w:val="0"/>
                      <w:marTop w:val="0"/>
                      <w:marBottom w:val="0"/>
                      <w:divBdr>
                        <w:top w:val="none" w:sz="0" w:space="0" w:color="auto"/>
                        <w:left w:val="none" w:sz="0" w:space="0" w:color="auto"/>
                        <w:bottom w:val="none" w:sz="0" w:space="0" w:color="auto"/>
                        <w:right w:val="none" w:sz="0" w:space="0" w:color="auto"/>
                      </w:divBdr>
                      <w:divsChild>
                        <w:div w:id="1506169849">
                          <w:marLeft w:val="0"/>
                          <w:marRight w:val="0"/>
                          <w:marTop w:val="0"/>
                          <w:marBottom w:val="0"/>
                          <w:divBdr>
                            <w:top w:val="none" w:sz="0" w:space="0" w:color="auto"/>
                            <w:left w:val="none" w:sz="0" w:space="0" w:color="auto"/>
                            <w:bottom w:val="none" w:sz="0" w:space="0" w:color="auto"/>
                            <w:right w:val="none" w:sz="0" w:space="0" w:color="auto"/>
                          </w:divBdr>
                        </w:div>
                        <w:div w:id="1655716764">
                          <w:marLeft w:val="0"/>
                          <w:marRight w:val="0"/>
                          <w:marTop w:val="0"/>
                          <w:marBottom w:val="150"/>
                          <w:divBdr>
                            <w:top w:val="none" w:sz="0" w:space="0" w:color="auto"/>
                            <w:left w:val="none" w:sz="0" w:space="0" w:color="auto"/>
                            <w:bottom w:val="single" w:sz="6" w:space="0" w:color="FFFFFF"/>
                            <w:right w:val="none" w:sz="0" w:space="0" w:color="auto"/>
                          </w:divBdr>
                        </w:div>
                      </w:divsChild>
                    </w:div>
                  </w:divsChild>
                </w:div>
              </w:divsChild>
            </w:div>
          </w:divsChild>
        </w:div>
        <w:div w:id="1840343944">
          <w:marLeft w:val="0"/>
          <w:marRight w:val="600"/>
          <w:marTop w:val="0"/>
          <w:marBottom w:val="0"/>
          <w:divBdr>
            <w:top w:val="none" w:sz="0" w:space="0" w:color="auto"/>
            <w:left w:val="none" w:sz="0" w:space="0" w:color="auto"/>
            <w:bottom w:val="none" w:sz="0" w:space="0" w:color="auto"/>
            <w:right w:val="none" w:sz="0" w:space="0" w:color="auto"/>
          </w:divBdr>
          <w:divsChild>
            <w:div w:id="1532181020">
              <w:marLeft w:val="0"/>
              <w:marRight w:val="0"/>
              <w:marTop w:val="0"/>
              <w:marBottom w:val="0"/>
              <w:divBdr>
                <w:top w:val="none" w:sz="0" w:space="0" w:color="auto"/>
                <w:left w:val="none" w:sz="0" w:space="0" w:color="auto"/>
                <w:bottom w:val="none" w:sz="0" w:space="0" w:color="auto"/>
                <w:right w:val="none" w:sz="0" w:space="0" w:color="auto"/>
              </w:divBdr>
              <w:divsChild>
                <w:div w:id="1764498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9431211">
      <w:bodyDiv w:val="1"/>
      <w:marLeft w:val="0"/>
      <w:marRight w:val="0"/>
      <w:marTop w:val="0"/>
      <w:marBottom w:val="0"/>
      <w:divBdr>
        <w:top w:val="none" w:sz="0" w:space="0" w:color="auto"/>
        <w:left w:val="none" w:sz="0" w:space="0" w:color="auto"/>
        <w:bottom w:val="none" w:sz="0" w:space="0" w:color="auto"/>
        <w:right w:val="none" w:sz="0" w:space="0" w:color="auto"/>
      </w:divBdr>
    </w:div>
    <w:div w:id="322392627">
      <w:bodyDiv w:val="1"/>
      <w:marLeft w:val="0"/>
      <w:marRight w:val="0"/>
      <w:marTop w:val="0"/>
      <w:marBottom w:val="0"/>
      <w:divBdr>
        <w:top w:val="none" w:sz="0" w:space="0" w:color="auto"/>
        <w:left w:val="none" w:sz="0" w:space="0" w:color="auto"/>
        <w:bottom w:val="none" w:sz="0" w:space="0" w:color="auto"/>
        <w:right w:val="none" w:sz="0" w:space="0" w:color="auto"/>
      </w:divBdr>
      <w:divsChild>
        <w:div w:id="99615193">
          <w:marLeft w:val="0"/>
          <w:marRight w:val="0"/>
          <w:marTop w:val="0"/>
          <w:marBottom w:val="0"/>
          <w:divBdr>
            <w:top w:val="none" w:sz="0" w:space="0" w:color="auto"/>
            <w:left w:val="none" w:sz="0" w:space="0" w:color="auto"/>
            <w:bottom w:val="none" w:sz="0" w:space="0" w:color="auto"/>
            <w:right w:val="none" w:sz="0" w:space="0" w:color="auto"/>
          </w:divBdr>
        </w:div>
        <w:div w:id="201868799">
          <w:marLeft w:val="0"/>
          <w:marRight w:val="0"/>
          <w:marTop w:val="0"/>
          <w:marBottom w:val="0"/>
          <w:divBdr>
            <w:top w:val="none" w:sz="0" w:space="0" w:color="auto"/>
            <w:left w:val="none" w:sz="0" w:space="0" w:color="auto"/>
            <w:bottom w:val="none" w:sz="0" w:space="0" w:color="auto"/>
            <w:right w:val="none" w:sz="0" w:space="0" w:color="auto"/>
          </w:divBdr>
        </w:div>
        <w:div w:id="461920769">
          <w:marLeft w:val="0"/>
          <w:marRight w:val="0"/>
          <w:marTop w:val="0"/>
          <w:marBottom w:val="0"/>
          <w:divBdr>
            <w:top w:val="none" w:sz="0" w:space="0" w:color="auto"/>
            <w:left w:val="none" w:sz="0" w:space="0" w:color="auto"/>
            <w:bottom w:val="none" w:sz="0" w:space="0" w:color="auto"/>
            <w:right w:val="none" w:sz="0" w:space="0" w:color="auto"/>
          </w:divBdr>
        </w:div>
        <w:div w:id="924533097">
          <w:marLeft w:val="0"/>
          <w:marRight w:val="0"/>
          <w:marTop w:val="0"/>
          <w:marBottom w:val="0"/>
          <w:divBdr>
            <w:top w:val="none" w:sz="0" w:space="0" w:color="auto"/>
            <w:left w:val="none" w:sz="0" w:space="0" w:color="auto"/>
            <w:bottom w:val="none" w:sz="0" w:space="0" w:color="auto"/>
            <w:right w:val="none" w:sz="0" w:space="0" w:color="auto"/>
          </w:divBdr>
        </w:div>
        <w:div w:id="1280144926">
          <w:marLeft w:val="0"/>
          <w:marRight w:val="0"/>
          <w:marTop w:val="0"/>
          <w:marBottom w:val="0"/>
          <w:divBdr>
            <w:top w:val="none" w:sz="0" w:space="0" w:color="auto"/>
            <w:left w:val="none" w:sz="0" w:space="0" w:color="auto"/>
            <w:bottom w:val="none" w:sz="0" w:space="0" w:color="auto"/>
            <w:right w:val="none" w:sz="0" w:space="0" w:color="auto"/>
          </w:divBdr>
        </w:div>
        <w:div w:id="1654946128">
          <w:marLeft w:val="0"/>
          <w:marRight w:val="0"/>
          <w:marTop w:val="0"/>
          <w:marBottom w:val="0"/>
          <w:divBdr>
            <w:top w:val="none" w:sz="0" w:space="0" w:color="auto"/>
            <w:left w:val="none" w:sz="0" w:space="0" w:color="auto"/>
            <w:bottom w:val="none" w:sz="0" w:space="0" w:color="auto"/>
            <w:right w:val="none" w:sz="0" w:space="0" w:color="auto"/>
          </w:divBdr>
        </w:div>
        <w:div w:id="1794135407">
          <w:marLeft w:val="0"/>
          <w:marRight w:val="0"/>
          <w:marTop w:val="0"/>
          <w:marBottom w:val="0"/>
          <w:divBdr>
            <w:top w:val="none" w:sz="0" w:space="0" w:color="auto"/>
            <w:left w:val="none" w:sz="0" w:space="0" w:color="auto"/>
            <w:bottom w:val="none" w:sz="0" w:space="0" w:color="auto"/>
            <w:right w:val="none" w:sz="0" w:space="0" w:color="auto"/>
          </w:divBdr>
        </w:div>
        <w:div w:id="1903055913">
          <w:marLeft w:val="0"/>
          <w:marRight w:val="0"/>
          <w:marTop w:val="0"/>
          <w:marBottom w:val="0"/>
          <w:divBdr>
            <w:top w:val="none" w:sz="0" w:space="0" w:color="auto"/>
            <w:left w:val="none" w:sz="0" w:space="0" w:color="auto"/>
            <w:bottom w:val="none" w:sz="0" w:space="0" w:color="auto"/>
            <w:right w:val="none" w:sz="0" w:space="0" w:color="auto"/>
          </w:divBdr>
        </w:div>
        <w:div w:id="1947956678">
          <w:marLeft w:val="0"/>
          <w:marRight w:val="0"/>
          <w:marTop w:val="0"/>
          <w:marBottom w:val="0"/>
          <w:divBdr>
            <w:top w:val="none" w:sz="0" w:space="0" w:color="auto"/>
            <w:left w:val="none" w:sz="0" w:space="0" w:color="auto"/>
            <w:bottom w:val="none" w:sz="0" w:space="0" w:color="auto"/>
            <w:right w:val="none" w:sz="0" w:space="0" w:color="auto"/>
          </w:divBdr>
        </w:div>
        <w:div w:id="2135980387">
          <w:marLeft w:val="0"/>
          <w:marRight w:val="0"/>
          <w:marTop w:val="0"/>
          <w:marBottom w:val="0"/>
          <w:divBdr>
            <w:top w:val="none" w:sz="0" w:space="0" w:color="auto"/>
            <w:left w:val="none" w:sz="0" w:space="0" w:color="auto"/>
            <w:bottom w:val="none" w:sz="0" w:space="0" w:color="auto"/>
            <w:right w:val="none" w:sz="0" w:space="0" w:color="auto"/>
          </w:divBdr>
        </w:div>
      </w:divsChild>
    </w:div>
    <w:div w:id="324666709">
      <w:bodyDiv w:val="1"/>
      <w:marLeft w:val="0"/>
      <w:marRight w:val="0"/>
      <w:marTop w:val="0"/>
      <w:marBottom w:val="0"/>
      <w:divBdr>
        <w:top w:val="none" w:sz="0" w:space="0" w:color="auto"/>
        <w:left w:val="none" w:sz="0" w:space="0" w:color="auto"/>
        <w:bottom w:val="none" w:sz="0" w:space="0" w:color="auto"/>
        <w:right w:val="none" w:sz="0" w:space="0" w:color="auto"/>
      </w:divBdr>
    </w:div>
    <w:div w:id="329218317">
      <w:bodyDiv w:val="1"/>
      <w:marLeft w:val="0"/>
      <w:marRight w:val="0"/>
      <w:marTop w:val="0"/>
      <w:marBottom w:val="0"/>
      <w:divBdr>
        <w:top w:val="none" w:sz="0" w:space="0" w:color="auto"/>
        <w:left w:val="none" w:sz="0" w:space="0" w:color="auto"/>
        <w:bottom w:val="none" w:sz="0" w:space="0" w:color="auto"/>
        <w:right w:val="none" w:sz="0" w:space="0" w:color="auto"/>
      </w:divBdr>
    </w:div>
    <w:div w:id="333533297">
      <w:bodyDiv w:val="1"/>
      <w:marLeft w:val="0"/>
      <w:marRight w:val="0"/>
      <w:marTop w:val="0"/>
      <w:marBottom w:val="0"/>
      <w:divBdr>
        <w:top w:val="none" w:sz="0" w:space="0" w:color="auto"/>
        <w:left w:val="none" w:sz="0" w:space="0" w:color="auto"/>
        <w:bottom w:val="none" w:sz="0" w:space="0" w:color="auto"/>
        <w:right w:val="none" w:sz="0" w:space="0" w:color="auto"/>
      </w:divBdr>
    </w:div>
    <w:div w:id="337195990">
      <w:bodyDiv w:val="1"/>
      <w:marLeft w:val="0"/>
      <w:marRight w:val="0"/>
      <w:marTop w:val="0"/>
      <w:marBottom w:val="0"/>
      <w:divBdr>
        <w:top w:val="none" w:sz="0" w:space="0" w:color="auto"/>
        <w:left w:val="none" w:sz="0" w:space="0" w:color="auto"/>
        <w:bottom w:val="none" w:sz="0" w:space="0" w:color="auto"/>
        <w:right w:val="none" w:sz="0" w:space="0" w:color="auto"/>
      </w:divBdr>
    </w:div>
    <w:div w:id="339740565">
      <w:bodyDiv w:val="1"/>
      <w:marLeft w:val="0"/>
      <w:marRight w:val="0"/>
      <w:marTop w:val="0"/>
      <w:marBottom w:val="0"/>
      <w:divBdr>
        <w:top w:val="none" w:sz="0" w:space="0" w:color="auto"/>
        <w:left w:val="none" w:sz="0" w:space="0" w:color="auto"/>
        <w:bottom w:val="none" w:sz="0" w:space="0" w:color="auto"/>
        <w:right w:val="none" w:sz="0" w:space="0" w:color="auto"/>
      </w:divBdr>
    </w:div>
    <w:div w:id="343091034">
      <w:bodyDiv w:val="1"/>
      <w:marLeft w:val="0"/>
      <w:marRight w:val="0"/>
      <w:marTop w:val="0"/>
      <w:marBottom w:val="0"/>
      <w:divBdr>
        <w:top w:val="none" w:sz="0" w:space="0" w:color="auto"/>
        <w:left w:val="none" w:sz="0" w:space="0" w:color="auto"/>
        <w:bottom w:val="none" w:sz="0" w:space="0" w:color="auto"/>
        <w:right w:val="none" w:sz="0" w:space="0" w:color="auto"/>
      </w:divBdr>
    </w:div>
    <w:div w:id="344014261">
      <w:bodyDiv w:val="1"/>
      <w:marLeft w:val="0"/>
      <w:marRight w:val="0"/>
      <w:marTop w:val="0"/>
      <w:marBottom w:val="0"/>
      <w:divBdr>
        <w:top w:val="none" w:sz="0" w:space="0" w:color="auto"/>
        <w:left w:val="none" w:sz="0" w:space="0" w:color="auto"/>
        <w:bottom w:val="none" w:sz="0" w:space="0" w:color="auto"/>
        <w:right w:val="none" w:sz="0" w:space="0" w:color="auto"/>
      </w:divBdr>
    </w:div>
    <w:div w:id="349374082">
      <w:bodyDiv w:val="1"/>
      <w:marLeft w:val="0"/>
      <w:marRight w:val="0"/>
      <w:marTop w:val="0"/>
      <w:marBottom w:val="0"/>
      <w:divBdr>
        <w:top w:val="none" w:sz="0" w:space="0" w:color="auto"/>
        <w:left w:val="none" w:sz="0" w:space="0" w:color="auto"/>
        <w:bottom w:val="none" w:sz="0" w:space="0" w:color="auto"/>
        <w:right w:val="none" w:sz="0" w:space="0" w:color="auto"/>
      </w:divBdr>
    </w:div>
    <w:div w:id="349451439">
      <w:bodyDiv w:val="1"/>
      <w:marLeft w:val="0"/>
      <w:marRight w:val="0"/>
      <w:marTop w:val="0"/>
      <w:marBottom w:val="0"/>
      <w:divBdr>
        <w:top w:val="none" w:sz="0" w:space="0" w:color="auto"/>
        <w:left w:val="none" w:sz="0" w:space="0" w:color="auto"/>
        <w:bottom w:val="none" w:sz="0" w:space="0" w:color="auto"/>
        <w:right w:val="none" w:sz="0" w:space="0" w:color="auto"/>
      </w:divBdr>
      <w:divsChild>
        <w:div w:id="1237668118">
          <w:marLeft w:val="0"/>
          <w:marRight w:val="0"/>
          <w:marTop w:val="0"/>
          <w:marBottom w:val="0"/>
          <w:divBdr>
            <w:top w:val="none" w:sz="0" w:space="0" w:color="auto"/>
            <w:left w:val="none" w:sz="0" w:space="0" w:color="auto"/>
            <w:bottom w:val="none" w:sz="0" w:space="0" w:color="auto"/>
            <w:right w:val="none" w:sz="0" w:space="0" w:color="auto"/>
          </w:divBdr>
        </w:div>
        <w:div w:id="1712877269">
          <w:marLeft w:val="0"/>
          <w:marRight w:val="0"/>
          <w:marTop w:val="0"/>
          <w:marBottom w:val="0"/>
          <w:divBdr>
            <w:top w:val="none" w:sz="0" w:space="0" w:color="auto"/>
            <w:left w:val="none" w:sz="0" w:space="0" w:color="auto"/>
            <w:bottom w:val="none" w:sz="0" w:space="0" w:color="auto"/>
            <w:right w:val="none" w:sz="0" w:space="0" w:color="auto"/>
          </w:divBdr>
        </w:div>
      </w:divsChild>
    </w:div>
    <w:div w:id="350570199">
      <w:bodyDiv w:val="1"/>
      <w:marLeft w:val="0"/>
      <w:marRight w:val="0"/>
      <w:marTop w:val="0"/>
      <w:marBottom w:val="0"/>
      <w:divBdr>
        <w:top w:val="none" w:sz="0" w:space="0" w:color="auto"/>
        <w:left w:val="none" w:sz="0" w:space="0" w:color="auto"/>
        <w:bottom w:val="none" w:sz="0" w:space="0" w:color="auto"/>
        <w:right w:val="none" w:sz="0" w:space="0" w:color="auto"/>
      </w:divBdr>
    </w:div>
    <w:div w:id="355009385">
      <w:bodyDiv w:val="1"/>
      <w:marLeft w:val="0"/>
      <w:marRight w:val="0"/>
      <w:marTop w:val="0"/>
      <w:marBottom w:val="0"/>
      <w:divBdr>
        <w:top w:val="none" w:sz="0" w:space="0" w:color="auto"/>
        <w:left w:val="none" w:sz="0" w:space="0" w:color="auto"/>
        <w:bottom w:val="none" w:sz="0" w:space="0" w:color="auto"/>
        <w:right w:val="none" w:sz="0" w:space="0" w:color="auto"/>
      </w:divBdr>
    </w:div>
    <w:div w:id="362291890">
      <w:bodyDiv w:val="1"/>
      <w:marLeft w:val="0"/>
      <w:marRight w:val="0"/>
      <w:marTop w:val="0"/>
      <w:marBottom w:val="0"/>
      <w:divBdr>
        <w:top w:val="none" w:sz="0" w:space="0" w:color="auto"/>
        <w:left w:val="none" w:sz="0" w:space="0" w:color="auto"/>
        <w:bottom w:val="none" w:sz="0" w:space="0" w:color="auto"/>
        <w:right w:val="none" w:sz="0" w:space="0" w:color="auto"/>
      </w:divBdr>
    </w:div>
    <w:div w:id="364135139">
      <w:bodyDiv w:val="1"/>
      <w:marLeft w:val="0"/>
      <w:marRight w:val="0"/>
      <w:marTop w:val="0"/>
      <w:marBottom w:val="0"/>
      <w:divBdr>
        <w:top w:val="none" w:sz="0" w:space="0" w:color="auto"/>
        <w:left w:val="none" w:sz="0" w:space="0" w:color="auto"/>
        <w:bottom w:val="none" w:sz="0" w:space="0" w:color="auto"/>
        <w:right w:val="none" w:sz="0" w:space="0" w:color="auto"/>
      </w:divBdr>
    </w:div>
    <w:div w:id="365259496">
      <w:bodyDiv w:val="1"/>
      <w:marLeft w:val="0"/>
      <w:marRight w:val="0"/>
      <w:marTop w:val="0"/>
      <w:marBottom w:val="0"/>
      <w:divBdr>
        <w:top w:val="none" w:sz="0" w:space="0" w:color="auto"/>
        <w:left w:val="none" w:sz="0" w:space="0" w:color="auto"/>
        <w:bottom w:val="none" w:sz="0" w:space="0" w:color="auto"/>
        <w:right w:val="none" w:sz="0" w:space="0" w:color="auto"/>
      </w:divBdr>
    </w:div>
    <w:div w:id="372581755">
      <w:bodyDiv w:val="1"/>
      <w:marLeft w:val="0"/>
      <w:marRight w:val="0"/>
      <w:marTop w:val="0"/>
      <w:marBottom w:val="0"/>
      <w:divBdr>
        <w:top w:val="none" w:sz="0" w:space="0" w:color="auto"/>
        <w:left w:val="none" w:sz="0" w:space="0" w:color="auto"/>
        <w:bottom w:val="none" w:sz="0" w:space="0" w:color="auto"/>
        <w:right w:val="none" w:sz="0" w:space="0" w:color="auto"/>
      </w:divBdr>
      <w:divsChild>
        <w:div w:id="960454729">
          <w:marLeft w:val="0"/>
          <w:marRight w:val="0"/>
          <w:marTop w:val="0"/>
          <w:marBottom w:val="255"/>
          <w:divBdr>
            <w:top w:val="none" w:sz="0" w:space="0" w:color="auto"/>
            <w:left w:val="none" w:sz="0" w:space="0" w:color="auto"/>
            <w:bottom w:val="none" w:sz="0" w:space="0" w:color="auto"/>
            <w:right w:val="none" w:sz="0" w:space="0" w:color="auto"/>
          </w:divBdr>
        </w:div>
        <w:div w:id="1674070045">
          <w:marLeft w:val="0"/>
          <w:marRight w:val="0"/>
          <w:marTop w:val="0"/>
          <w:marBottom w:val="0"/>
          <w:divBdr>
            <w:top w:val="none" w:sz="0" w:space="0" w:color="auto"/>
            <w:left w:val="none" w:sz="0" w:space="0" w:color="auto"/>
            <w:bottom w:val="none" w:sz="0" w:space="0" w:color="auto"/>
            <w:right w:val="none" w:sz="0" w:space="0" w:color="auto"/>
          </w:divBdr>
        </w:div>
      </w:divsChild>
    </w:div>
    <w:div w:id="377360360">
      <w:bodyDiv w:val="1"/>
      <w:marLeft w:val="0"/>
      <w:marRight w:val="0"/>
      <w:marTop w:val="0"/>
      <w:marBottom w:val="0"/>
      <w:divBdr>
        <w:top w:val="none" w:sz="0" w:space="0" w:color="auto"/>
        <w:left w:val="none" w:sz="0" w:space="0" w:color="auto"/>
        <w:bottom w:val="none" w:sz="0" w:space="0" w:color="auto"/>
        <w:right w:val="none" w:sz="0" w:space="0" w:color="auto"/>
      </w:divBdr>
    </w:div>
    <w:div w:id="378668841">
      <w:bodyDiv w:val="1"/>
      <w:marLeft w:val="0"/>
      <w:marRight w:val="0"/>
      <w:marTop w:val="0"/>
      <w:marBottom w:val="0"/>
      <w:divBdr>
        <w:top w:val="none" w:sz="0" w:space="0" w:color="auto"/>
        <w:left w:val="none" w:sz="0" w:space="0" w:color="auto"/>
        <w:bottom w:val="none" w:sz="0" w:space="0" w:color="auto"/>
        <w:right w:val="none" w:sz="0" w:space="0" w:color="auto"/>
      </w:divBdr>
      <w:divsChild>
        <w:div w:id="1107310099">
          <w:marLeft w:val="547"/>
          <w:marRight w:val="0"/>
          <w:marTop w:val="72"/>
          <w:marBottom w:val="0"/>
          <w:divBdr>
            <w:top w:val="none" w:sz="0" w:space="0" w:color="auto"/>
            <w:left w:val="none" w:sz="0" w:space="0" w:color="auto"/>
            <w:bottom w:val="none" w:sz="0" w:space="0" w:color="auto"/>
            <w:right w:val="none" w:sz="0" w:space="0" w:color="auto"/>
          </w:divBdr>
        </w:div>
      </w:divsChild>
    </w:div>
    <w:div w:id="384258522">
      <w:bodyDiv w:val="1"/>
      <w:marLeft w:val="0"/>
      <w:marRight w:val="0"/>
      <w:marTop w:val="0"/>
      <w:marBottom w:val="0"/>
      <w:divBdr>
        <w:top w:val="none" w:sz="0" w:space="0" w:color="auto"/>
        <w:left w:val="none" w:sz="0" w:space="0" w:color="auto"/>
        <w:bottom w:val="none" w:sz="0" w:space="0" w:color="auto"/>
        <w:right w:val="none" w:sz="0" w:space="0" w:color="auto"/>
      </w:divBdr>
    </w:div>
    <w:div w:id="384262562">
      <w:bodyDiv w:val="1"/>
      <w:marLeft w:val="0"/>
      <w:marRight w:val="0"/>
      <w:marTop w:val="0"/>
      <w:marBottom w:val="0"/>
      <w:divBdr>
        <w:top w:val="none" w:sz="0" w:space="0" w:color="auto"/>
        <w:left w:val="none" w:sz="0" w:space="0" w:color="auto"/>
        <w:bottom w:val="none" w:sz="0" w:space="0" w:color="auto"/>
        <w:right w:val="none" w:sz="0" w:space="0" w:color="auto"/>
      </w:divBdr>
    </w:div>
    <w:div w:id="385954511">
      <w:bodyDiv w:val="1"/>
      <w:marLeft w:val="0"/>
      <w:marRight w:val="0"/>
      <w:marTop w:val="0"/>
      <w:marBottom w:val="0"/>
      <w:divBdr>
        <w:top w:val="none" w:sz="0" w:space="0" w:color="auto"/>
        <w:left w:val="none" w:sz="0" w:space="0" w:color="auto"/>
        <w:bottom w:val="none" w:sz="0" w:space="0" w:color="auto"/>
        <w:right w:val="none" w:sz="0" w:space="0" w:color="auto"/>
      </w:divBdr>
    </w:div>
    <w:div w:id="387919780">
      <w:bodyDiv w:val="1"/>
      <w:marLeft w:val="0"/>
      <w:marRight w:val="0"/>
      <w:marTop w:val="0"/>
      <w:marBottom w:val="0"/>
      <w:divBdr>
        <w:top w:val="none" w:sz="0" w:space="0" w:color="auto"/>
        <w:left w:val="none" w:sz="0" w:space="0" w:color="auto"/>
        <w:bottom w:val="none" w:sz="0" w:space="0" w:color="auto"/>
        <w:right w:val="none" w:sz="0" w:space="0" w:color="auto"/>
      </w:divBdr>
      <w:divsChild>
        <w:div w:id="1714845817">
          <w:marLeft w:val="0"/>
          <w:marRight w:val="0"/>
          <w:marTop w:val="0"/>
          <w:marBottom w:val="225"/>
          <w:divBdr>
            <w:top w:val="none" w:sz="0" w:space="0" w:color="auto"/>
            <w:left w:val="none" w:sz="0" w:space="0" w:color="auto"/>
            <w:bottom w:val="none" w:sz="0" w:space="0" w:color="auto"/>
            <w:right w:val="none" w:sz="0" w:space="0" w:color="auto"/>
          </w:divBdr>
        </w:div>
        <w:div w:id="1947737004">
          <w:marLeft w:val="0"/>
          <w:marRight w:val="0"/>
          <w:marTop w:val="0"/>
          <w:marBottom w:val="225"/>
          <w:divBdr>
            <w:top w:val="none" w:sz="0" w:space="0" w:color="auto"/>
            <w:left w:val="none" w:sz="0" w:space="0" w:color="auto"/>
            <w:bottom w:val="none" w:sz="0" w:space="0" w:color="auto"/>
            <w:right w:val="none" w:sz="0" w:space="0" w:color="auto"/>
          </w:divBdr>
        </w:div>
      </w:divsChild>
    </w:div>
    <w:div w:id="388966211">
      <w:bodyDiv w:val="1"/>
      <w:marLeft w:val="0"/>
      <w:marRight w:val="0"/>
      <w:marTop w:val="0"/>
      <w:marBottom w:val="0"/>
      <w:divBdr>
        <w:top w:val="none" w:sz="0" w:space="0" w:color="auto"/>
        <w:left w:val="none" w:sz="0" w:space="0" w:color="auto"/>
        <w:bottom w:val="none" w:sz="0" w:space="0" w:color="auto"/>
        <w:right w:val="none" w:sz="0" w:space="0" w:color="auto"/>
      </w:divBdr>
    </w:div>
    <w:div w:id="390006697">
      <w:bodyDiv w:val="1"/>
      <w:marLeft w:val="0"/>
      <w:marRight w:val="0"/>
      <w:marTop w:val="0"/>
      <w:marBottom w:val="0"/>
      <w:divBdr>
        <w:top w:val="none" w:sz="0" w:space="0" w:color="auto"/>
        <w:left w:val="none" w:sz="0" w:space="0" w:color="auto"/>
        <w:bottom w:val="none" w:sz="0" w:space="0" w:color="auto"/>
        <w:right w:val="none" w:sz="0" w:space="0" w:color="auto"/>
      </w:divBdr>
    </w:div>
    <w:div w:id="392194207">
      <w:bodyDiv w:val="1"/>
      <w:marLeft w:val="0"/>
      <w:marRight w:val="0"/>
      <w:marTop w:val="0"/>
      <w:marBottom w:val="0"/>
      <w:divBdr>
        <w:top w:val="none" w:sz="0" w:space="0" w:color="auto"/>
        <w:left w:val="none" w:sz="0" w:space="0" w:color="auto"/>
        <w:bottom w:val="none" w:sz="0" w:space="0" w:color="auto"/>
        <w:right w:val="none" w:sz="0" w:space="0" w:color="auto"/>
      </w:divBdr>
    </w:div>
    <w:div w:id="394745209">
      <w:bodyDiv w:val="1"/>
      <w:marLeft w:val="0"/>
      <w:marRight w:val="0"/>
      <w:marTop w:val="0"/>
      <w:marBottom w:val="0"/>
      <w:divBdr>
        <w:top w:val="none" w:sz="0" w:space="0" w:color="auto"/>
        <w:left w:val="none" w:sz="0" w:space="0" w:color="auto"/>
        <w:bottom w:val="none" w:sz="0" w:space="0" w:color="auto"/>
        <w:right w:val="none" w:sz="0" w:space="0" w:color="auto"/>
      </w:divBdr>
    </w:div>
    <w:div w:id="396899005">
      <w:bodyDiv w:val="1"/>
      <w:marLeft w:val="0"/>
      <w:marRight w:val="0"/>
      <w:marTop w:val="0"/>
      <w:marBottom w:val="0"/>
      <w:divBdr>
        <w:top w:val="none" w:sz="0" w:space="0" w:color="auto"/>
        <w:left w:val="none" w:sz="0" w:space="0" w:color="auto"/>
        <w:bottom w:val="none" w:sz="0" w:space="0" w:color="auto"/>
        <w:right w:val="none" w:sz="0" w:space="0" w:color="auto"/>
      </w:divBdr>
    </w:div>
    <w:div w:id="398942111">
      <w:bodyDiv w:val="1"/>
      <w:marLeft w:val="0"/>
      <w:marRight w:val="0"/>
      <w:marTop w:val="0"/>
      <w:marBottom w:val="0"/>
      <w:divBdr>
        <w:top w:val="none" w:sz="0" w:space="0" w:color="auto"/>
        <w:left w:val="none" w:sz="0" w:space="0" w:color="auto"/>
        <w:bottom w:val="none" w:sz="0" w:space="0" w:color="auto"/>
        <w:right w:val="none" w:sz="0" w:space="0" w:color="auto"/>
      </w:divBdr>
    </w:div>
    <w:div w:id="400950329">
      <w:bodyDiv w:val="1"/>
      <w:marLeft w:val="0"/>
      <w:marRight w:val="0"/>
      <w:marTop w:val="0"/>
      <w:marBottom w:val="0"/>
      <w:divBdr>
        <w:top w:val="none" w:sz="0" w:space="0" w:color="auto"/>
        <w:left w:val="none" w:sz="0" w:space="0" w:color="auto"/>
        <w:bottom w:val="none" w:sz="0" w:space="0" w:color="auto"/>
        <w:right w:val="none" w:sz="0" w:space="0" w:color="auto"/>
      </w:divBdr>
    </w:div>
    <w:div w:id="405417532">
      <w:bodyDiv w:val="1"/>
      <w:marLeft w:val="0"/>
      <w:marRight w:val="0"/>
      <w:marTop w:val="0"/>
      <w:marBottom w:val="0"/>
      <w:divBdr>
        <w:top w:val="none" w:sz="0" w:space="0" w:color="auto"/>
        <w:left w:val="none" w:sz="0" w:space="0" w:color="auto"/>
        <w:bottom w:val="none" w:sz="0" w:space="0" w:color="auto"/>
        <w:right w:val="none" w:sz="0" w:space="0" w:color="auto"/>
      </w:divBdr>
      <w:divsChild>
        <w:div w:id="1808814797">
          <w:marLeft w:val="0"/>
          <w:marRight w:val="0"/>
          <w:marTop w:val="0"/>
          <w:marBottom w:val="0"/>
          <w:divBdr>
            <w:top w:val="none" w:sz="0" w:space="0" w:color="auto"/>
            <w:left w:val="none" w:sz="0" w:space="0" w:color="auto"/>
            <w:bottom w:val="none" w:sz="0" w:space="0" w:color="auto"/>
            <w:right w:val="none" w:sz="0" w:space="0" w:color="auto"/>
          </w:divBdr>
        </w:div>
      </w:divsChild>
    </w:div>
    <w:div w:id="409930268">
      <w:bodyDiv w:val="1"/>
      <w:marLeft w:val="0"/>
      <w:marRight w:val="0"/>
      <w:marTop w:val="0"/>
      <w:marBottom w:val="0"/>
      <w:divBdr>
        <w:top w:val="none" w:sz="0" w:space="0" w:color="auto"/>
        <w:left w:val="none" w:sz="0" w:space="0" w:color="auto"/>
        <w:bottom w:val="none" w:sz="0" w:space="0" w:color="auto"/>
        <w:right w:val="none" w:sz="0" w:space="0" w:color="auto"/>
      </w:divBdr>
    </w:div>
    <w:div w:id="412169786">
      <w:bodyDiv w:val="1"/>
      <w:marLeft w:val="0"/>
      <w:marRight w:val="0"/>
      <w:marTop w:val="0"/>
      <w:marBottom w:val="0"/>
      <w:divBdr>
        <w:top w:val="none" w:sz="0" w:space="0" w:color="auto"/>
        <w:left w:val="none" w:sz="0" w:space="0" w:color="auto"/>
        <w:bottom w:val="none" w:sz="0" w:space="0" w:color="auto"/>
        <w:right w:val="none" w:sz="0" w:space="0" w:color="auto"/>
      </w:divBdr>
    </w:div>
    <w:div w:id="421031681">
      <w:bodyDiv w:val="1"/>
      <w:marLeft w:val="0"/>
      <w:marRight w:val="0"/>
      <w:marTop w:val="0"/>
      <w:marBottom w:val="0"/>
      <w:divBdr>
        <w:top w:val="none" w:sz="0" w:space="0" w:color="auto"/>
        <w:left w:val="none" w:sz="0" w:space="0" w:color="auto"/>
        <w:bottom w:val="none" w:sz="0" w:space="0" w:color="auto"/>
        <w:right w:val="none" w:sz="0" w:space="0" w:color="auto"/>
      </w:divBdr>
    </w:div>
    <w:div w:id="428935149">
      <w:bodyDiv w:val="1"/>
      <w:marLeft w:val="0"/>
      <w:marRight w:val="0"/>
      <w:marTop w:val="0"/>
      <w:marBottom w:val="0"/>
      <w:divBdr>
        <w:top w:val="none" w:sz="0" w:space="0" w:color="auto"/>
        <w:left w:val="none" w:sz="0" w:space="0" w:color="auto"/>
        <w:bottom w:val="none" w:sz="0" w:space="0" w:color="auto"/>
        <w:right w:val="none" w:sz="0" w:space="0" w:color="auto"/>
      </w:divBdr>
    </w:div>
    <w:div w:id="431318003">
      <w:bodyDiv w:val="1"/>
      <w:marLeft w:val="0"/>
      <w:marRight w:val="0"/>
      <w:marTop w:val="0"/>
      <w:marBottom w:val="0"/>
      <w:divBdr>
        <w:top w:val="none" w:sz="0" w:space="0" w:color="auto"/>
        <w:left w:val="none" w:sz="0" w:space="0" w:color="auto"/>
        <w:bottom w:val="none" w:sz="0" w:space="0" w:color="auto"/>
        <w:right w:val="none" w:sz="0" w:space="0" w:color="auto"/>
      </w:divBdr>
    </w:div>
    <w:div w:id="435298067">
      <w:bodyDiv w:val="1"/>
      <w:marLeft w:val="0"/>
      <w:marRight w:val="0"/>
      <w:marTop w:val="0"/>
      <w:marBottom w:val="0"/>
      <w:divBdr>
        <w:top w:val="none" w:sz="0" w:space="0" w:color="auto"/>
        <w:left w:val="none" w:sz="0" w:space="0" w:color="auto"/>
        <w:bottom w:val="none" w:sz="0" w:space="0" w:color="auto"/>
        <w:right w:val="none" w:sz="0" w:space="0" w:color="auto"/>
      </w:divBdr>
    </w:div>
    <w:div w:id="439377960">
      <w:bodyDiv w:val="1"/>
      <w:marLeft w:val="0"/>
      <w:marRight w:val="0"/>
      <w:marTop w:val="0"/>
      <w:marBottom w:val="0"/>
      <w:divBdr>
        <w:top w:val="none" w:sz="0" w:space="0" w:color="auto"/>
        <w:left w:val="none" w:sz="0" w:space="0" w:color="auto"/>
        <w:bottom w:val="none" w:sz="0" w:space="0" w:color="auto"/>
        <w:right w:val="none" w:sz="0" w:space="0" w:color="auto"/>
      </w:divBdr>
    </w:div>
    <w:div w:id="442647890">
      <w:bodyDiv w:val="1"/>
      <w:marLeft w:val="0"/>
      <w:marRight w:val="0"/>
      <w:marTop w:val="0"/>
      <w:marBottom w:val="0"/>
      <w:divBdr>
        <w:top w:val="none" w:sz="0" w:space="0" w:color="auto"/>
        <w:left w:val="none" w:sz="0" w:space="0" w:color="auto"/>
        <w:bottom w:val="none" w:sz="0" w:space="0" w:color="auto"/>
        <w:right w:val="none" w:sz="0" w:space="0" w:color="auto"/>
      </w:divBdr>
    </w:div>
    <w:div w:id="443771253">
      <w:bodyDiv w:val="1"/>
      <w:marLeft w:val="0"/>
      <w:marRight w:val="0"/>
      <w:marTop w:val="0"/>
      <w:marBottom w:val="0"/>
      <w:divBdr>
        <w:top w:val="none" w:sz="0" w:space="0" w:color="auto"/>
        <w:left w:val="none" w:sz="0" w:space="0" w:color="auto"/>
        <w:bottom w:val="none" w:sz="0" w:space="0" w:color="auto"/>
        <w:right w:val="none" w:sz="0" w:space="0" w:color="auto"/>
      </w:divBdr>
      <w:divsChild>
        <w:div w:id="1687051924">
          <w:marLeft w:val="0"/>
          <w:marRight w:val="0"/>
          <w:marTop w:val="0"/>
          <w:marBottom w:val="225"/>
          <w:divBdr>
            <w:top w:val="none" w:sz="0" w:space="0" w:color="auto"/>
            <w:left w:val="none" w:sz="0" w:space="0" w:color="auto"/>
            <w:bottom w:val="none" w:sz="0" w:space="0" w:color="auto"/>
            <w:right w:val="none" w:sz="0" w:space="0" w:color="auto"/>
          </w:divBdr>
        </w:div>
        <w:div w:id="2087453763">
          <w:marLeft w:val="0"/>
          <w:marRight w:val="0"/>
          <w:marTop w:val="0"/>
          <w:marBottom w:val="225"/>
          <w:divBdr>
            <w:top w:val="none" w:sz="0" w:space="0" w:color="auto"/>
            <w:left w:val="none" w:sz="0" w:space="0" w:color="auto"/>
            <w:bottom w:val="none" w:sz="0" w:space="0" w:color="auto"/>
            <w:right w:val="none" w:sz="0" w:space="0" w:color="auto"/>
          </w:divBdr>
        </w:div>
      </w:divsChild>
    </w:div>
    <w:div w:id="448742185">
      <w:bodyDiv w:val="1"/>
      <w:marLeft w:val="0"/>
      <w:marRight w:val="0"/>
      <w:marTop w:val="0"/>
      <w:marBottom w:val="0"/>
      <w:divBdr>
        <w:top w:val="none" w:sz="0" w:space="0" w:color="auto"/>
        <w:left w:val="none" w:sz="0" w:space="0" w:color="auto"/>
        <w:bottom w:val="none" w:sz="0" w:space="0" w:color="auto"/>
        <w:right w:val="none" w:sz="0" w:space="0" w:color="auto"/>
      </w:divBdr>
      <w:divsChild>
        <w:div w:id="71245400">
          <w:marLeft w:val="547"/>
          <w:marRight w:val="0"/>
          <w:marTop w:val="0"/>
          <w:marBottom w:val="0"/>
          <w:divBdr>
            <w:top w:val="none" w:sz="0" w:space="0" w:color="auto"/>
            <w:left w:val="none" w:sz="0" w:space="0" w:color="auto"/>
            <w:bottom w:val="none" w:sz="0" w:space="0" w:color="auto"/>
            <w:right w:val="none" w:sz="0" w:space="0" w:color="auto"/>
          </w:divBdr>
        </w:div>
        <w:div w:id="838689903">
          <w:marLeft w:val="547"/>
          <w:marRight w:val="0"/>
          <w:marTop w:val="0"/>
          <w:marBottom w:val="0"/>
          <w:divBdr>
            <w:top w:val="none" w:sz="0" w:space="0" w:color="auto"/>
            <w:left w:val="none" w:sz="0" w:space="0" w:color="auto"/>
            <w:bottom w:val="none" w:sz="0" w:space="0" w:color="auto"/>
            <w:right w:val="none" w:sz="0" w:space="0" w:color="auto"/>
          </w:divBdr>
        </w:div>
      </w:divsChild>
    </w:div>
    <w:div w:id="450445144">
      <w:bodyDiv w:val="1"/>
      <w:marLeft w:val="0"/>
      <w:marRight w:val="0"/>
      <w:marTop w:val="0"/>
      <w:marBottom w:val="0"/>
      <w:divBdr>
        <w:top w:val="none" w:sz="0" w:space="0" w:color="auto"/>
        <w:left w:val="none" w:sz="0" w:space="0" w:color="auto"/>
        <w:bottom w:val="none" w:sz="0" w:space="0" w:color="auto"/>
        <w:right w:val="none" w:sz="0" w:space="0" w:color="auto"/>
      </w:divBdr>
    </w:div>
    <w:div w:id="451555698">
      <w:bodyDiv w:val="1"/>
      <w:marLeft w:val="0"/>
      <w:marRight w:val="0"/>
      <w:marTop w:val="0"/>
      <w:marBottom w:val="0"/>
      <w:divBdr>
        <w:top w:val="none" w:sz="0" w:space="0" w:color="auto"/>
        <w:left w:val="none" w:sz="0" w:space="0" w:color="auto"/>
        <w:bottom w:val="none" w:sz="0" w:space="0" w:color="auto"/>
        <w:right w:val="none" w:sz="0" w:space="0" w:color="auto"/>
      </w:divBdr>
    </w:div>
    <w:div w:id="455298863">
      <w:bodyDiv w:val="1"/>
      <w:marLeft w:val="0"/>
      <w:marRight w:val="0"/>
      <w:marTop w:val="0"/>
      <w:marBottom w:val="0"/>
      <w:divBdr>
        <w:top w:val="none" w:sz="0" w:space="0" w:color="auto"/>
        <w:left w:val="none" w:sz="0" w:space="0" w:color="auto"/>
        <w:bottom w:val="none" w:sz="0" w:space="0" w:color="auto"/>
        <w:right w:val="none" w:sz="0" w:space="0" w:color="auto"/>
      </w:divBdr>
    </w:div>
    <w:div w:id="456215637">
      <w:bodyDiv w:val="1"/>
      <w:marLeft w:val="0"/>
      <w:marRight w:val="0"/>
      <w:marTop w:val="0"/>
      <w:marBottom w:val="0"/>
      <w:divBdr>
        <w:top w:val="none" w:sz="0" w:space="0" w:color="auto"/>
        <w:left w:val="none" w:sz="0" w:space="0" w:color="auto"/>
        <w:bottom w:val="none" w:sz="0" w:space="0" w:color="auto"/>
        <w:right w:val="none" w:sz="0" w:space="0" w:color="auto"/>
      </w:divBdr>
    </w:div>
    <w:div w:id="478886045">
      <w:bodyDiv w:val="1"/>
      <w:marLeft w:val="0"/>
      <w:marRight w:val="0"/>
      <w:marTop w:val="0"/>
      <w:marBottom w:val="0"/>
      <w:divBdr>
        <w:top w:val="none" w:sz="0" w:space="0" w:color="auto"/>
        <w:left w:val="none" w:sz="0" w:space="0" w:color="auto"/>
        <w:bottom w:val="none" w:sz="0" w:space="0" w:color="auto"/>
        <w:right w:val="none" w:sz="0" w:space="0" w:color="auto"/>
      </w:divBdr>
    </w:div>
    <w:div w:id="483085434">
      <w:bodyDiv w:val="1"/>
      <w:marLeft w:val="0"/>
      <w:marRight w:val="0"/>
      <w:marTop w:val="0"/>
      <w:marBottom w:val="0"/>
      <w:divBdr>
        <w:top w:val="none" w:sz="0" w:space="0" w:color="auto"/>
        <w:left w:val="none" w:sz="0" w:space="0" w:color="auto"/>
        <w:bottom w:val="none" w:sz="0" w:space="0" w:color="auto"/>
        <w:right w:val="none" w:sz="0" w:space="0" w:color="auto"/>
      </w:divBdr>
      <w:divsChild>
        <w:div w:id="1651978333">
          <w:marLeft w:val="0"/>
          <w:marRight w:val="0"/>
          <w:marTop w:val="0"/>
          <w:marBottom w:val="225"/>
          <w:divBdr>
            <w:top w:val="none" w:sz="0" w:space="0" w:color="auto"/>
            <w:left w:val="none" w:sz="0" w:space="0" w:color="auto"/>
            <w:bottom w:val="none" w:sz="0" w:space="0" w:color="auto"/>
            <w:right w:val="none" w:sz="0" w:space="0" w:color="auto"/>
          </w:divBdr>
        </w:div>
        <w:div w:id="1725251816">
          <w:marLeft w:val="0"/>
          <w:marRight w:val="0"/>
          <w:marTop w:val="0"/>
          <w:marBottom w:val="225"/>
          <w:divBdr>
            <w:top w:val="none" w:sz="0" w:space="0" w:color="auto"/>
            <w:left w:val="none" w:sz="0" w:space="0" w:color="auto"/>
            <w:bottom w:val="none" w:sz="0" w:space="0" w:color="auto"/>
            <w:right w:val="none" w:sz="0" w:space="0" w:color="auto"/>
          </w:divBdr>
        </w:div>
      </w:divsChild>
    </w:div>
    <w:div w:id="483160187">
      <w:bodyDiv w:val="1"/>
      <w:marLeft w:val="0"/>
      <w:marRight w:val="0"/>
      <w:marTop w:val="0"/>
      <w:marBottom w:val="0"/>
      <w:divBdr>
        <w:top w:val="none" w:sz="0" w:space="0" w:color="auto"/>
        <w:left w:val="none" w:sz="0" w:space="0" w:color="auto"/>
        <w:bottom w:val="none" w:sz="0" w:space="0" w:color="auto"/>
        <w:right w:val="none" w:sz="0" w:space="0" w:color="auto"/>
      </w:divBdr>
    </w:div>
    <w:div w:id="487132248">
      <w:bodyDiv w:val="1"/>
      <w:marLeft w:val="0"/>
      <w:marRight w:val="0"/>
      <w:marTop w:val="0"/>
      <w:marBottom w:val="0"/>
      <w:divBdr>
        <w:top w:val="none" w:sz="0" w:space="0" w:color="auto"/>
        <w:left w:val="none" w:sz="0" w:space="0" w:color="auto"/>
        <w:bottom w:val="none" w:sz="0" w:space="0" w:color="auto"/>
        <w:right w:val="none" w:sz="0" w:space="0" w:color="auto"/>
      </w:divBdr>
    </w:div>
    <w:div w:id="488209179">
      <w:bodyDiv w:val="1"/>
      <w:marLeft w:val="0"/>
      <w:marRight w:val="0"/>
      <w:marTop w:val="0"/>
      <w:marBottom w:val="0"/>
      <w:divBdr>
        <w:top w:val="none" w:sz="0" w:space="0" w:color="auto"/>
        <w:left w:val="none" w:sz="0" w:space="0" w:color="auto"/>
        <w:bottom w:val="none" w:sz="0" w:space="0" w:color="auto"/>
        <w:right w:val="none" w:sz="0" w:space="0" w:color="auto"/>
      </w:divBdr>
    </w:div>
    <w:div w:id="493254736">
      <w:bodyDiv w:val="1"/>
      <w:marLeft w:val="0"/>
      <w:marRight w:val="0"/>
      <w:marTop w:val="0"/>
      <w:marBottom w:val="0"/>
      <w:divBdr>
        <w:top w:val="none" w:sz="0" w:space="0" w:color="auto"/>
        <w:left w:val="none" w:sz="0" w:space="0" w:color="auto"/>
        <w:bottom w:val="none" w:sz="0" w:space="0" w:color="auto"/>
        <w:right w:val="none" w:sz="0" w:space="0" w:color="auto"/>
      </w:divBdr>
    </w:div>
    <w:div w:id="496114139">
      <w:bodyDiv w:val="1"/>
      <w:marLeft w:val="0"/>
      <w:marRight w:val="0"/>
      <w:marTop w:val="0"/>
      <w:marBottom w:val="0"/>
      <w:divBdr>
        <w:top w:val="none" w:sz="0" w:space="0" w:color="auto"/>
        <w:left w:val="none" w:sz="0" w:space="0" w:color="auto"/>
        <w:bottom w:val="none" w:sz="0" w:space="0" w:color="auto"/>
        <w:right w:val="none" w:sz="0" w:space="0" w:color="auto"/>
      </w:divBdr>
    </w:div>
    <w:div w:id="498080139">
      <w:bodyDiv w:val="1"/>
      <w:marLeft w:val="0"/>
      <w:marRight w:val="0"/>
      <w:marTop w:val="0"/>
      <w:marBottom w:val="0"/>
      <w:divBdr>
        <w:top w:val="none" w:sz="0" w:space="0" w:color="auto"/>
        <w:left w:val="none" w:sz="0" w:space="0" w:color="auto"/>
        <w:bottom w:val="none" w:sz="0" w:space="0" w:color="auto"/>
        <w:right w:val="none" w:sz="0" w:space="0" w:color="auto"/>
      </w:divBdr>
      <w:divsChild>
        <w:div w:id="42026720">
          <w:marLeft w:val="0"/>
          <w:marRight w:val="0"/>
          <w:marTop w:val="0"/>
          <w:marBottom w:val="0"/>
          <w:divBdr>
            <w:top w:val="none" w:sz="0" w:space="0" w:color="auto"/>
            <w:left w:val="none" w:sz="0" w:space="0" w:color="auto"/>
            <w:bottom w:val="none" w:sz="0" w:space="0" w:color="auto"/>
            <w:right w:val="none" w:sz="0" w:space="0" w:color="auto"/>
          </w:divBdr>
          <w:divsChild>
            <w:div w:id="141432703">
              <w:marLeft w:val="0"/>
              <w:marRight w:val="0"/>
              <w:marTop w:val="0"/>
              <w:marBottom w:val="0"/>
              <w:divBdr>
                <w:top w:val="none" w:sz="0" w:space="0" w:color="auto"/>
                <w:left w:val="none" w:sz="0" w:space="0" w:color="auto"/>
                <w:bottom w:val="none" w:sz="0" w:space="0" w:color="auto"/>
                <w:right w:val="none" w:sz="0" w:space="0" w:color="auto"/>
              </w:divBdr>
              <w:divsChild>
                <w:div w:id="176890779">
                  <w:marLeft w:val="0"/>
                  <w:marRight w:val="0"/>
                  <w:marTop w:val="0"/>
                  <w:marBottom w:val="300"/>
                  <w:divBdr>
                    <w:top w:val="none" w:sz="0" w:space="0" w:color="auto"/>
                    <w:left w:val="none" w:sz="0" w:space="0" w:color="auto"/>
                    <w:bottom w:val="none" w:sz="0" w:space="0" w:color="auto"/>
                    <w:right w:val="none" w:sz="0" w:space="0" w:color="auto"/>
                  </w:divBdr>
                  <w:divsChild>
                    <w:div w:id="1841388096">
                      <w:marLeft w:val="0"/>
                      <w:marRight w:val="0"/>
                      <w:marTop w:val="0"/>
                      <w:marBottom w:val="0"/>
                      <w:divBdr>
                        <w:top w:val="none" w:sz="0" w:space="0" w:color="auto"/>
                        <w:left w:val="none" w:sz="0" w:space="0" w:color="auto"/>
                        <w:bottom w:val="none" w:sz="0" w:space="0" w:color="auto"/>
                        <w:right w:val="none" w:sz="0" w:space="0" w:color="auto"/>
                      </w:divBdr>
                      <w:divsChild>
                        <w:div w:id="179249040">
                          <w:marLeft w:val="0"/>
                          <w:marRight w:val="0"/>
                          <w:marTop w:val="0"/>
                          <w:marBottom w:val="0"/>
                          <w:divBdr>
                            <w:top w:val="none" w:sz="0" w:space="0" w:color="auto"/>
                            <w:left w:val="none" w:sz="0" w:space="0" w:color="auto"/>
                            <w:bottom w:val="none" w:sz="0" w:space="0" w:color="auto"/>
                            <w:right w:val="none" w:sz="0" w:space="0" w:color="auto"/>
                          </w:divBdr>
                        </w:div>
                        <w:div w:id="581254619">
                          <w:marLeft w:val="0"/>
                          <w:marRight w:val="0"/>
                          <w:marTop w:val="0"/>
                          <w:marBottom w:val="150"/>
                          <w:divBdr>
                            <w:top w:val="none" w:sz="0" w:space="0" w:color="auto"/>
                            <w:left w:val="none" w:sz="0" w:space="0" w:color="auto"/>
                            <w:bottom w:val="single" w:sz="6" w:space="0" w:color="FFFFFF"/>
                            <w:right w:val="none" w:sz="0" w:space="0" w:color="auto"/>
                          </w:divBdr>
                        </w:div>
                      </w:divsChild>
                    </w:div>
                  </w:divsChild>
                </w:div>
              </w:divsChild>
            </w:div>
          </w:divsChild>
        </w:div>
        <w:div w:id="2124495183">
          <w:marLeft w:val="0"/>
          <w:marRight w:val="600"/>
          <w:marTop w:val="0"/>
          <w:marBottom w:val="0"/>
          <w:divBdr>
            <w:top w:val="none" w:sz="0" w:space="0" w:color="auto"/>
            <w:left w:val="none" w:sz="0" w:space="0" w:color="auto"/>
            <w:bottom w:val="none" w:sz="0" w:space="0" w:color="auto"/>
            <w:right w:val="none" w:sz="0" w:space="0" w:color="auto"/>
          </w:divBdr>
          <w:divsChild>
            <w:div w:id="551044738">
              <w:marLeft w:val="0"/>
              <w:marRight w:val="0"/>
              <w:marTop w:val="0"/>
              <w:marBottom w:val="0"/>
              <w:divBdr>
                <w:top w:val="none" w:sz="0" w:space="0" w:color="auto"/>
                <w:left w:val="none" w:sz="0" w:space="0" w:color="auto"/>
                <w:bottom w:val="none" w:sz="0" w:space="0" w:color="auto"/>
                <w:right w:val="none" w:sz="0" w:space="0" w:color="auto"/>
              </w:divBdr>
              <w:divsChild>
                <w:div w:id="971641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664124">
      <w:bodyDiv w:val="1"/>
      <w:marLeft w:val="0"/>
      <w:marRight w:val="0"/>
      <w:marTop w:val="0"/>
      <w:marBottom w:val="0"/>
      <w:divBdr>
        <w:top w:val="none" w:sz="0" w:space="0" w:color="auto"/>
        <w:left w:val="none" w:sz="0" w:space="0" w:color="auto"/>
        <w:bottom w:val="none" w:sz="0" w:space="0" w:color="auto"/>
        <w:right w:val="none" w:sz="0" w:space="0" w:color="auto"/>
      </w:divBdr>
    </w:div>
    <w:div w:id="499779774">
      <w:bodyDiv w:val="1"/>
      <w:marLeft w:val="0"/>
      <w:marRight w:val="0"/>
      <w:marTop w:val="0"/>
      <w:marBottom w:val="0"/>
      <w:divBdr>
        <w:top w:val="none" w:sz="0" w:space="0" w:color="auto"/>
        <w:left w:val="none" w:sz="0" w:space="0" w:color="auto"/>
        <w:bottom w:val="none" w:sz="0" w:space="0" w:color="auto"/>
        <w:right w:val="none" w:sz="0" w:space="0" w:color="auto"/>
      </w:divBdr>
    </w:div>
    <w:div w:id="503201159">
      <w:bodyDiv w:val="1"/>
      <w:marLeft w:val="0"/>
      <w:marRight w:val="0"/>
      <w:marTop w:val="0"/>
      <w:marBottom w:val="0"/>
      <w:divBdr>
        <w:top w:val="none" w:sz="0" w:space="0" w:color="auto"/>
        <w:left w:val="none" w:sz="0" w:space="0" w:color="auto"/>
        <w:bottom w:val="none" w:sz="0" w:space="0" w:color="auto"/>
        <w:right w:val="none" w:sz="0" w:space="0" w:color="auto"/>
      </w:divBdr>
    </w:div>
    <w:div w:id="507137143">
      <w:bodyDiv w:val="1"/>
      <w:marLeft w:val="0"/>
      <w:marRight w:val="0"/>
      <w:marTop w:val="0"/>
      <w:marBottom w:val="0"/>
      <w:divBdr>
        <w:top w:val="none" w:sz="0" w:space="0" w:color="auto"/>
        <w:left w:val="none" w:sz="0" w:space="0" w:color="auto"/>
        <w:bottom w:val="none" w:sz="0" w:space="0" w:color="auto"/>
        <w:right w:val="none" w:sz="0" w:space="0" w:color="auto"/>
      </w:divBdr>
      <w:divsChild>
        <w:div w:id="2076664746">
          <w:marLeft w:val="547"/>
          <w:marRight w:val="0"/>
          <w:marTop w:val="72"/>
          <w:marBottom w:val="0"/>
          <w:divBdr>
            <w:top w:val="none" w:sz="0" w:space="0" w:color="auto"/>
            <w:left w:val="none" w:sz="0" w:space="0" w:color="auto"/>
            <w:bottom w:val="none" w:sz="0" w:space="0" w:color="auto"/>
            <w:right w:val="none" w:sz="0" w:space="0" w:color="auto"/>
          </w:divBdr>
        </w:div>
      </w:divsChild>
    </w:div>
    <w:div w:id="507255571">
      <w:bodyDiv w:val="1"/>
      <w:marLeft w:val="0"/>
      <w:marRight w:val="0"/>
      <w:marTop w:val="0"/>
      <w:marBottom w:val="0"/>
      <w:divBdr>
        <w:top w:val="none" w:sz="0" w:space="0" w:color="auto"/>
        <w:left w:val="none" w:sz="0" w:space="0" w:color="auto"/>
        <w:bottom w:val="none" w:sz="0" w:space="0" w:color="auto"/>
        <w:right w:val="none" w:sz="0" w:space="0" w:color="auto"/>
      </w:divBdr>
    </w:div>
    <w:div w:id="508911151">
      <w:bodyDiv w:val="1"/>
      <w:marLeft w:val="0"/>
      <w:marRight w:val="0"/>
      <w:marTop w:val="0"/>
      <w:marBottom w:val="0"/>
      <w:divBdr>
        <w:top w:val="none" w:sz="0" w:space="0" w:color="auto"/>
        <w:left w:val="none" w:sz="0" w:space="0" w:color="auto"/>
        <w:bottom w:val="none" w:sz="0" w:space="0" w:color="auto"/>
        <w:right w:val="none" w:sz="0" w:space="0" w:color="auto"/>
      </w:divBdr>
    </w:div>
    <w:div w:id="510729087">
      <w:bodyDiv w:val="1"/>
      <w:marLeft w:val="0"/>
      <w:marRight w:val="0"/>
      <w:marTop w:val="0"/>
      <w:marBottom w:val="0"/>
      <w:divBdr>
        <w:top w:val="none" w:sz="0" w:space="0" w:color="auto"/>
        <w:left w:val="none" w:sz="0" w:space="0" w:color="auto"/>
        <w:bottom w:val="none" w:sz="0" w:space="0" w:color="auto"/>
        <w:right w:val="none" w:sz="0" w:space="0" w:color="auto"/>
      </w:divBdr>
    </w:div>
    <w:div w:id="511185562">
      <w:bodyDiv w:val="1"/>
      <w:marLeft w:val="0"/>
      <w:marRight w:val="0"/>
      <w:marTop w:val="0"/>
      <w:marBottom w:val="0"/>
      <w:divBdr>
        <w:top w:val="none" w:sz="0" w:space="0" w:color="auto"/>
        <w:left w:val="none" w:sz="0" w:space="0" w:color="auto"/>
        <w:bottom w:val="none" w:sz="0" w:space="0" w:color="auto"/>
        <w:right w:val="none" w:sz="0" w:space="0" w:color="auto"/>
      </w:divBdr>
    </w:div>
    <w:div w:id="511839664">
      <w:bodyDiv w:val="1"/>
      <w:marLeft w:val="0"/>
      <w:marRight w:val="0"/>
      <w:marTop w:val="0"/>
      <w:marBottom w:val="0"/>
      <w:divBdr>
        <w:top w:val="none" w:sz="0" w:space="0" w:color="auto"/>
        <w:left w:val="none" w:sz="0" w:space="0" w:color="auto"/>
        <w:bottom w:val="none" w:sz="0" w:space="0" w:color="auto"/>
        <w:right w:val="none" w:sz="0" w:space="0" w:color="auto"/>
      </w:divBdr>
    </w:div>
    <w:div w:id="516769655">
      <w:bodyDiv w:val="1"/>
      <w:marLeft w:val="0"/>
      <w:marRight w:val="0"/>
      <w:marTop w:val="0"/>
      <w:marBottom w:val="0"/>
      <w:divBdr>
        <w:top w:val="none" w:sz="0" w:space="0" w:color="auto"/>
        <w:left w:val="none" w:sz="0" w:space="0" w:color="auto"/>
        <w:bottom w:val="none" w:sz="0" w:space="0" w:color="auto"/>
        <w:right w:val="none" w:sz="0" w:space="0" w:color="auto"/>
      </w:divBdr>
    </w:div>
    <w:div w:id="524975931">
      <w:bodyDiv w:val="1"/>
      <w:marLeft w:val="0"/>
      <w:marRight w:val="0"/>
      <w:marTop w:val="0"/>
      <w:marBottom w:val="0"/>
      <w:divBdr>
        <w:top w:val="none" w:sz="0" w:space="0" w:color="auto"/>
        <w:left w:val="none" w:sz="0" w:space="0" w:color="auto"/>
        <w:bottom w:val="none" w:sz="0" w:space="0" w:color="auto"/>
        <w:right w:val="none" w:sz="0" w:space="0" w:color="auto"/>
      </w:divBdr>
    </w:div>
    <w:div w:id="525675550">
      <w:bodyDiv w:val="1"/>
      <w:marLeft w:val="0"/>
      <w:marRight w:val="0"/>
      <w:marTop w:val="0"/>
      <w:marBottom w:val="0"/>
      <w:divBdr>
        <w:top w:val="none" w:sz="0" w:space="0" w:color="auto"/>
        <w:left w:val="none" w:sz="0" w:space="0" w:color="auto"/>
        <w:bottom w:val="none" w:sz="0" w:space="0" w:color="auto"/>
        <w:right w:val="none" w:sz="0" w:space="0" w:color="auto"/>
      </w:divBdr>
    </w:div>
    <w:div w:id="529532861">
      <w:bodyDiv w:val="1"/>
      <w:marLeft w:val="0"/>
      <w:marRight w:val="0"/>
      <w:marTop w:val="0"/>
      <w:marBottom w:val="0"/>
      <w:divBdr>
        <w:top w:val="none" w:sz="0" w:space="0" w:color="auto"/>
        <w:left w:val="none" w:sz="0" w:space="0" w:color="auto"/>
        <w:bottom w:val="none" w:sz="0" w:space="0" w:color="auto"/>
        <w:right w:val="none" w:sz="0" w:space="0" w:color="auto"/>
      </w:divBdr>
      <w:divsChild>
        <w:div w:id="41636670">
          <w:marLeft w:val="547"/>
          <w:marRight w:val="0"/>
          <w:marTop w:val="0"/>
          <w:marBottom w:val="0"/>
          <w:divBdr>
            <w:top w:val="none" w:sz="0" w:space="0" w:color="auto"/>
            <w:left w:val="none" w:sz="0" w:space="0" w:color="auto"/>
            <w:bottom w:val="none" w:sz="0" w:space="0" w:color="auto"/>
            <w:right w:val="none" w:sz="0" w:space="0" w:color="auto"/>
          </w:divBdr>
        </w:div>
      </w:divsChild>
    </w:div>
    <w:div w:id="534539341">
      <w:bodyDiv w:val="1"/>
      <w:marLeft w:val="0"/>
      <w:marRight w:val="0"/>
      <w:marTop w:val="0"/>
      <w:marBottom w:val="0"/>
      <w:divBdr>
        <w:top w:val="none" w:sz="0" w:space="0" w:color="auto"/>
        <w:left w:val="none" w:sz="0" w:space="0" w:color="auto"/>
        <w:bottom w:val="none" w:sz="0" w:space="0" w:color="auto"/>
        <w:right w:val="none" w:sz="0" w:space="0" w:color="auto"/>
      </w:divBdr>
    </w:div>
    <w:div w:id="543759311">
      <w:bodyDiv w:val="1"/>
      <w:marLeft w:val="0"/>
      <w:marRight w:val="0"/>
      <w:marTop w:val="0"/>
      <w:marBottom w:val="0"/>
      <w:divBdr>
        <w:top w:val="none" w:sz="0" w:space="0" w:color="auto"/>
        <w:left w:val="none" w:sz="0" w:space="0" w:color="auto"/>
        <w:bottom w:val="none" w:sz="0" w:space="0" w:color="auto"/>
        <w:right w:val="none" w:sz="0" w:space="0" w:color="auto"/>
      </w:divBdr>
    </w:div>
    <w:div w:id="548151123">
      <w:bodyDiv w:val="1"/>
      <w:marLeft w:val="0"/>
      <w:marRight w:val="0"/>
      <w:marTop w:val="0"/>
      <w:marBottom w:val="0"/>
      <w:divBdr>
        <w:top w:val="none" w:sz="0" w:space="0" w:color="auto"/>
        <w:left w:val="none" w:sz="0" w:space="0" w:color="auto"/>
        <w:bottom w:val="none" w:sz="0" w:space="0" w:color="auto"/>
        <w:right w:val="none" w:sz="0" w:space="0" w:color="auto"/>
      </w:divBdr>
    </w:div>
    <w:div w:id="549877227">
      <w:bodyDiv w:val="1"/>
      <w:marLeft w:val="0"/>
      <w:marRight w:val="0"/>
      <w:marTop w:val="0"/>
      <w:marBottom w:val="0"/>
      <w:divBdr>
        <w:top w:val="none" w:sz="0" w:space="0" w:color="auto"/>
        <w:left w:val="none" w:sz="0" w:space="0" w:color="auto"/>
        <w:bottom w:val="none" w:sz="0" w:space="0" w:color="auto"/>
        <w:right w:val="none" w:sz="0" w:space="0" w:color="auto"/>
      </w:divBdr>
      <w:divsChild>
        <w:div w:id="1274753841">
          <w:marLeft w:val="547"/>
          <w:marRight w:val="0"/>
          <w:marTop w:val="0"/>
          <w:marBottom w:val="0"/>
          <w:divBdr>
            <w:top w:val="none" w:sz="0" w:space="0" w:color="auto"/>
            <w:left w:val="none" w:sz="0" w:space="0" w:color="auto"/>
            <w:bottom w:val="none" w:sz="0" w:space="0" w:color="auto"/>
            <w:right w:val="none" w:sz="0" w:space="0" w:color="auto"/>
          </w:divBdr>
        </w:div>
        <w:div w:id="1088306352">
          <w:marLeft w:val="1267"/>
          <w:marRight w:val="0"/>
          <w:marTop w:val="0"/>
          <w:marBottom w:val="0"/>
          <w:divBdr>
            <w:top w:val="none" w:sz="0" w:space="0" w:color="auto"/>
            <w:left w:val="none" w:sz="0" w:space="0" w:color="auto"/>
            <w:bottom w:val="none" w:sz="0" w:space="0" w:color="auto"/>
            <w:right w:val="none" w:sz="0" w:space="0" w:color="auto"/>
          </w:divBdr>
        </w:div>
        <w:div w:id="663972309">
          <w:marLeft w:val="1267"/>
          <w:marRight w:val="0"/>
          <w:marTop w:val="0"/>
          <w:marBottom w:val="0"/>
          <w:divBdr>
            <w:top w:val="none" w:sz="0" w:space="0" w:color="auto"/>
            <w:left w:val="none" w:sz="0" w:space="0" w:color="auto"/>
            <w:bottom w:val="none" w:sz="0" w:space="0" w:color="auto"/>
            <w:right w:val="none" w:sz="0" w:space="0" w:color="auto"/>
          </w:divBdr>
        </w:div>
        <w:div w:id="445394735">
          <w:marLeft w:val="1267"/>
          <w:marRight w:val="0"/>
          <w:marTop w:val="0"/>
          <w:marBottom w:val="0"/>
          <w:divBdr>
            <w:top w:val="none" w:sz="0" w:space="0" w:color="auto"/>
            <w:left w:val="none" w:sz="0" w:space="0" w:color="auto"/>
            <w:bottom w:val="none" w:sz="0" w:space="0" w:color="auto"/>
            <w:right w:val="none" w:sz="0" w:space="0" w:color="auto"/>
          </w:divBdr>
        </w:div>
        <w:div w:id="1149326257">
          <w:marLeft w:val="1267"/>
          <w:marRight w:val="0"/>
          <w:marTop w:val="0"/>
          <w:marBottom w:val="0"/>
          <w:divBdr>
            <w:top w:val="none" w:sz="0" w:space="0" w:color="auto"/>
            <w:left w:val="none" w:sz="0" w:space="0" w:color="auto"/>
            <w:bottom w:val="none" w:sz="0" w:space="0" w:color="auto"/>
            <w:right w:val="none" w:sz="0" w:space="0" w:color="auto"/>
          </w:divBdr>
        </w:div>
        <w:div w:id="477067686">
          <w:marLeft w:val="1267"/>
          <w:marRight w:val="0"/>
          <w:marTop w:val="0"/>
          <w:marBottom w:val="0"/>
          <w:divBdr>
            <w:top w:val="none" w:sz="0" w:space="0" w:color="auto"/>
            <w:left w:val="none" w:sz="0" w:space="0" w:color="auto"/>
            <w:bottom w:val="none" w:sz="0" w:space="0" w:color="auto"/>
            <w:right w:val="none" w:sz="0" w:space="0" w:color="auto"/>
          </w:divBdr>
        </w:div>
        <w:div w:id="96293930">
          <w:marLeft w:val="1267"/>
          <w:marRight w:val="0"/>
          <w:marTop w:val="0"/>
          <w:marBottom w:val="0"/>
          <w:divBdr>
            <w:top w:val="none" w:sz="0" w:space="0" w:color="auto"/>
            <w:left w:val="none" w:sz="0" w:space="0" w:color="auto"/>
            <w:bottom w:val="none" w:sz="0" w:space="0" w:color="auto"/>
            <w:right w:val="none" w:sz="0" w:space="0" w:color="auto"/>
          </w:divBdr>
        </w:div>
        <w:div w:id="1451440825">
          <w:marLeft w:val="1267"/>
          <w:marRight w:val="0"/>
          <w:marTop w:val="0"/>
          <w:marBottom w:val="0"/>
          <w:divBdr>
            <w:top w:val="none" w:sz="0" w:space="0" w:color="auto"/>
            <w:left w:val="none" w:sz="0" w:space="0" w:color="auto"/>
            <w:bottom w:val="none" w:sz="0" w:space="0" w:color="auto"/>
            <w:right w:val="none" w:sz="0" w:space="0" w:color="auto"/>
          </w:divBdr>
        </w:div>
        <w:div w:id="1953705152">
          <w:marLeft w:val="1267"/>
          <w:marRight w:val="0"/>
          <w:marTop w:val="0"/>
          <w:marBottom w:val="0"/>
          <w:divBdr>
            <w:top w:val="none" w:sz="0" w:space="0" w:color="auto"/>
            <w:left w:val="none" w:sz="0" w:space="0" w:color="auto"/>
            <w:bottom w:val="none" w:sz="0" w:space="0" w:color="auto"/>
            <w:right w:val="none" w:sz="0" w:space="0" w:color="auto"/>
          </w:divBdr>
        </w:div>
        <w:div w:id="956328124">
          <w:marLeft w:val="1267"/>
          <w:marRight w:val="0"/>
          <w:marTop w:val="0"/>
          <w:marBottom w:val="0"/>
          <w:divBdr>
            <w:top w:val="none" w:sz="0" w:space="0" w:color="auto"/>
            <w:left w:val="none" w:sz="0" w:space="0" w:color="auto"/>
            <w:bottom w:val="none" w:sz="0" w:space="0" w:color="auto"/>
            <w:right w:val="none" w:sz="0" w:space="0" w:color="auto"/>
          </w:divBdr>
        </w:div>
      </w:divsChild>
    </w:div>
    <w:div w:id="550308407">
      <w:bodyDiv w:val="1"/>
      <w:marLeft w:val="0"/>
      <w:marRight w:val="0"/>
      <w:marTop w:val="0"/>
      <w:marBottom w:val="0"/>
      <w:divBdr>
        <w:top w:val="none" w:sz="0" w:space="0" w:color="auto"/>
        <w:left w:val="none" w:sz="0" w:space="0" w:color="auto"/>
        <w:bottom w:val="none" w:sz="0" w:space="0" w:color="auto"/>
        <w:right w:val="none" w:sz="0" w:space="0" w:color="auto"/>
      </w:divBdr>
    </w:div>
    <w:div w:id="551238485">
      <w:bodyDiv w:val="1"/>
      <w:marLeft w:val="0"/>
      <w:marRight w:val="0"/>
      <w:marTop w:val="0"/>
      <w:marBottom w:val="0"/>
      <w:divBdr>
        <w:top w:val="none" w:sz="0" w:space="0" w:color="auto"/>
        <w:left w:val="none" w:sz="0" w:space="0" w:color="auto"/>
        <w:bottom w:val="none" w:sz="0" w:space="0" w:color="auto"/>
        <w:right w:val="none" w:sz="0" w:space="0" w:color="auto"/>
      </w:divBdr>
    </w:div>
    <w:div w:id="553546656">
      <w:bodyDiv w:val="1"/>
      <w:marLeft w:val="0"/>
      <w:marRight w:val="0"/>
      <w:marTop w:val="0"/>
      <w:marBottom w:val="0"/>
      <w:divBdr>
        <w:top w:val="none" w:sz="0" w:space="0" w:color="auto"/>
        <w:left w:val="none" w:sz="0" w:space="0" w:color="auto"/>
        <w:bottom w:val="none" w:sz="0" w:space="0" w:color="auto"/>
        <w:right w:val="none" w:sz="0" w:space="0" w:color="auto"/>
      </w:divBdr>
    </w:div>
    <w:div w:id="557983566">
      <w:bodyDiv w:val="1"/>
      <w:marLeft w:val="0"/>
      <w:marRight w:val="0"/>
      <w:marTop w:val="0"/>
      <w:marBottom w:val="0"/>
      <w:divBdr>
        <w:top w:val="none" w:sz="0" w:space="0" w:color="auto"/>
        <w:left w:val="none" w:sz="0" w:space="0" w:color="auto"/>
        <w:bottom w:val="none" w:sz="0" w:space="0" w:color="auto"/>
        <w:right w:val="none" w:sz="0" w:space="0" w:color="auto"/>
      </w:divBdr>
    </w:div>
    <w:div w:id="560023447">
      <w:bodyDiv w:val="1"/>
      <w:marLeft w:val="0"/>
      <w:marRight w:val="0"/>
      <w:marTop w:val="0"/>
      <w:marBottom w:val="0"/>
      <w:divBdr>
        <w:top w:val="none" w:sz="0" w:space="0" w:color="auto"/>
        <w:left w:val="none" w:sz="0" w:space="0" w:color="auto"/>
        <w:bottom w:val="none" w:sz="0" w:space="0" w:color="auto"/>
        <w:right w:val="none" w:sz="0" w:space="0" w:color="auto"/>
      </w:divBdr>
      <w:divsChild>
        <w:div w:id="844629527">
          <w:marLeft w:val="0"/>
          <w:marRight w:val="0"/>
          <w:marTop w:val="0"/>
          <w:marBottom w:val="0"/>
          <w:divBdr>
            <w:top w:val="none" w:sz="0" w:space="0" w:color="auto"/>
            <w:left w:val="none" w:sz="0" w:space="0" w:color="auto"/>
            <w:bottom w:val="none" w:sz="0" w:space="0" w:color="auto"/>
            <w:right w:val="none" w:sz="0" w:space="0" w:color="auto"/>
          </w:divBdr>
          <w:divsChild>
            <w:div w:id="604390066">
              <w:marLeft w:val="0"/>
              <w:marRight w:val="0"/>
              <w:marTop w:val="100"/>
              <w:marBottom w:val="100"/>
              <w:divBdr>
                <w:top w:val="single" w:sz="2" w:space="0" w:color="D9D9E3"/>
                <w:left w:val="single" w:sz="2" w:space="0" w:color="D9D9E3"/>
                <w:bottom w:val="single" w:sz="2" w:space="0" w:color="D9D9E3"/>
                <w:right w:val="single" w:sz="2" w:space="0" w:color="D9D9E3"/>
              </w:divBdr>
              <w:divsChild>
                <w:div w:id="665480677">
                  <w:marLeft w:val="0"/>
                  <w:marRight w:val="0"/>
                  <w:marTop w:val="0"/>
                  <w:marBottom w:val="0"/>
                  <w:divBdr>
                    <w:top w:val="single" w:sz="2" w:space="0" w:color="D9D9E3"/>
                    <w:left w:val="single" w:sz="2" w:space="0" w:color="D9D9E3"/>
                    <w:bottom w:val="single" w:sz="2" w:space="0" w:color="D9D9E3"/>
                    <w:right w:val="single" w:sz="2" w:space="0" w:color="D9D9E3"/>
                  </w:divBdr>
                  <w:divsChild>
                    <w:div w:id="338315680">
                      <w:marLeft w:val="0"/>
                      <w:marRight w:val="0"/>
                      <w:marTop w:val="0"/>
                      <w:marBottom w:val="0"/>
                      <w:divBdr>
                        <w:top w:val="single" w:sz="2" w:space="0" w:color="D9D9E3"/>
                        <w:left w:val="single" w:sz="2" w:space="0" w:color="D9D9E3"/>
                        <w:bottom w:val="single" w:sz="2" w:space="0" w:color="D9D9E3"/>
                        <w:right w:val="single" w:sz="2" w:space="0" w:color="D9D9E3"/>
                      </w:divBdr>
                      <w:divsChild>
                        <w:div w:id="947082510">
                          <w:marLeft w:val="0"/>
                          <w:marRight w:val="0"/>
                          <w:marTop w:val="0"/>
                          <w:marBottom w:val="0"/>
                          <w:divBdr>
                            <w:top w:val="single" w:sz="2" w:space="0" w:color="D9D9E3"/>
                            <w:left w:val="single" w:sz="2" w:space="0" w:color="D9D9E3"/>
                            <w:bottom w:val="single" w:sz="2" w:space="0" w:color="D9D9E3"/>
                            <w:right w:val="single" w:sz="2" w:space="0" w:color="D9D9E3"/>
                          </w:divBdr>
                          <w:divsChild>
                            <w:div w:id="1187673708">
                              <w:marLeft w:val="0"/>
                              <w:marRight w:val="0"/>
                              <w:marTop w:val="0"/>
                              <w:marBottom w:val="0"/>
                              <w:divBdr>
                                <w:top w:val="single" w:sz="2" w:space="0" w:color="D9D9E3"/>
                                <w:left w:val="single" w:sz="2" w:space="0" w:color="D9D9E3"/>
                                <w:bottom w:val="single" w:sz="2" w:space="0" w:color="D9D9E3"/>
                                <w:right w:val="single" w:sz="2" w:space="0" w:color="D9D9E3"/>
                              </w:divBdr>
                              <w:divsChild>
                                <w:div w:id="1887719011">
                                  <w:marLeft w:val="0"/>
                                  <w:marRight w:val="0"/>
                                  <w:marTop w:val="0"/>
                                  <w:marBottom w:val="0"/>
                                  <w:divBdr>
                                    <w:top w:val="single" w:sz="2" w:space="0" w:color="D9D9E3"/>
                                    <w:left w:val="single" w:sz="2" w:space="0" w:color="D9D9E3"/>
                                    <w:bottom w:val="single" w:sz="2" w:space="0" w:color="D9D9E3"/>
                                    <w:right w:val="single" w:sz="2" w:space="0" w:color="D9D9E3"/>
                                  </w:divBdr>
                                  <w:divsChild>
                                    <w:div w:id="205373067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561452631">
      <w:bodyDiv w:val="1"/>
      <w:marLeft w:val="0"/>
      <w:marRight w:val="0"/>
      <w:marTop w:val="0"/>
      <w:marBottom w:val="0"/>
      <w:divBdr>
        <w:top w:val="none" w:sz="0" w:space="0" w:color="auto"/>
        <w:left w:val="none" w:sz="0" w:space="0" w:color="auto"/>
        <w:bottom w:val="none" w:sz="0" w:space="0" w:color="auto"/>
        <w:right w:val="none" w:sz="0" w:space="0" w:color="auto"/>
      </w:divBdr>
    </w:div>
    <w:div w:id="563181415">
      <w:bodyDiv w:val="1"/>
      <w:marLeft w:val="0"/>
      <w:marRight w:val="0"/>
      <w:marTop w:val="0"/>
      <w:marBottom w:val="0"/>
      <w:divBdr>
        <w:top w:val="none" w:sz="0" w:space="0" w:color="auto"/>
        <w:left w:val="none" w:sz="0" w:space="0" w:color="auto"/>
        <w:bottom w:val="none" w:sz="0" w:space="0" w:color="auto"/>
        <w:right w:val="none" w:sz="0" w:space="0" w:color="auto"/>
      </w:divBdr>
    </w:div>
    <w:div w:id="566964466">
      <w:bodyDiv w:val="1"/>
      <w:marLeft w:val="0"/>
      <w:marRight w:val="0"/>
      <w:marTop w:val="0"/>
      <w:marBottom w:val="0"/>
      <w:divBdr>
        <w:top w:val="none" w:sz="0" w:space="0" w:color="auto"/>
        <w:left w:val="none" w:sz="0" w:space="0" w:color="auto"/>
        <w:bottom w:val="none" w:sz="0" w:space="0" w:color="auto"/>
        <w:right w:val="none" w:sz="0" w:space="0" w:color="auto"/>
      </w:divBdr>
    </w:div>
    <w:div w:id="567889095">
      <w:bodyDiv w:val="1"/>
      <w:marLeft w:val="0"/>
      <w:marRight w:val="0"/>
      <w:marTop w:val="0"/>
      <w:marBottom w:val="0"/>
      <w:divBdr>
        <w:top w:val="none" w:sz="0" w:space="0" w:color="auto"/>
        <w:left w:val="none" w:sz="0" w:space="0" w:color="auto"/>
        <w:bottom w:val="none" w:sz="0" w:space="0" w:color="auto"/>
        <w:right w:val="none" w:sz="0" w:space="0" w:color="auto"/>
      </w:divBdr>
    </w:div>
    <w:div w:id="569460733">
      <w:bodyDiv w:val="1"/>
      <w:marLeft w:val="0"/>
      <w:marRight w:val="0"/>
      <w:marTop w:val="0"/>
      <w:marBottom w:val="0"/>
      <w:divBdr>
        <w:top w:val="none" w:sz="0" w:space="0" w:color="auto"/>
        <w:left w:val="none" w:sz="0" w:space="0" w:color="auto"/>
        <w:bottom w:val="none" w:sz="0" w:space="0" w:color="auto"/>
        <w:right w:val="none" w:sz="0" w:space="0" w:color="auto"/>
      </w:divBdr>
    </w:div>
    <w:div w:id="569923208">
      <w:bodyDiv w:val="1"/>
      <w:marLeft w:val="0"/>
      <w:marRight w:val="0"/>
      <w:marTop w:val="0"/>
      <w:marBottom w:val="0"/>
      <w:divBdr>
        <w:top w:val="none" w:sz="0" w:space="0" w:color="auto"/>
        <w:left w:val="none" w:sz="0" w:space="0" w:color="auto"/>
        <w:bottom w:val="none" w:sz="0" w:space="0" w:color="auto"/>
        <w:right w:val="none" w:sz="0" w:space="0" w:color="auto"/>
      </w:divBdr>
      <w:divsChild>
        <w:div w:id="1275408959">
          <w:marLeft w:val="0"/>
          <w:marRight w:val="0"/>
          <w:marTop w:val="0"/>
          <w:marBottom w:val="0"/>
          <w:divBdr>
            <w:top w:val="none" w:sz="0" w:space="0" w:color="auto"/>
            <w:left w:val="none" w:sz="0" w:space="0" w:color="auto"/>
            <w:bottom w:val="none" w:sz="0" w:space="0" w:color="auto"/>
            <w:right w:val="none" w:sz="0" w:space="0" w:color="auto"/>
          </w:divBdr>
        </w:div>
        <w:div w:id="1568681792">
          <w:marLeft w:val="0"/>
          <w:marRight w:val="0"/>
          <w:marTop w:val="0"/>
          <w:marBottom w:val="0"/>
          <w:divBdr>
            <w:top w:val="none" w:sz="0" w:space="0" w:color="auto"/>
            <w:left w:val="none" w:sz="0" w:space="0" w:color="auto"/>
            <w:bottom w:val="none" w:sz="0" w:space="0" w:color="auto"/>
            <w:right w:val="none" w:sz="0" w:space="0" w:color="auto"/>
          </w:divBdr>
        </w:div>
      </w:divsChild>
    </w:div>
    <w:div w:id="573859638">
      <w:bodyDiv w:val="1"/>
      <w:marLeft w:val="0"/>
      <w:marRight w:val="0"/>
      <w:marTop w:val="0"/>
      <w:marBottom w:val="0"/>
      <w:divBdr>
        <w:top w:val="none" w:sz="0" w:space="0" w:color="auto"/>
        <w:left w:val="none" w:sz="0" w:space="0" w:color="auto"/>
        <w:bottom w:val="none" w:sz="0" w:space="0" w:color="auto"/>
        <w:right w:val="none" w:sz="0" w:space="0" w:color="auto"/>
      </w:divBdr>
    </w:div>
    <w:div w:id="576742688">
      <w:bodyDiv w:val="1"/>
      <w:marLeft w:val="0"/>
      <w:marRight w:val="0"/>
      <w:marTop w:val="0"/>
      <w:marBottom w:val="0"/>
      <w:divBdr>
        <w:top w:val="none" w:sz="0" w:space="0" w:color="auto"/>
        <w:left w:val="none" w:sz="0" w:space="0" w:color="auto"/>
        <w:bottom w:val="none" w:sz="0" w:space="0" w:color="auto"/>
        <w:right w:val="none" w:sz="0" w:space="0" w:color="auto"/>
      </w:divBdr>
    </w:div>
    <w:div w:id="578903394">
      <w:bodyDiv w:val="1"/>
      <w:marLeft w:val="0"/>
      <w:marRight w:val="0"/>
      <w:marTop w:val="0"/>
      <w:marBottom w:val="0"/>
      <w:divBdr>
        <w:top w:val="none" w:sz="0" w:space="0" w:color="auto"/>
        <w:left w:val="none" w:sz="0" w:space="0" w:color="auto"/>
        <w:bottom w:val="none" w:sz="0" w:space="0" w:color="auto"/>
        <w:right w:val="none" w:sz="0" w:space="0" w:color="auto"/>
      </w:divBdr>
    </w:div>
    <w:div w:id="582687249">
      <w:bodyDiv w:val="1"/>
      <w:marLeft w:val="0"/>
      <w:marRight w:val="0"/>
      <w:marTop w:val="0"/>
      <w:marBottom w:val="0"/>
      <w:divBdr>
        <w:top w:val="none" w:sz="0" w:space="0" w:color="auto"/>
        <w:left w:val="none" w:sz="0" w:space="0" w:color="auto"/>
        <w:bottom w:val="none" w:sz="0" w:space="0" w:color="auto"/>
        <w:right w:val="none" w:sz="0" w:space="0" w:color="auto"/>
      </w:divBdr>
    </w:div>
    <w:div w:id="583074150">
      <w:bodyDiv w:val="1"/>
      <w:marLeft w:val="0"/>
      <w:marRight w:val="0"/>
      <w:marTop w:val="0"/>
      <w:marBottom w:val="0"/>
      <w:divBdr>
        <w:top w:val="none" w:sz="0" w:space="0" w:color="auto"/>
        <w:left w:val="none" w:sz="0" w:space="0" w:color="auto"/>
        <w:bottom w:val="none" w:sz="0" w:space="0" w:color="auto"/>
        <w:right w:val="none" w:sz="0" w:space="0" w:color="auto"/>
      </w:divBdr>
    </w:div>
    <w:div w:id="583144299">
      <w:bodyDiv w:val="1"/>
      <w:marLeft w:val="0"/>
      <w:marRight w:val="0"/>
      <w:marTop w:val="0"/>
      <w:marBottom w:val="0"/>
      <w:divBdr>
        <w:top w:val="none" w:sz="0" w:space="0" w:color="auto"/>
        <w:left w:val="none" w:sz="0" w:space="0" w:color="auto"/>
        <w:bottom w:val="none" w:sz="0" w:space="0" w:color="auto"/>
        <w:right w:val="none" w:sz="0" w:space="0" w:color="auto"/>
      </w:divBdr>
      <w:divsChild>
        <w:div w:id="988823857">
          <w:marLeft w:val="0"/>
          <w:marRight w:val="0"/>
          <w:marTop w:val="0"/>
          <w:marBottom w:val="225"/>
          <w:divBdr>
            <w:top w:val="none" w:sz="0" w:space="0" w:color="auto"/>
            <w:left w:val="none" w:sz="0" w:space="0" w:color="auto"/>
            <w:bottom w:val="none" w:sz="0" w:space="0" w:color="auto"/>
            <w:right w:val="none" w:sz="0" w:space="0" w:color="auto"/>
          </w:divBdr>
        </w:div>
        <w:div w:id="1164390778">
          <w:marLeft w:val="0"/>
          <w:marRight w:val="0"/>
          <w:marTop w:val="0"/>
          <w:marBottom w:val="225"/>
          <w:divBdr>
            <w:top w:val="none" w:sz="0" w:space="0" w:color="auto"/>
            <w:left w:val="none" w:sz="0" w:space="0" w:color="auto"/>
            <w:bottom w:val="none" w:sz="0" w:space="0" w:color="auto"/>
            <w:right w:val="none" w:sz="0" w:space="0" w:color="auto"/>
          </w:divBdr>
        </w:div>
      </w:divsChild>
    </w:div>
    <w:div w:id="583803499">
      <w:bodyDiv w:val="1"/>
      <w:marLeft w:val="0"/>
      <w:marRight w:val="0"/>
      <w:marTop w:val="0"/>
      <w:marBottom w:val="0"/>
      <w:divBdr>
        <w:top w:val="none" w:sz="0" w:space="0" w:color="auto"/>
        <w:left w:val="none" w:sz="0" w:space="0" w:color="auto"/>
        <w:bottom w:val="none" w:sz="0" w:space="0" w:color="auto"/>
        <w:right w:val="none" w:sz="0" w:space="0" w:color="auto"/>
      </w:divBdr>
    </w:div>
    <w:div w:id="584268138">
      <w:bodyDiv w:val="1"/>
      <w:marLeft w:val="0"/>
      <w:marRight w:val="0"/>
      <w:marTop w:val="0"/>
      <w:marBottom w:val="0"/>
      <w:divBdr>
        <w:top w:val="none" w:sz="0" w:space="0" w:color="auto"/>
        <w:left w:val="none" w:sz="0" w:space="0" w:color="auto"/>
        <w:bottom w:val="none" w:sz="0" w:space="0" w:color="auto"/>
        <w:right w:val="none" w:sz="0" w:space="0" w:color="auto"/>
      </w:divBdr>
    </w:div>
    <w:div w:id="590235161">
      <w:bodyDiv w:val="1"/>
      <w:marLeft w:val="0"/>
      <w:marRight w:val="0"/>
      <w:marTop w:val="0"/>
      <w:marBottom w:val="0"/>
      <w:divBdr>
        <w:top w:val="none" w:sz="0" w:space="0" w:color="auto"/>
        <w:left w:val="none" w:sz="0" w:space="0" w:color="auto"/>
        <w:bottom w:val="none" w:sz="0" w:space="0" w:color="auto"/>
        <w:right w:val="none" w:sz="0" w:space="0" w:color="auto"/>
      </w:divBdr>
    </w:div>
    <w:div w:id="592445446">
      <w:bodyDiv w:val="1"/>
      <w:marLeft w:val="0"/>
      <w:marRight w:val="0"/>
      <w:marTop w:val="0"/>
      <w:marBottom w:val="0"/>
      <w:divBdr>
        <w:top w:val="none" w:sz="0" w:space="0" w:color="auto"/>
        <w:left w:val="none" w:sz="0" w:space="0" w:color="auto"/>
        <w:bottom w:val="none" w:sz="0" w:space="0" w:color="auto"/>
        <w:right w:val="none" w:sz="0" w:space="0" w:color="auto"/>
      </w:divBdr>
    </w:div>
    <w:div w:id="593518419">
      <w:bodyDiv w:val="1"/>
      <w:marLeft w:val="0"/>
      <w:marRight w:val="0"/>
      <w:marTop w:val="0"/>
      <w:marBottom w:val="0"/>
      <w:divBdr>
        <w:top w:val="none" w:sz="0" w:space="0" w:color="auto"/>
        <w:left w:val="none" w:sz="0" w:space="0" w:color="auto"/>
        <w:bottom w:val="none" w:sz="0" w:space="0" w:color="auto"/>
        <w:right w:val="none" w:sz="0" w:space="0" w:color="auto"/>
      </w:divBdr>
    </w:div>
    <w:div w:id="596444017">
      <w:bodyDiv w:val="1"/>
      <w:marLeft w:val="0"/>
      <w:marRight w:val="0"/>
      <w:marTop w:val="0"/>
      <w:marBottom w:val="0"/>
      <w:divBdr>
        <w:top w:val="none" w:sz="0" w:space="0" w:color="auto"/>
        <w:left w:val="none" w:sz="0" w:space="0" w:color="auto"/>
        <w:bottom w:val="none" w:sz="0" w:space="0" w:color="auto"/>
        <w:right w:val="none" w:sz="0" w:space="0" w:color="auto"/>
      </w:divBdr>
      <w:divsChild>
        <w:div w:id="130709924">
          <w:marLeft w:val="-2400"/>
          <w:marRight w:val="-480"/>
          <w:marTop w:val="0"/>
          <w:marBottom w:val="0"/>
          <w:divBdr>
            <w:top w:val="none" w:sz="0" w:space="0" w:color="auto"/>
            <w:left w:val="none" w:sz="0" w:space="0" w:color="auto"/>
            <w:bottom w:val="none" w:sz="0" w:space="0" w:color="auto"/>
            <w:right w:val="none" w:sz="0" w:space="0" w:color="auto"/>
          </w:divBdr>
        </w:div>
        <w:div w:id="226378206">
          <w:marLeft w:val="-2400"/>
          <w:marRight w:val="-480"/>
          <w:marTop w:val="0"/>
          <w:marBottom w:val="0"/>
          <w:divBdr>
            <w:top w:val="none" w:sz="0" w:space="0" w:color="auto"/>
            <w:left w:val="none" w:sz="0" w:space="0" w:color="auto"/>
            <w:bottom w:val="none" w:sz="0" w:space="0" w:color="auto"/>
            <w:right w:val="none" w:sz="0" w:space="0" w:color="auto"/>
          </w:divBdr>
        </w:div>
      </w:divsChild>
    </w:div>
    <w:div w:id="597523487">
      <w:bodyDiv w:val="1"/>
      <w:marLeft w:val="0"/>
      <w:marRight w:val="0"/>
      <w:marTop w:val="0"/>
      <w:marBottom w:val="0"/>
      <w:divBdr>
        <w:top w:val="none" w:sz="0" w:space="0" w:color="auto"/>
        <w:left w:val="none" w:sz="0" w:space="0" w:color="auto"/>
        <w:bottom w:val="none" w:sz="0" w:space="0" w:color="auto"/>
        <w:right w:val="none" w:sz="0" w:space="0" w:color="auto"/>
      </w:divBdr>
    </w:div>
    <w:div w:id="598950856">
      <w:bodyDiv w:val="1"/>
      <w:marLeft w:val="0"/>
      <w:marRight w:val="0"/>
      <w:marTop w:val="0"/>
      <w:marBottom w:val="0"/>
      <w:divBdr>
        <w:top w:val="none" w:sz="0" w:space="0" w:color="auto"/>
        <w:left w:val="none" w:sz="0" w:space="0" w:color="auto"/>
        <w:bottom w:val="none" w:sz="0" w:space="0" w:color="auto"/>
        <w:right w:val="none" w:sz="0" w:space="0" w:color="auto"/>
      </w:divBdr>
    </w:div>
    <w:div w:id="601107903">
      <w:bodyDiv w:val="1"/>
      <w:marLeft w:val="0"/>
      <w:marRight w:val="0"/>
      <w:marTop w:val="0"/>
      <w:marBottom w:val="0"/>
      <w:divBdr>
        <w:top w:val="none" w:sz="0" w:space="0" w:color="auto"/>
        <w:left w:val="none" w:sz="0" w:space="0" w:color="auto"/>
        <w:bottom w:val="none" w:sz="0" w:space="0" w:color="auto"/>
        <w:right w:val="none" w:sz="0" w:space="0" w:color="auto"/>
      </w:divBdr>
    </w:div>
    <w:div w:id="610551297">
      <w:bodyDiv w:val="1"/>
      <w:marLeft w:val="0"/>
      <w:marRight w:val="0"/>
      <w:marTop w:val="0"/>
      <w:marBottom w:val="0"/>
      <w:divBdr>
        <w:top w:val="none" w:sz="0" w:space="0" w:color="auto"/>
        <w:left w:val="none" w:sz="0" w:space="0" w:color="auto"/>
        <w:bottom w:val="none" w:sz="0" w:space="0" w:color="auto"/>
        <w:right w:val="none" w:sz="0" w:space="0" w:color="auto"/>
      </w:divBdr>
    </w:div>
    <w:div w:id="611674225">
      <w:bodyDiv w:val="1"/>
      <w:marLeft w:val="0"/>
      <w:marRight w:val="0"/>
      <w:marTop w:val="0"/>
      <w:marBottom w:val="0"/>
      <w:divBdr>
        <w:top w:val="none" w:sz="0" w:space="0" w:color="auto"/>
        <w:left w:val="none" w:sz="0" w:space="0" w:color="auto"/>
        <w:bottom w:val="none" w:sz="0" w:space="0" w:color="auto"/>
        <w:right w:val="none" w:sz="0" w:space="0" w:color="auto"/>
      </w:divBdr>
    </w:div>
    <w:div w:id="618532899">
      <w:bodyDiv w:val="1"/>
      <w:marLeft w:val="0"/>
      <w:marRight w:val="0"/>
      <w:marTop w:val="0"/>
      <w:marBottom w:val="0"/>
      <w:divBdr>
        <w:top w:val="none" w:sz="0" w:space="0" w:color="auto"/>
        <w:left w:val="none" w:sz="0" w:space="0" w:color="auto"/>
        <w:bottom w:val="none" w:sz="0" w:space="0" w:color="auto"/>
        <w:right w:val="none" w:sz="0" w:space="0" w:color="auto"/>
      </w:divBdr>
    </w:div>
    <w:div w:id="622465825">
      <w:bodyDiv w:val="1"/>
      <w:marLeft w:val="0"/>
      <w:marRight w:val="0"/>
      <w:marTop w:val="0"/>
      <w:marBottom w:val="0"/>
      <w:divBdr>
        <w:top w:val="none" w:sz="0" w:space="0" w:color="auto"/>
        <w:left w:val="none" w:sz="0" w:space="0" w:color="auto"/>
        <w:bottom w:val="none" w:sz="0" w:space="0" w:color="auto"/>
        <w:right w:val="none" w:sz="0" w:space="0" w:color="auto"/>
      </w:divBdr>
    </w:div>
    <w:div w:id="624044084">
      <w:bodyDiv w:val="1"/>
      <w:marLeft w:val="0"/>
      <w:marRight w:val="0"/>
      <w:marTop w:val="0"/>
      <w:marBottom w:val="0"/>
      <w:divBdr>
        <w:top w:val="none" w:sz="0" w:space="0" w:color="auto"/>
        <w:left w:val="none" w:sz="0" w:space="0" w:color="auto"/>
        <w:bottom w:val="none" w:sz="0" w:space="0" w:color="auto"/>
        <w:right w:val="none" w:sz="0" w:space="0" w:color="auto"/>
      </w:divBdr>
    </w:div>
    <w:div w:id="624577524">
      <w:bodyDiv w:val="1"/>
      <w:marLeft w:val="0"/>
      <w:marRight w:val="0"/>
      <w:marTop w:val="0"/>
      <w:marBottom w:val="0"/>
      <w:divBdr>
        <w:top w:val="none" w:sz="0" w:space="0" w:color="auto"/>
        <w:left w:val="none" w:sz="0" w:space="0" w:color="auto"/>
        <w:bottom w:val="none" w:sz="0" w:space="0" w:color="auto"/>
        <w:right w:val="none" w:sz="0" w:space="0" w:color="auto"/>
      </w:divBdr>
    </w:div>
    <w:div w:id="627124038">
      <w:bodyDiv w:val="1"/>
      <w:marLeft w:val="0"/>
      <w:marRight w:val="0"/>
      <w:marTop w:val="0"/>
      <w:marBottom w:val="0"/>
      <w:divBdr>
        <w:top w:val="none" w:sz="0" w:space="0" w:color="auto"/>
        <w:left w:val="none" w:sz="0" w:space="0" w:color="auto"/>
        <w:bottom w:val="none" w:sz="0" w:space="0" w:color="auto"/>
        <w:right w:val="none" w:sz="0" w:space="0" w:color="auto"/>
      </w:divBdr>
    </w:div>
    <w:div w:id="627125152">
      <w:bodyDiv w:val="1"/>
      <w:marLeft w:val="0"/>
      <w:marRight w:val="0"/>
      <w:marTop w:val="0"/>
      <w:marBottom w:val="0"/>
      <w:divBdr>
        <w:top w:val="none" w:sz="0" w:space="0" w:color="auto"/>
        <w:left w:val="none" w:sz="0" w:space="0" w:color="auto"/>
        <w:bottom w:val="none" w:sz="0" w:space="0" w:color="auto"/>
        <w:right w:val="none" w:sz="0" w:space="0" w:color="auto"/>
      </w:divBdr>
    </w:div>
    <w:div w:id="631132820">
      <w:bodyDiv w:val="1"/>
      <w:marLeft w:val="0"/>
      <w:marRight w:val="0"/>
      <w:marTop w:val="0"/>
      <w:marBottom w:val="0"/>
      <w:divBdr>
        <w:top w:val="none" w:sz="0" w:space="0" w:color="auto"/>
        <w:left w:val="none" w:sz="0" w:space="0" w:color="auto"/>
        <w:bottom w:val="none" w:sz="0" w:space="0" w:color="auto"/>
        <w:right w:val="none" w:sz="0" w:space="0" w:color="auto"/>
      </w:divBdr>
    </w:div>
    <w:div w:id="632516938">
      <w:bodyDiv w:val="1"/>
      <w:marLeft w:val="0"/>
      <w:marRight w:val="0"/>
      <w:marTop w:val="0"/>
      <w:marBottom w:val="0"/>
      <w:divBdr>
        <w:top w:val="none" w:sz="0" w:space="0" w:color="auto"/>
        <w:left w:val="none" w:sz="0" w:space="0" w:color="auto"/>
        <w:bottom w:val="none" w:sz="0" w:space="0" w:color="auto"/>
        <w:right w:val="none" w:sz="0" w:space="0" w:color="auto"/>
      </w:divBdr>
    </w:div>
    <w:div w:id="636036847">
      <w:bodyDiv w:val="1"/>
      <w:marLeft w:val="0"/>
      <w:marRight w:val="0"/>
      <w:marTop w:val="0"/>
      <w:marBottom w:val="0"/>
      <w:divBdr>
        <w:top w:val="none" w:sz="0" w:space="0" w:color="auto"/>
        <w:left w:val="none" w:sz="0" w:space="0" w:color="auto"/>
        <w:bottom w:val="none" w:sz="0" w:space="0" w:color="auto"/>
        <w:right w:val="none" w:sz="0" w:space="0" w:color="auto"/>
      </w:divBdr>
    </w:div>
    <w:div w:id="639310617">
      <w:bodyDiv w:val="1"/>
      <w:marLeft w:val="0"/>
      <w:marRight w:val="0"/>
      <w:marTop w:val="0"/>
      <w:marBottom w:val="0"/>
      <w:divBdr>
        <w:top w:val="none" w:sz="0" w:space="0" w:color="auto"/>
        <w:left w:val="none" w:sz="0" w:space="0" w:color="auto"/>
        <w:bottom w:val="none" w:sz="0" w:space="0" w:color="auto"/>
        <w:right w:val="none" w:sz="0" w:space="0" w:color="auto"/>
      </w:divBdr>
    </w:div>
    <w:div w:id="642538744">
      <w:bodyDiv w:val="1"/>
      <w:marLeft w:val="0"/>
      <w:marRight w:val="0"/>
      <w:marTop w:val="0"/>
      <w:marBottom w:val="0"/>
      <w:divBdr>
        <w:top w:val="none" w:sz="0" w:space="0" w:color="auto"/>
        <w:left w:val="none" w:sz="0" w:space="0" w:color="auto"/>
        <w:bottom w:val="none" w:sz="0" w:space="0" w:color="auto"/>
        <w:right w:val="none" w:sz="0" w:space="0" w:color="auto"/>
      </w:divBdr>
    </w:div>
    <w:div w:id="643312440">
      <w:bodyDiv w:val="1"/>
      <w:marLeft w:val="0"/>
      <w:marRight w:val="0"/>
      <w:marTop w:val="0"/>
      <w:marBottom w:val="0"/>
      <w:divBdr>
        <w:top w:val="none" w:sz="0" w:space="0" w:color="auto"/>
        <w:left w:val="none" w:sz="0" w:space="0" w:color="auto"/>
        <w:bottom w:val="none" w:sz="0" w:space="0" w:color="auto"/>
        <w:right w:val="none" w:sz="0" w:space="0" w:color="auto"/>
      </w:divBdr>
    </w:div>
    <w:div w:id="645743884">
      <w:bodyDiv w:val="1"/>
      <w:marLeft w:val="0"/>
      <w:marRight w:val="0"/>
      <w:marTop w:val="0"/>
      <w:marBottom w:val="0"/>
      <w:divBdr>
        <w:top w:val="none" w:sz="0" w:space="0" w:color="auto"/>
        <w:left w:val="none" w:sz="0" w:space="0" w:color="auto"/>
        <w:bottom w:val="none" w:sz="0" w:space="0" w:color="auto"/>
        <w:right w:val="none" w:sz="0" w:space="0" w:color="auto"/>
      </w:divBdr>
      <w:divsChild>
        <w:div w:id="1700663315">
          <w:marLeft w:val="0"/>
          <w:marRight w:val="0"/>
          <w:marTop w:val="0"/>
          <w:marBottom w:val="0"/>
          <w:divBdr>
            <w:top w:val="none" w:sz="0" w:space="0" w:color="auto"/>
            <w:left w:val="none" w:sz="0" w:space="0" w:color="auto"/>
            <w:bottom w:val="none" w:sz="0" w:space="0" w:color="auto"/>
            <w:right w:val="none" w:sz="0" w:space="0" w:color="auto"/>
          </w:divBdr>
          <w:divsChild>
            <w:div w:id="892929871">
              <w:marLeft w:val="0"/>
              <w:marRight w:val="0"/>
              <w:marTop w:val="0"/>
              <w:marBottom w:val="0"/>
              <w:divBdr>
                <w:top w:val="none" w:sz="0" w:space="0" w:color="auto"/>
                <w:left w:val="none" w:sz="0" w:space="0" w:color="auto"/>
                <w:bottom w:val="none" w:sz="0" w:space="0" w:color="auto"/>
                <w:right w:val="none" w:sz="0" w:space="0" w:color="auto"/>
              </w:divBdr>
              <w:divsChild>
                <w:div w:id="1840807279">
                  <w:marLeft w:val="0"/>
                  <w:marRight w:val="0"/>
                  <w:marTop w:val="0"/>
                  <w:marBottom w:val="0"/>
                  <w:divBdr>
                    <w:top w:val="none" w:sz="0" w:space="0" w:color="auto"/>
                    <w:left w:val="none" w:sz="0" w:space="0" w:color="auto"/>
                    <w:bottom w:val="none" w:sz="0" w:space="0" w:color="auto"/>
                    <w:right w:val="none" w:sz="0" w:space="0" w:color="auto"/>
                  </w:divBdr>
                  <w:divsChild>
                    <w:div w:id="1444961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679865">
      <w:bodyDiv w:val="1"/>
      <w:marLeft w:val="0"/>
      <w:marRight w:val="0"/>
      <w:marTop w:val="0"/>
      <w:marBottom w:val="0"/>
      <w:divBdr>
        <w:top w:val="none" w:sz="0" w:space="0" w:color="auto"/>
        <w:left w:val="none" w:sz="0" w:space="0" w:color="auto"/>
        <w:bottom w:val="none" w:sz="0" w:space="0" w:color="auto"/>
        <w:right w:val="none" w:sz="0" w:space="0" w:color="auto"/>
      </w:divBdr>
    </w:div>
    <w:div w:id="656424785">
      <w:bodyDiv w:val="1"/>
      <w:marLeft w:val="0"/>
      <w:marRight w:val="0"/>
      <w:marTop w:val="0"/>
      <w:marBottom w:val="0"/>
      <w:divBdr>
        <w:top w:val="none" w:sz="0" w:space="0" w:color="auto"/>
        <w:left w:val="none" w:sz="0" w:space="0" w:color="auto"/>
        <w:bottom w:val="none" w:sz="0" w:space="0" w:color="auto"/>
        <w:right w:val="none" w:sz="0" w:space="0" w:color="auto"/>
      </w:divBdr>
    </w:div>
    <w:div w:id="657998315">
      <w:bodyDiv w:val="1"/>
      <w:marLeft w:val="0"/>
      <w:marRight w:val="0"/>
      <w:marTop w:val="0"/>
      <w:marBottom w:val="0"/>
      <w:divBdr>
        <w:top w:val="none" w:sz="0" w:space="0" w:color="auto"/>
        <w:left w:val="none" w:sz="0" w:space="0" w:color="auto"/>
        <w:bottom w:val="none" w:sz="0" w:space="0" w:color="auto"/>
        <w:right w:val="none" w:sz="0" w:space="0" w:color="auto"/>
      </w:divBdr>
      <w:divsChild>
        <w:div w:id="1602563508">
          <w:marLeft w:val="0"/>
          <w:marRight w:val="0"/>
          <w:marTop w:val="0"/>
          <w:marBottom w:val="225"/>
          <w:divBdr>
            <w:top w:val="none" w:sz="0" w:space="0" w:color="auto"/>
            <w:left w:val="none" w:sz="0" w:space="0" w:color="auto"/>
            <w:bottom w:val="none" w:sz="0" w:space="0" w:color="auto"/>
            <w:right w:val="none" w:sz="0" w:space="0" w:color="auto"/>
          </w:divBdr>
        </w:div>
        <w:div w:id="1670937663">
          <w:marLeft w:val="0"/>
          <w:marRight w:val="0"/>
          <w:marTop w:val="0"/>
          <w:marBottom w:val="225"/>
          <w:divBdr>
            <w:top w:val="none" w:sz="0" w:space="0" w:color="auto"/>
            <w:left w:val="none" w:sz="0" w:space="0" w:color="auto"/>
            <w:bottom w:val="none" w:sz="0" w:space="0" w:color="auto"/>
            <w:right w:val="none" w:sz="0" w:space="0" w:color="auto"/>
          </w:divBdr>
        </w:div>
      </w:divsChild>
    </w:div>
    <w:div w:id="661936633">
      <w:bodyDiv w:val="1"/>
      <w:marLeft w:val="0"/>
      <w:marRight w:val="0"/>
      <w:marTop w:val="0"/>
      <w:marBottom w:val="0"/>
      <w:divBdr>
        <w:top w:val="none" w:sz="0" w:space="0" w:color="auto"/>
        <w:left w:val="none" w:sz="0" w:space="0" w:color="auto"/>
        <w:bottom w:val="none" w:sz="0" w:space="0" w:color="auto"/>
        <w:right w:val="none" w:sz="0" w:space="0" w:color="auto"/>
      </w:divBdr>
    </w:div>
    <w:div w:id="670334320">
      <w:bodyDiv w:val="1"/>
      <w:marLeft w:val="0"/>
      <w:marRight w:val="0"/>
      <w:marTop w:val="0"/>
      <w:marBottom w:val="0"/>
      <w:divBdr>
        <w:top w:val="none" w:sz="0" w:space="0" w:color="auto"/>
        <w:left w:val="none" w:sz="0" w:space="0" w:color="auto"/>
        <w:bottom w:val="none" w:sz="0" w:space="0" w:color="auto"/>
        <w:right w:val="none" w:sz="0" w:space="0" w:color="auto"/>
      </w:divBdr>
      <w:divsChild>
        <w:div w:id="969894684">
          <w:marLeft w:val="547"/>
          <w:marRight w:val="0"/>
          <w:marTop w:val="0"/>
          <w:marBottom w:val="0"/>
          <w:divBdr>
            <w:top w:val="none" w:sz="0" w:space="0" w:color="auto"/>
            <w:left w:val="none" w:sz="0" w:space="0" w:color="auto"/>
            <w:bottom w:val="none" w:sz="0" w:space="0" w:color="auto"/>
            <w:right w:val="none" w:sz="0" w:space="0" w:color="auto"/>
          </w:divBdr>
        </w:div>
      </w:divsChild>
    </w:div>
    <w:div w:id="672223008">
      <w:bodyDiv w:val="1"/>
      <w:marLeft w:val="0"/>
      <w:marRight w:val="0"/>
      <w:marTop w:val="0"/>
      <w:marBottom w:val="0"/>
      <w:divBdr>
        <w:top w:val="none" w:sz="0" w:space="0" w:color="auto"/>
        <w:left w:val="none" w:sz="0" w:space="0" w:color="auto"/>
        <w:bottom w:val="none" w:sz="0" w:space="0" w:color="auto"/>
        <w:right w:val="none" w:sz="0" w:space="0" w:color="auto"/>
      </w:divBdr>
    </w:div>
    <w:div w:id="673264123">
      <w:bodyDiv w:val="1"/>
      <w:marLeft w:val="0"/>
      <w:marRight w:val="0"/>
      <w:marTop w:val="0"/>
      <w:marBottom w:val="0"/>
      <w:divBdr>
        <w:top w:val="none" w:sz="0" w:space="0" w:color="auto"/>
        <w:left w:val="none" w:sz="0" w:space="0" w:color="auto"/>
        <w:bottom w:val="none" w:sz="0" w:space="0" w:color="auto"/>
        <w:right w:val="none" w:sz="0" w:space="0" w:color="auto"/>
      </w:divBdr>
    </w:div>
    <w:div w:id="680278824">
      <w:bodyDiv w:val="1"/>
      <w:marLeft w:val="0"/>
      <w:marRight w:val="0"/>
      <w:marTop w:val="0"/>
      <w:marBottom w:val="0"/>
      <w:divBdr>
        <w:top w:val="none" w:sz="0" w:space="0" w:color="auto"/>
        <w:left w:val="none" w:sz="0" w:space="0" w:color="auto"/>
        <w:bottom w:val="none" w:sz="0" w:space="0" w:color="auto"/>
        <w:right w:val="none" w:sz="0" w:space="0" w:color="auto"/>
      </w:divBdr>
    </w:div>
    <w:div w:id="682635542">
      <w:bodyDiv w:val="1"/>
      <w:marLeft w:val="0"/>
      <w:marRight w:val="0"/>
      <w:marTop w:val="0"/>
      <w:marBottom w:val="0"/>
      <w:divBdr>
        <w:top w:val="none" w:sz="0" w:space="0" w:color="auto"/>
        <w:left w:val="none" w:sz="0" w:space="0" w:color="auto"/>
        <w:bottom w:val="none" w:sz="0" w:space="0" w:color="auto"/>
        <w:right w:val="none" w:sz="0" w:space="0" w:color="auto"/>
      </w:divBdr>
      <w:divsChild>
        <w:div w:id="272250338">
          <w:marLeft w:val="907"/>
          <w:marRight w:val="0"/>
          <w:marTop w:val="96"/>
          <w:marBottom w:val="0"/>
          <w:divBdr>
            <w:top w:val="none" w:sz="0" w:space="0" w:color="auto"/>
            <w:left w:val="none" w:sz="0" w:space="0" w:color="auto"/>
            <w:bottom w:val="none" w:sz="0" w:space="0" w:color="auto"/>
            <w:right w:val="none" w:sz="0" w:space="0" w:color="auto"/>
          </w:divBdr>
        </w:div>
        <w:div w:id="867647302">
          <w:marLeft w:val="907"/>
          <w:marRight w:val="0"/>
          <w:marTop w:val="96"/>
          <w:marBottom w:val="0"/>
          <w:divBdr>
            <w:top w:val="none" w:sz="0" w:space="0" w:color="auto"/>
            <w:left w:val="none" w:sz="0" w:space="0" w:color="auto"/>
            <w:bottom w:val="none" w:sz="0" w:space="0" w:color="auto"/>
            <w:right w:val="none" w:sz="0" w:space="0" w:color="auto"/>
          </w:divBdr>
        </w:div>
        <w:div w:id="997541237">
          <w:marLeft w:val="907"/>
          <w:marRight w:val="0"/>
          <w:marTop w:val="96"/>
          <w:marBottom w:val="0"/>
          <w:divBdr>
            <w:top w:val="none" w:sz="0" w:space="0" w:color="auto"/>
            <w:left w:val="none" w:sz="0" w:space="0" w:color="auto"/>
            <w:bottom w:val="none" w:sz="0" w:space="0" w:color="auto"/>
            <w:right w:val="none" w:sz="0" w:space="0" w:color="auto"/>
          </w:divBdr>
        </w:div>
      </w:divsChild>
    </w:div>
    <w:div w:id="693113265">
      <w:bodyDiv w:val="1"/>
      <w:marLeft w:val="0"/>
      <w:marRight w:val="0"/>
      <w:marTop w:val="0"/>
      <w:marBottom w:val="0"/>
      <w:divBdr>
        <w:top w:val="none" w:sz="0" w:space="0" w:color="auto"/>
        <w:left w:val="none" w:sz="0" w:space="0" w:color="auto"/>
        <w:bottom w:val="none" w:sz="0" w:space="0" w:color="auto"/>
        <w:right w:val="none" w:sz="0" w:space="0" w:color="auto"/>
      </w:divBdr>
    </w:div>
    <w:div w:id="694304094">
      <w:bodyDiv w:val="1"/>
      <w:marLeft w:val="0"/>
      <w:marRight w:val="0"/>
      <w:marTop w:val="0"/>
      <w:marBottom w:val="0"/>
      <w:divBdr>
        <w:top w:val="none" w:sz="0" w:space="0" w:color="auto"/>
        <w:left w:val="none" w:sz="0" w:space="0" w:color="auto"/>
        <w:bottom w:val="none" w:sz="0" w:space="0" w:color="auto"/>
        <w:right w:val="none" w:sz="0" w:space="0" w:color="auto"/>
      </w:divBdr>
      <w:divsChild>
        <w:div w:id="1691879724">
          <w:marLeft w:val="0"/>
          <w:marRight w:val="0"/>
          <w:marTop w:val="0"/>
          <w:marBottom w:val="0"/>
          <w:divBdr>
            <w:top w:val="none" w:sz="0" w:space="0" w:color="auto"/>
            <w:left w:val="none" w:sz="0" w:space="0" w:color="auto"/>
            <w:bottom w:val="none" w:sz="0" w:space="0" w:color="auto"/>
            <w:right w:val="none" w:sz="0" w:space="0" w:color="auto"/>
          </w:divBdr>
        </w:div>
        <w:div w:id="1680310052">
          <w:marLeft w:val="0"/>
          <w:marRight w:val="0"/>
          <w:marTop w:val="0"/>
          <w:marBottom w:val="0"/>
          <w:divBdr>
            <w:top w:val="none" w:sz="0" w:space="0" w:color="auto"/>
            <w:left w:val="none" w:sz="0" w:space="0" w:color="auto"/>
            <w:bottom w:val="none" w:sz="0" w:space="0" w:color="auto"/>
            <w:right w:val="none" w:sz="0" w:space="0" w:color="auto"/>
          </w:divBdr>
        </w:div>
      </w:divsChild>
    </w:div>
    <w:div w:id="695548743">
      <w:bodyDiv w:val="1"/>
      <w:marLeft w:val="0"/>
      <w:marRight w:val="0"/>
      <w:marTop w:val="0"/>
      <w:marBottom w:val="0"/>
      <w:divBdr>
        <w:top w:val="none" w:sz="0" w:space="0" w:color="auto"/>
        <w:left w:val="none" w:sz="0" w:space="0" w:color="auto"/>
        <w:bottom w:val="none" w:sz="0" w:space="0" w:color="auto"/>
        <w:right w:val="none" w:sz="0" w:space="0" w:color="auto"/>
      </w:divBdr>
    </w:div>
    <w:div w:id="697660078">
      <w:bodyDiv w:val="1"/>
      <w:marLeft w:val="0"/>
      <w:marRight w:val="0"/>
      <w:marTop w:val="0"/>
      <w:marBottom w:val="0"/>
      <w:divBdr>
        <w:top w:val="none" w:sz="0" w:space="0" w:color="auto"/>
        <w:left w:val="none" w:sz="0" w:space="0" w:color="auto"/>
        <w:bottom w:val="none" w:sz="0" w:space="0" w:color="auto"/>
        <w:right w:val="none" w:sz="0" w:space="0" w:color="auto"/>
      </w:divBdr>
    </w:div>
    <w:div w:id="700712995">
      <w:bodyDiv w:val="1"/>
      <w:marLeft w:val="0"/>
      <w:marRight w:val="0"/>
      <w:marTop w:val="0"/>
      <w:marBottom w:val="0"/>
      <w:divBdr>
        <w:top w:val="none" w:sz="0" w:space="0" w:color="auto"/>
        <w:left w:val="none" w:sz="0" w:space="0" w:color="auto"/>
        <w:bottom w:val="none" w:sz="0" w:space="0" w:color="auto"/>
        <w:right w:val="none" w:sz="0" w:space="0" w:color="auto"/>
      </w:divBdr>
    </w:div>
    <w:div w:id="703946597">
      <w:bodyDiv w:val="1"/>
      <w:marLeft w:val="0"/>
      <w:marRight w:val="0"/>
      <w:marTop w:val="0"/>
      <w:marBottom w:val="0"/>
      <w:divBdr>
        <w:top w:val="none" w:sz="0" w:space="0" w:color="auto"/>
        <w:left w:val="none" w:sz="0" w:space="0" w:color="auto"/>
        <w:bottom w:val="none" w:sz="0" w:space="0" w:color="auto"/>
        <w:right w:val="none" w:sz="0" w:space="0" w:color="auto"/>
      </w:divBdr>
    </w:div>
    <w:div w:id="714356012">
      <w:bodyDiv w:val="1"/>
      <w:marLeft w:val="0"/>
      <w:marRight w:val="0"/>
      <w:marTop w:val="0"/>
      <w:marBottom w:val="0"/>
      <w:divBdr>
        <w:top w:val="none" w:sz="0" w:space="0" w:color="auto"/>
        <w:left w:val="none" w:sz="0" w:space="0" w:color="auto"/>
        <w:bottom w:val="none" w:sz="0" w:space="0" w:color="auto"/>
        <w:right w:val="none" w:sz="0" w:space="0" w:color="auto"/>
      </w:divBdr>
    </w:div>
    <w:div w:id="719598448">
      <w:bodyDiv w:val="1"/>
      <w:marLeft w:val="0"/>
      <w:marRight w:val="0"/>
      <w:marTop w:val="0"/>
      <w:marBottom w:val="0"/>
      <w:divBdr>
        <w:top w:val="none" w:sz="0" w:space="0" w:color="auto"/>
        <w:left w:val="none" w:sz="0" w:space="0" w:color="auto"/>
        <w:bottom w:val="none" w:sz="0" w:space="0" w:color="auto"/>
        <w:right w:val="none" w:sz="0" w:space="0" w:color="auto"/>
      </w:divBdr>
    </w:div>
    <w:div w:id="725492500">
      <w:bodyDiv w:val="1"/>
      <w:marLeft w:val="0"/>
      <w:marRight w:val="0"/>
      <w:marTop w:val="0"/>
      <w:marBottom w:val="0"/>
      <w:divBdr>
        <w:top w:val="none" w:sz="0" w:space="0" w:color="auto"/>
        <w:left w:val="none" w:sz="0" w:space="0" w:color="auto"/>
        <w:bottom w:val="none" w:sz="0" w:space="0" w:color="auto"/>
        <w:right w:val="none" w:sz="0" w:space="0" w:color="auto"/>
      </w:divBdr>
    </w:div>
    <w:div w:id="726492205">
      <w:bodyDiv w:val="1"/>
      <w:marLeft w:val="0"/>
      <w:marRight w:val="0"/>
      <w:marTop w:val="0"/>
      <w:marBottom w:val="0"/>
      <w:divBdr>
        <w:top w:val="none" w:sz="0" w:space="0" w:color="auto"/>
        <w:left w:val="none" w:sz="0" w:space="0" w:color="auto"/>
        <w:bottom w:val="none" w:sz="0" w:space="0" w:color="auto"/>
        <w:right w:val="none" w:sz="0" w:space="0" w:color="auto"/>
      </w:divBdr>
    </w:div>
    <w:div w:id="730153035">
      <w:bodyDiv w:val="1"/>
      <w:marLeft w:val="0"/>
      <w:marRight w:val="0"/>
      <w:marTop w:val="0"/>
      <w:marBottom w:val="0"/>
      <w:divBdr>
        <w:top w:val="none" w:sz="0" w:space="0" w:color="auto"/>
        <w:left w:val="none" w:sz="0" w:space="0" w:color="auto"/>
        <w:bottom w:val="none" w:sz="0" w:space="0" w:color="auto"/>
        <w:right w:val="none" w:sz="0" w:space="0" w:color="auto"/>
      </w:divBdr>
      <w:divsChild>
        <w:div w:id="625965826">
          <w:marLeft w:val="547"/>
          <w:marRight w:val="0"/>
          <w:marTop w:val="86"/>
          <w:marBottom w:val="0"/>
          <w:divBdr>
            <w:top w:val="none" w:sz="0" w:space="0" w:color="auto"/>
            <w:left w:val="none" w:sz="0" w:space="0" w:color="auto"/>
            <w:bottom w:val="none" w:sz="0" w:space="0" w:color="auto"/>
            <w:right w:val="none" w:sz="0" w:space="0" w:color="auto"/>
          </w:divBdr>
        </w:div>
        <w:div w:id="694427639">
          <w:marLeft w:val="547"/>
          <w:marRight w:val="0"/>
          <w:marTop w:val="86"/>
          <w:marBottom w:val="0"/>
          <w:divBdr>
            <w:top w:val="none" w:sz="0" w:space="0" w:color="auto"/>
            <w:left w:val="none" w:sz="0" w:space="0" w:color="auto"/>
            <w:bottom w:val="none" w:sz="0" w:space="0" w:color="auto"/>
            <w:right w:val="none" w:sz="0" w:space="0" w:color="auto"/>
          </w:divBdr>
        </w:div>
        <w:div w:id="722560333">
          <w:marLeft w:val="547"/>
          <w:marRight w:val="0"/>
          <w:marTop w:val="86"/>
          <w:marBottom w:val="0"/>
          <w:divBdr>
            <w:top w:val="none" w:sz="0" w:space="0" w:color="auto"/>
            <w:left w:val="none" w:sz="0" w:space="0" w:color="auto"/>
            <w:bottom w:val="none" w:sz="0" w:space="0" w:color="auto"/>
            <w:right w:val="none" w:sz="0" w:space="0" w:color="auto"/>
          </w:divBdr>
        </w:div>
        <w:div w:id="796531873">
          <w:marLeft w:val="547"/>
          <w:marRight w:val="0"/>
          <w:marTop w:val="86"/>
          <w:marBottom w:val="0"/>
          <w:divBdr>
            <w:top w:val="none" w:sz="0" w:space="0" w:color="auto"/>
            <w:left w:val="none" w:sz="0" w:space="0" w:color="auto"/>
            <w:bottom w:val="none" w:sz="0" w:space="0" w:color="auto"/>
            <w:right w:val="none" w:sz="0" w:space="0" w:color="auto"/>
          </w:divBdr>
        </w:div>
        <w:div w:id="885138330">
          <w:marLeft w:val="547"/>
          <w:marRight w:val="0"/>
          <w:marTop w:val="86"/>
          <w:marBottom w:val="0"/>
          <w:divBdr>
            <w:top w:val="none" w:sz="0" w:space="0" w:color="auto"/>
            <w:left w:val="none" w:sz="0" w:space="0" w:color="auto"/>
            <w:bottom w:val="none" w:sz="0" w:space="0" w:color="auto"/>
            <w:right w:val="none" w:sz="0" w:space="0" w:color="auto"/>
          </w:divBdr>
        </w:div>
        <w:div w:id="1177696296">
          <w:marLeft w:val="547"/>
          <w:marRight w:val="0"/>
          <w:marTop w:val="86"/>
          <w:marBottom w:val="0"/>
          <w:divBdr>
            <w:top w:val="none" w:sz="0" w:space="0" w:color="auto"/>
            <w:left w:val="none" w:sz="0" w:space="0" w:color="auto"/>
            <w:bottom w:val="none" w:sz="0" w:space="0" w:color="auto"/>
            <w:right w:val="none" w:sz="0" w:space="0" w:color="auto"/>
          </w:divBdr>
        </w:div>
        <w:div w:id="1643195387">
          <w:marLeft w:val="547"/>
          <w:marRight w:val="0"/>
          <w:marTop w:val="86"/>
          <w:marBottom w:val="0"/>
          <w:divBdr>
            <w:top w:val="none" w:sz="0" w:space="0" w:color="auto"/>
            <w:left w:val="none" w:sz="0" w:space="0" w:color="auto"/>
            <w:bottom w:val="none" w:sz="0" w:space="0" w:color="auto"/>
            <w:right w:val="none" w:sz="0" w:space="0" w:color="auto"/>
          </w:divBdr>
        </w:div>
        <w:div w:id="1716003550">
          <w:marLeft w:val="547"/>
          <w:marRight w:val="0"/>
          <w:marTop w:val="86"/>
          <w:marBottom w:val="0"/>
          <w:divBdr>
            <w:top w:val="none" w:sz="0" w:space="0" w:color="auto"/>
            <w:left w:val="none" w:sz="0" w:space="0" w:color="auto"/>
            <w:bottom w:val="none" w:sz="0" w:space="0" w:color="auto"/>
            <w:right w:val="none" w:sz="0" w:space="0" w:color="auto"/>
          </w:divBdr>
        </w:div>
      </w:divsChild>
    </w:div>
    <w:div w:id="730274534">
      <w:bodyDiv w:val="1"/>
      <w:marLeft w:val="0"/>
      <w:marRight w:val="0"/>
      <w:marTop w:val="0"/>
      <w:marBottom w:val="0"/>
      <w:divBdr>
        <w:top w:val="none" w:sz="0" w:space="0" w:color="auto"/>
        <w:left w:val="none" w:sz="0" w:space="0" w:color="auto"/>
        <w:bottom w:val="none" w:sz="0" w:space="0" w:color="auto"/>
        <w:right w:val="none" w:sz="0" w:space="0" w:color="auto"/>
      </w:divBdr>
      <w:divsChild>
        <w:div w:id="50932086">
          <w:marLeft w:val="-2400"/>
          <w:marRight w:val="-480"/>
          <w:marTop w:val="0"/>
          <w:marBottom w:val="0"/>
          <w:divBdr>
            <w:top w:val="none" w:sz="0" w:space="0" w:color="auto"/>
            <w:left w:val="none" w:sz="0" w:space="0" w:color="auto"/>
            <w:bottom w:val="none" w:sz="0" w:space="0" w:color="auto"/>
            <w:right w:val="none" w:sz="0" w:space="0" w:color="auto"/>
          </w:divBdr>
        </w:div>
        <w:div w:id="455291974">
          <w:marLeft w:val="-2400"/>
          <w:marRight w:val="-480"/>
          <w:marTop w:val="0"/>
          <w:marBottom w:val="0"/>
          <w:divBdr>
            <w:top w:val="none" w:sz="0" w:space="0" w:color="auto"/>
            <w:left w:val="none" w:sz="0" w:space="0" w:color="auto"/>
            <w:bottom w:val="none" w:sz="0" w:space="0" w:color="auto"/>
            <w:right w:val="none" w:sz="0" w:space="0" w:color="auto"/>
          </w:divBdr>
        </w:div>
        <w:div w:id="457576506">
          <w:marLeft w:val="-2400"/>
          <w:marRight w:val="-480"/>
          <w:marTop w:val="0"/>
          <w:marBottom w:val="0"/>
          <w:divBdr>
            <w:top w:val="none" w:sz="0" w:space="0" w:color="auto"/>
            <w:left w:val="none" w:sz="0" w:space="0" w:color="auto"/>
            <w:bottom w:val="none" w:sz="0" w:space="0" w:color="auto"/>
            <w:right w:val="none" w:sz="0" w:space="0" w:color="auto"/>
          </w:divBdr>
        </w:div>
      </w:divsChild>
    </w:div>
    <w:div w:id="730739500">
      <w:bodyDiv w:val="1"/>
      <w:marLeft w:val="0"/>
      <w:marRight w:val="0"/>
      <w:marTop w:val="0"/>
      <w:marBottom w:val="0"/>
      <w:divBdr>
        <w:top w:val="none" w:sz="0" w:space="0" w:color="auto"/>
        <w:left w:val="none" w:sz="0" w:space="0" w:color="auto"/>
        <w:bottom w:val="none" w:sz="0" w:space="0" w:color="auto"/>
        <w:right w:val="none" w:sz="0" w:space="0" w:color="auto"/>
      </w:divBdr>
    </w:div>
    <w:div w:id="731930768">
      <w:bodyDiv w:val="1"/>
      <w:marLeft w:val="0"/>
      <w:marRight w:val="0"/>
      <w:marTop w:val="0"/>
      <w:marBottom w:val="0"/>
      <w:divBdr>
        <w:top w:val="none" w:sz="0" w:space="0" w:color="auto"/>
        <w:left w:val="none" w:sz="0" w:space="0" w:color="auto"/>
        <w:bottom w:val="none" w:sz="0" w:space="0" w:color="auto"/>
        <w:right w:val="none" w:sz="0" w:space="0" w:color="auto"/>
      </w:divBdr>
    </w:div>
    <w:div w:id="734594002">
      <w:bodyDiv w:val="1"/>
      <w:marLeft w:val="0"/>
      <w:marRight w:val="0"/>
      <w:marTop w:val="0"/>
      <w:marBottom w:val="0"/>
      <w:divBdr>
        <w:top w:val="none" w:sz="0" w:space="0" w:color="auto"/>
        <w:left w:val="none" w:sz="0" w:space="0" w:color="auto"/>
        <w:bottom w:val="none" w:sz="0" w:space="0" w:color="auto"/>
        <w:right w:val="none" w:sz="0" w:space="0" w:color="auto"/>
      </w:divBdr>
      <w:divsChild>
        <w:div w:id="584269005">
          <w:marLeft w:val="547"/>
          <w:marRight w:val="0"/>
          <w:marTop w:val="0"/>
          <w:marBottom w:val="0"/>
          <w:divBdr>
            <w:top w:val="none" w:sz="0" w:space="0" w:color="auto"/>
            <w:left w:val="none" w:sz="0" w:space="0" w:color="auto"/>
            <w:bottom w:val="none" w:sz="0" w:space="0" w:color="auto"/>
            <w:right w:val="none" w:sz="0" w:space="0" w:color="auto"/>
          </w:divBdr>
        </w:div>
        <w:div w:id="973364039">
          <w:marLeft w:val="547"/>
          <w:marRight w:val="0"/>
          <w:marTop w:val="0"/>
          <w:marBottom w:val="0"/>
          <w:divBdr>
            <w:top w:val="none" w:sz="0" w:space="0" w:color="auto"/>
            <w:left w:val="none" w:sz="0" w:space="0" w:color="auto"/>
            <w:bottom w:val="none" w:sz="0" w:space="0" w:color="auto"/>
            <w:right w:val="none" w:sz="0" w:space="0" w:color="auto"/>
          </w:divBdr>
        </w:div>
        <w:div w:id="1066535605">
          <w:marLeft w:val="547"/>
          <w:marRight w:val="0"/>
          <w:marTop w:val="0"/>
          <w:marBottom w:val="0"/>
          <w:divBdr>
            <w:top w:val="none" w:sz="0" w:space="0" w:color="auto"/>
            <w:left w:val="none" w:sz="0" w:space="0" w:color="auto"/>
            <w:bottom w:val="none" w:sz="0" w:space="0" w:color="auto"/>
            <w:right w:val="none" w:sz="0" w:space="0" w:color="auto"/>
          </w:divBdr>
        </w:div>
        <w:div w:id="1677729148">
          <w:marLeft w:val="547"/>
          <w:marRight w:val="0"/>
          <w:marTop w:val="0"/>
          <w:marBottom w:val="0"/>
          <w:divBdr>
            <w:top w:val="none" w:sz="0" w:space="0" w:color="auto"/>
            <w:left w:val="none" w:sz="0" w:space="0" w:color="auto"/>
            <w:bottom w:val="none" w:sz="0" w:space="0" w:color="auto"/>
            <w:right w:val="none" w:sz="0" w:space="0" w:color="auto"/>
          </w:divBdr>
        </w:div>
      </w:divsChild>
    </w:div>
    <w:div w:id="736054139">
      <w:bodyDiv w:val="1"/>
      <w:marLeft w:val="0"/>
      <w:marRight w:val="0"/>
      <w:marTop w:val="0"/>
      <w:marBottom w:val="0"/>
      <w:divBdr>
        <w:top w:val="none" w:sz="0" w:space="0" w:color="auto"/>
        <w:left w:val="none" w:sz="0" w:space="0" w:color="auto"/>
        <w:bottom w:val="none" w:sz="0" w:space="0" w:color="auto"/>
        <w:right w:val="none" w:sz="0" w:space="0" w:color="auto"/>
      </w:divBdr>
    </w:div>
    <w:div w:id="743646028">
      <w:bodyDiv w:val="1"/>
      <w:marLeft w:val="0"/>
      <w:marRight w:val="0"/>
      <w:marTop w:val="0"/>
      <w:marBottom w:val="0"/>
      <w:divBdr>
        <w:top w:val="none" w:sz="0" w:space="0" w:color="auto"/>
        <w:left w:val="none" w:sz="0" w:space="0" w:color="auto"/>
        <w:bottom w:val="none" w:sz="0" w:space="0" w:color="auto"/>
        <w:right w:val="none" w:sz="0" w:space="0" w:color="auto"/>
      </w:divBdr>
    </w:div>
    <w:div w:id="744911505">
      <w:bodyDiv w:val="1"/>
      <w:marLeft w:val="0"/>
      <w:marRight w:val="0"/>
      <w:marTop w:val="0"/>
      <w:marBottom w:val="0"/>
      <w:divBdr>
        <w:top w:val="none" w:sz="0" w:space="0" w:color="auto"/>
        <w:left w:val="none" w:sz="0" w:space="0" w:color="auto"/>
        <w:bottom w:val="none" w:sz="0" w:space="0" w:color="auto"/>
        <w:right w:val="none" w:sz="0" w:space="0" w:color="auto"/>
      </w:divBdr>
    </w:div>
    <w:div w:id="749667337">
      <w:bodyDiv w:val="1"/>
      <w:marLeft w:val="0"/>
      <w:marRight w:val="0"/>
      <w:marTop w:val="0"/>
      <w:marBottom w:val="0"/>
      <w:divBdr>
        <w:top w:val="none" w:sz="0" w:space="0" w:color="auto"/>
        <w:left w:val="none" w:sz="0" w:space="0" w:color="auto"/>
        <w:bottom w:val="none" w:sz="0" w:space="0" w:color="auto"/>
        <w:right w:val="none" w:sz="0" w:space="0" w:color="auto"/>
      </w:divBdr>
    </w:div>
    <w:div w:id="751858904">
      <w:bodyDiv w:val="1"/>
      <w:marLeft w:val="0"/>
      <w:marRight w:val="0"/>
      <w:marTop w:val="0"/>
      <w:marBottom w:val="0"/>
      <w:divBdr>
        <w:top w:val="none" w:sz="0" w:space="0" w:color="auto"/>
        <w:left w:val="none" w:sz="0" w:space="0" w:color="auto"/>
        <w:bottom w:val="none" w:sz="0" w:space="0" w:color="auto"/>
        <w:right w:val="none" w:sz="0" w:space="0" w:color="auto"/>
      </w:divBdr>
      <w:divsChild>
        <w:div w:id="65229745">
          <w:marLeft w:val="0"/>
          <w:marRight w:val="0"/>
          <w:marTop w:val="0"/>
          <w:marBottom w:val="0"/>
          <w:divBdr>
            <w:top w:val="none" w:sz="0" w:space="0" w:color="auto"/>
            <w:left w:val="none" w:sz="0" w:space="0" w:color="auto"/>
            <w:bottom w:val="none" w:sz="0" w:space="0" w:color="auto"/>
            <w:right w:val="none" w:sz="0" w:space="0" w:color="auto"/>
          </w:divBdr>
        </w:div>
        <w:div w:id="354768566">
          <w:marLeft w:val="0"/>
          <w:marRight w:val="0"/>
          <w:marTop w:val="0"/>
          <w:marBottom w:val="0"/>
          <w:divBdr>
            <w:top w:val="none" w:sz="0" w:space="0" w:color="auto"/>
            <w:left w:val="none" w:sz="0" w:space="0" w:color="auto"/>
            <w:bottom w:val="none" w:sz="0" w:space="0" w:color="auto"/>
            <w:right w:val="none" w:sz="0" w:space="0" w:color="auto"/>
          </w:divBdr>
        </w:div>
        <w:div w:id="482157335">
          <w:marLeft w:val="0"/>
          <w:marRight w:val="0"/>
          <w:marTop w:val="0"/>
          <w:marBottom w:val="0"/>
          <w:divBdr>
            <w:top w:val="none" w:sz="0" w:space="0" w:color="auto"/>
            <w:left w:val="none" w:sz="0" w:space="0" w:color="auto"/>
            <w:bottom w:val="none" w:sz="0" w:space="0" w:color="auto"/>
            <w:right w:val="none" w:sz="0" w:space="0" w:color="auto"/>
          </w:divBdr>
        </w:div>
        <w:div w:id="858276998">
          <w:marLeft w:val="0"/>
          <w:marRight w:val="0"/>
          <w:marTop w:val="0"/>
          <w:marBottom w:val="0"/>
          <w:divBdr>
            <w:top w:val="none" w:sz="0" w:space="0" w:color="auto"/>
            <w:left w:val="none" w:sz="0" w:space="0" w:color="auto"/>
            <w:bottom w:val="none" w:sz="0" w:space="0" w:color="auto"/>
            <w:right w:val="none" w:sz="0" w:space="0" w:color="auto"/>
          </w:divBdr>
        </w:div>
        <w:div w:id="975833936">
          <w:marLeft w:val="0"/>
          <w:marRight w:val="0"/>
          <w:marTop w:val="0"/>
          <w:marBottom w:val="0"/>
          <w:divBdr>
            <w:top w:val="none" w:sz="0" w:space="0" w:color="auto"/>
            <w:left w:val="none" w:sz="0" w:space="0" w:color="auto"/>
            <w:bottom w:val="none" w:sz="0" w:space="0" w:color="auto"/>
            <w:right w:val="none" w:sz="0" w:space="0" w:color="auto"/>
          </w:divBdr>
        </w:div>
        <w:div w:id="1431927814">
          <w:marLeft w:val="0"/>
          <w:marRight w:val="0"/>
          <w:marTop w:val="0"/>
          <w:marBottom w:val="0"/>
          <w:divBdr>
            <w:top w:val="none" w:sz="0" w:space="0" w:color="auto"/>
            <w:left w:val="none" w:sz="0" w:space="0" w:color="auto"/>
            <w:bottom w:val="none" w:sz="0" w:space="0" w:color="auto"/>
            <w:right w:val="none" w:sz="0" w:space="0" w:color="auto"/>
          </w:divBdr>
        </w:div>
        <w:div w:id="1551112478">
          <w:marLeft w:val="0"/>
          <w:marRight w:val="0"/>
          <w:marTop w:val="0"/>
          <w:marBottom w:val="0"/>
          <w:divBdr>
            <w:top w:val="none" w:sz="0" w:space="0" w:color="auto"/>
            <w:left w:val="none" w:sz="0" w:space="0" w:color="auto"/>
            <w:bottom w:val="none" w:sz="0" w:space="0" w:color="auto"/>
            <w:right w:val="none" w:sz="0" w:space="0" w:color="auto"/>
          </w:divBdr>
        </w:div>
        <w:div w:id="1978101797">
          <w:marLeft w:val="0"/>
          <w:marRight w:val="0"/>
          <w:marTop w:val="0"/>
          <w:marBottom w:val="0"/>
          <w:divBdr>
            <w:top w:val="none" w:sz="0" w:space="0" w:color="auto"/>
            <w:left w:val="none" w:sz="0" w:space="0" w:color="auto"/>
            <w:bottom w:val="none" w:sz="0" w:space="0" w:color="auto"/>
            <w:right w:val="none" w:sz="0" w:space="0" w:color="auto"/>
          </w:divBdr>
        </w:div>
      </w:divsChild>
    </w:div>
    <w:div w:id="756556185">
      <w:bodyDiv w:val="1"/>
      <w:marLeft w:val="0"/>
      <w:marRight w:val="0"/>
      <w:marTop w:val="0"/>
      <w:marBottom w:val="0"/>
      <w:divBdr>
        <w:top w:val="none" w:sz="0" w:space="0" w:color="auto"/>
        <w:left w:val="none" w:sz="0" w:space="0" w:color="auto"/>
        <w:bottom w:val="none" w:sz="0" w:space="0" w:color="auto"/>
        <w:right w:val="none" w:sz="0" w:space="0" w:color="auto"/>
      </w:divBdr>
    </w:div>
    <w:div w:id="756904473">
      <w:bodyDiv w:val="1"/>
      <w:marLeft w:val="0"/>
      <w:marRight w:val="0"/>
      <w:marTop w:val="0"/>
      <w:marBottom w:val="0"/>
      <w:divBdr>
        <w:top w:val="none" w:sz="0" w:space="0" w:color="auto"/>
        <w:left w:val="none" w:sz="0" w:space="0" w:color="auto"/>
        <w:bottom w:val="none" w:sz="0" w:space="0" w:color="auto"/>
        <w:right w:val="none" w:sz="0" w:space="0" w:color="auto"/>
      </w:divBdr>
    </w:div>
    <w:div w:id="763843988">
      <w:bodyDiv w:val="1"/>
      <w:marLeft w:val="0"/>
      <w:marRight w:val="0"/>
      <w:marTop w:val="0"/>
      <w:marBottom w:val="0"/>
      <w:divBdr>
        <w:top w:val="none" w:sz="0" w:space="0" w:color="auto"/>
        <w:left w:val="none" w:sz="0" w:space="0" w:color="auto"/>
        <w:bottom w:val="none" w:sz="0" w:space="0" w:color="auto"/>
        <w:right w:val="none" w:sz="0" w:space="0" w:color="auto"/>
      </w:divBdr>
    </w:div>
    <w:div w:id="764569708">
      <w:bodyDiv w:val="1"/>
      <w:marLeft w:val="0"/>
      <w:marRight w:val="0"/>
      <w:marTop w:val="0"/>
      <w:marBottom w:val="0"/>
      <w:divBdr>
        <w:top w:val="none" w:sz="0" w:space="0" w:color="auto"/>
        <w:left w:val="none" w:sz="0" w:space="0" w:color="auto"/>
        <w:bottom w:val="none" w:sz="0" w:space="0" w:color="auto"/>
        <w:right w:val="none" w:sz="0" w:space="0" w:color="auto"/>
      </w:divBdr>
    </w:div>
    <w:div w:id="764688800">
      <w:bodyDiv w:val="1"/>
      <w:marLeft w:val="0"/>
      <w:marRight w:val="0"/>
      <w:marTop w:val="0"/>
      <w:marBottom w:val="0"/>
      <w:divBdr>
        <w:top w:val="none" w:sz="0" w:space="0" w:color="auto"/>
        <w:left w:val="none" w:sz="0" w:space="0" w:color="auto"/>
        <w:bottom w:val="none" w:sz="0" w:space="0" w:color="auto"/>
        <w:right w:val="none" w:sz="0" w:space="0" w:color="auto"/>
      </w:divBdr>
    </w:div>
    <w:div w:id="767576563">
      <w:bodyDiv w:val="1"/>
      <w:marLeft w:val="0"/>
      <w:marRight w:val="0"/>
      <w:marTop w:val="0"/>
      <w:marBottom w:val="0"/>
      <w:divBdr>
        <w:top w:val="none" w:sz="0" w:space="0" w:color="auto"/>
        <w:left w:val="none" w:sz="0" w:space="0" w:color="auto"/>
        <w:bottom w:val="none" w:sz="0" w:space="0" w:color="auto"/>
        <w:right w:val="none" w:sz="0" w:space="0" w:color="auto"/>
      </w:divBdr>
    </w:div>
    <w:div w:id="768545742">
      <w:bodyDiv w:val="1"/>
      <w:marLeft w:val="0"/>
      <w:marRight w:val="0"/>
      <w:marTop w:val="0"/>
      <w:marBottom w:val="0"/>
      <w:divBdr>
        <w:top w:val="none" w:sz="0" w:space="0" w:color="auto"/>
        <w:left w:val="none" w:sz="0" w:space="0" w:color="auto"/>
        <w:bottom w:val="none" w:sz="0" w:space="0" w:color="auto"/>
        <w:right w:val="none" w:sz="0" w:space="0" w:color="auto"/>
      </w:divBdr>
    </w:div>
    <w:div w:id="773941784">
      <w:bodyDiv w:val="1"/>
      <w:marLeft w:val="0"/>
      <w:marRight w:val="0"/>
      <w:marTop w:val="0"/>
      <w:marBottom w:val="0"/>
      <w:divBdr>
        <w:top w:val="none" w:sz="0" w:space="0" w:color="auto"/>
        <w:left w:val="none" w:sz="0" w:space="0" w:color="auto"/>
        <w:bottom w:val="none" w:sz="0" w:space="0" w:color="auto"/>
        <w:right w:val="none" w:sz="0" w:space="0" w:color="auto"/>
      </w:divBdr>
    </w:div>
    <w:div w:id="776800879">
      <w:bodyDiv w:val="1"/>
      <w:marLeft w:val="0"/>
      <w:marRight w:val="0"/>
      <w:marTop w:val="0"/>
      <w:marBottom w:val="0"/>
      <w:divBdr>
        <w:top w:val="none" w:sz="0" w:space="0" w:color="auto"/>
        <w:left w:val="none" w:sz="0" w:space="0" w:color="auto"/>
        <w:bottom w:val="none" w:sz="0" w:space="0" w:color="auto"/>
        <w:right w:val="none" w:sz="0" w:space="0" w:color="auto"/>
      </w:divBdr>
    </w:div>
    <w:div w:id="776870559">
      <w:bodyDiv w:val="1"/>
      <w:marLeft w:val="0"/>
      <w:marRight w:val="0"/>
      <w:marTop w:val="0"/>
      <w:marBottom w:val="0"/>
      <w:divBdr>
        <w:top w:val="none" w:sz="0" w:space="0" w:color="auto"/>
        <w:left w:val="none" w:sz="0" w:space="0" w:color="auto"/>
        <w:bottom w:val="none" w:sz="0" w:space="0" w:color="auto"/>
        <w:right w:val="none" w:sz="0" w:space="0" w:color="auto"/>
      </w:divBdr>
    </w:div>
    <w:div w:id="780564525">
      <w:bodyDiv w:val="1"/>
      <w:marLeft w:val="0"/>
      <w:marRight w:val="0"/>
      <w:marTop w:val="0"/>
      <w:marBottom w:val="0"/>
      <w:divBdr>
        <w:top w:val="none" w:sz="0" w:space="0" w:color="auto"/>
        <w:left w:val="none" w:sz="0" w:space="0" w:color="auto"/>
        <w:bottom w:val="none" w:sz="0" w:space="0" w:color="auto"/>
        <w:right w:val="none" w:sz="0" w:space="0" w:color="auto"/>
      </w:divBdr>
    </w:div>
    <w:div w:id="785927748">
      <w:bodyDiv w:val="1"/>
      <w:marLeft w:val="0"/>
      <w:marRight w:val="0"/>
      <w:marTop w:val="0"/>
      <w:marBottom w:val="0"/>
      <w:divBdr>
        <w:top w:val="none" w:sz="0" w:space="0" w:color="auto"/>
        <w:left w:val="none" w:sz="0" w:space="0" w:color="auto"/>
        <w:bottom w:val="none" w:sz="0" w:space="0" w:color="auto"/>
        <w:right w:val="none" w:sz="0" w:space="0" w:color="auto"/>
      </w:divBdr>
      <w:divsChild>
        <w:div w:id="1960060966">
          <w:marLeft w:val="0"/>
          <w:marRight w:val="0"/>
          <w:marTop w:val="0"/>
          <w:marBottom w:val="0"/>
          <w:divBdr>
            <w:top w:val="none" w:sz="0" w:space="0" w:color="auto"/>
            <w:left w:val="none" w:sz="0" w:space="0" w:color="auto"/>
            <w:bottom w:val="none" w:sz="0" w:space="0" w:color="auto"/>
            <w:right w:val="none" w:sz="0" w:space="0" w:color="auto"/>
          </w:divBdr>
        </w:div>
      </w:divsChild>
    </w:div>
    <w:div w:id="794717029">
      <w:bodyDiv w:val="1"/>
      <w:marLeft w:val="0"/>
      <w:marRight w:val="0"/>
      <w:marTop w:val="0"/>
      <w:marBottom w:val="0"/>
      <w:divBdr>
        <w:top w:val="none" w:sz="0" w:space="0" w:color="auto"/>
        <w:left w:val="none" w:sz="0" w:space="0" w:color="auto"/>
        <w:bottom w:val="none" w:sz="0" w:space="0" w:color="auto"/>
        <w:right w:val="none" w:sz="0" w:space="0" w:color="auto"/>
      </w:divBdr>
    </w:div>
    <w:div w:id="795103413">
      <w:bodyDiv w:val="1"/>
      <w:marLeft w:val="0"/>
      <w:marRight w:val="0"/>
      <w:marTop w:val="0"/>
      <w:marBottom w:val="0"/>
      <w:divBdr>
        <w:top w:val="none" w:sz="0" w:space="0" w:color="auto"/>
        <w:left w:val="none" w:sz="0" w:space="0" w:color="auto"/>
        <w:bottom w:val="none" w:sz="0" w:space="0" w:color="auto"/>
        <w:right w:val="none" w:sz="0" w:space="0" w:color="auto"/>
      </w:divBdr>
    </w:div>
    <w:div w:id="796338178">
      <w:bodyDiv w:val="1"/>
      <w:marLeft w:val="0"/>
      <w:marRight w:val="0"/>
      <w:marTop w:val="0"/>
      <w:marBottom w:val="0"/>
      <w:divBdr>
        <w:top w:val="none" w:sz="0" w:space="0" w:color="auto"/>
        <w:left w:val="none" w:sz="0" w:space="0" w:color="auto"/>
        <w:bottom w:val="none" w:sz="0" w:space="0" w:color="auto"/>
        <w:right w:val="none" w:sz="0" w:space="0" w:color="auto"/>
      </w:divBdr>
      <w:divsChild>
        <w:div w:id="1402411821">
          <w:marLeft w:val="1387"/>
          <w:marRight w:val="1387"/>
          <w:marTop w:val="0"/>
          <w:marBottom w:val="0"/>
          <w:divBdr>
            <w:top w:val="none" w:sz="0" w:space="0" w:color="auto"/>
            <w:left w:val="none" w:sz="0" w:space="0" w:color="auto"/>
            <w:bottom w:val="none" w:sz="0" w:space="0" w:color="auto"/>
            <w:right w:val="none" w:sz="0" w:space="0" w:color="auto"/>
          </w:divBdr>
        </w:div>
      </w:divsChild>
    </w:div>
    <w:div w:id="799567485">
      <w:bodyDiv w:val="1"/>
      <w:marLeft w:val="0"/>
      <w:marRight w:val="0"/>
      <w:marTop w:val="0"/>
      <w:marBottom w:val="0"/>
      <w:divBdr>
        <w:top w:val="none" w:sz="0" w:space="0" w:color="auto"/>
        <w:left w:val="none" w:sz="0" w:space="0" w:color="auto"/>
        <w:bottom w:val="none" w:sz="0" w:space="0" w:color="auto"/>
        <w:right w:val="none" w:sz="0" w:space="0" w:color="auto"/>
      </w:divBdr>
    </w:div>
    <w:div w:id="799569845">
      <w:bodyDiv w:val="1"/>
      <w:marLeft w:val="0"/>
      <w:marRight w:val="0"/>
      <w:marTop w:val="0"/>
      <w:marBottom w:val="0"/>
      <w:divBdr>
        <w:top w:val="none" w:sz="0" w:space="0" w:color="auto"/>
        <w:left w:val="none" w:sz="0" w:space="0" w:color="auto"/>
        <w:bottom w:val="none" w:sz="0" w:space="0" w:color="auto"/>
        <w:right w:val="none" w:sz="0" w:space="0" w:color="auto"/>
      </w:divBdr>
    </w:div>
    <w:div w:id="799881625">
      <w:bodyDiv w:val="1"/>
      <w:marLeft w:val="0"/>
      <w:marRight w:val="0"/>
      <w:marTop w:val="0"/>
      <w:marBottom w:val="0"/>
      <w:divBdr>
        <w:top w:val="none" w:sz="0" w:space="0" w:color="auto"/>
        <w:left w:val="none" w:sz="0" w:space="0" w:color="auto"/>
        <w:bottom w:val="none" w:sz="0" w:space="0" w:color="auto"/>
        <w:right w:val="none" w:sz="0" w:space="0" w:color="auto"/>
      </w:divBdr>
    </w:div>
    <w:div w:id="803356597">
      <w:bodyDiv w:val="1"/>
      <w:marLeft w:val="0"/>
      <w:marRight w:val="0"/>
      <w:marTop w:val="0"/>
      <w:marBottom w:val="0"/>
      <w:divBdr>
        <w:top w:val="none" w:sz="0" w:space="0" w:color="auto"/>
        <w:left w:val="none" w:sz="0" w:space="0" w:color="auto"/>
        <w:bottom w:val="none" w:sz="0" w:space="0" w:color="auto"/>
        <w:right w:val="none" w:sz="0" w:space="0" w:color="auto"/>
      </w:divBdr>
    </w:div>
    <w:div w:id="804196539">
      <w:bodyDiv w:val="1"/>
      <w:marLeft w:val="0"/>
      <w:marRight w:val="0"/>
      <w:marTop w:val="0"/>
      <w:marBottom w:val="0"/>
      <w:divBdr>
        <w:top w:val="none" w:sz="0" w:space="0" w:color="auto"/>
        <w:left w:val="none" w:sz="0" w:space="0" w:color="auto"/>
        <w:bottom w:val="none" w:sz="0" w:space="0" w:color="auto"/>
        <w:right w:val="none" w:sz="0" w:space="0" w:color="auto"/>
      </w:divBdr>
    </w:div>
    <w:div w:id="805588572">
      <w:bodyDiv w:val="1"/>
      <w:marLeft w:val="0"/>
      <w:marRight w:val="0"/>
      <w:marTop w:val="0"/>
      <w:marBottom w:val="0"/>
      <w:divBdr>
        <w:top w:val="none" w:sz="0" w:space="0" w:color="auto"/>
        <w:left w:val="none" w:sz="0" w:space="0" w:color="auto"/>
        <w:bottom w:val="none" w:sz="0" w:space="0" w:color="auto"/>
        <w:right w:val="none" w:sz="0" w:space="0" w:color="auto"/>
      </w:divBdr>
    </w:div>
    <w:div w:id="807625950">
      <w:bodyDiv w:val="1"/>
      <w:marLeft w:val="0"/>
      <w:marRight w:val="0"/>
      <w:marTop w:val="0"/>
      <w:marBottom w:val="0"/>
      <w:divBdr>
        <w:top w:val="none" w:sz="0" w:space="0" w:color="auto"/>
        <w:left w:val="none" w:sz="0" w:space="0" w:color="auto"/>
        <w:bottom w:val="none" w:sz="0" w:space="0" w:color="auto"/>
        <w:right w:val="none" w:sz="0" w:space="0" w:color="auto"/>
      </w:divBdr>
    </w:div>
    <w:div w:id="818226846">
      <w:bodyDiv w:val="1"/>
      <w:marLeft w:val="0"/>
      <w:marRight w:val="0"/>
      <w:marTop w:val="0"/>
      <w:marBottom w:val="0"/>
      <w:divBdr>
        <w:top w:val="none" w:sz="0" w:space="0" w:color="auto"/>
        <w:left w:val="none" w:sz="0" w:space="0" w:color="auto"/>
        <w:bottom w:val="none" w:sz="0" w:space="0" w:color="auto"/>
        <w:right w:val="none" w:sz="0" w:space="0" w:color="auto"/>
      </w:divBdr>
    </w:div>
    <w:div w:id="819539192">
      <w:bodyDiv w:val="1"/>
      <w:marLeft w:val="0"/>
      <w:marRight w:val="0"/>
      <w:marTop w:val="0"/>
      <w:marBottom w:val="0"/>
      <w:divBdr>
        <w:top w:val="none" w:sz="0" w:space="0" w:color="auto"/>
        <w:left w:val="none" w:sz="0" w:space="0" w:color="auto"/>
        <w:bottom w:val="none" w:sz="0" w:space="0" w:color="auto"/>
        <w:right w:val="none" w:sz="0" w:space="0" w:color="auto"/>
      </w:divBdr>
      <w:divsChild>
        <w:div w:id="676419011">
          <w:marLeft w:val="547"/>
          <w:marRight w:val="0"/>
          <w:marTop w:val="96"/>
          <w:marBottom w:val="0"/>
          <w:divBdr>
            <w:top w:val="none" w:sz="0" w:space="0" w:color="auto"/>
            <w:left w:val="none" w:sz="0" w:space="0" w:color="auto"/>
            <w:bottom w:val="none" w:sz="0" w:space="0" w:color="auto"/>
            <w:right w:val="none" w:sz="0" w:space="0" w:color="auto"/>
          </w:divBdr>
        </w:div>
        <w:div w:id="749230238">
          <w:marLeft w:val="547"/>
          <w:marRight w:val="0"/>
          <w:marTop w:val="96"/>
          <w:marBottom w:val="0"/>
          <w:divBdr>
            <w:top w:val="none" w:sz="0" w:space="0" w:color="auto"/>
            <w:left w:val="none" w:sz="0" w:space="0" w:color="auto"/>
            <w:bottom w:val="none" w:sz="0" w:space="0" w:color="auto"/>
            <w:right w:val="none" w:sz="0" w:space="0" w:color="auto"/>
          </w:divBdr>
        </w:div>
        <w:div w:id="933786143">
          <w:marLeft w:val="547"/>
          <w:marRight w:val="0"/>
          <w:marTop w:val="96"/>
          <w:marBottom w:val="0"/>
          <w:divBdr>
            <w:top w:val="none" w:sz="0" w:space="0" w:color="auto"/>
            <w:left w:val="none" w:sz="0" w:space="0" w:color="auto"/>
            <w:bottom w:val="none" w:sz="0" w:space="0" w:color="auto"/>
            <w:right w:val="none" w:sz="0" w:space="0" w:color="auto"/>
          </w:divBdr>
        </w:div>
        <w:div w:id="1047991691">
          <w:marLeft w:val="547"/>
          <w:marRight w:val="0"/>
          <w:marTop w:val="96"/>
          <w:marBottom w:val="0"/>
          <w:divBdr>
            <w:top w:val="none" w:sz="0" w:space="0" w:color="auto"/>
            <w:left w:val="none" w:sz="0" w:space="0" w:color="auto"/>
            <w:bottom w:val="none" w:sz="0" w:space="0" w:color="auto"/>
            <w:right w:val="none" w:sz="0" w:space="0" w:color="auto"/>
          </w:divBdr>
        </w:div>
        <w:div w:id="1116872375">
          <w:marLeft w:val="547"/>
          <w:marRight w:val="0"/>
          <w:marTop w:val="96"/>
          <w:marBottom w:val="0"/>
          <w:divBdr>
            <w:top w:val="none" w:sz="0" w:space="0" w:color="auto"/>
            <w:left w:val="none" w:sz="0" w:space="0" w:color="auto"/>
            <w:bottom w:val="none" w:sz="0" w:space="0" w:color="auto"/>
            <w:right w:val="none" w:sz="0" w:space="0" w:color="auto"/>
          </w:divBdr>
        </w:div>
        <w:div w:id="1832133482">
          <w:marLeft w:val="547"/>
          <w:marRight w:val="0"/>
          <w:marTop w:val="96"/>
          <w:marBottom w:val="0"/>
          <w:divBdr>
            <w:top w:val="none" w:sz="0" w:space="0" w:color="auto"/>
            <w:left w:val="none" w:sz="0" w:space="0" w:color="auto"/>
            <w:bottom w:val="none" w:sz="0" w:space="0" w:color="auto"/>
            <w:right w:val="none" w:sz="0" w:space="0" w:color="auto"/>
          </w:divBdr>
        </w:div>
      </w:divsChild>
    </w:div>
    <w:div w:id="820542308">
      <w:bodyDiv w:val="1"/>
      <w:marLeft w:val="0"/>
      <w:marRight w:val="0"/>
      <w:marTop w:val="0"/>
      <w:marBottom w:val="0"/>
      <w:divBdr>
        <w:top w:val="none" w:sz="0" w:space="0" w:color="auto"/>
        <w:left w:val="none" w:sz="0" w:space="0" w:color="auto"/>
        <w:bottom w:val="none" w:sz="0" w:space="0" w:color="auto"/>
        <w:right w:val="none" w:sz="0" w:space="0" w:color="auto"/>
      </w:divBdr>
    </w:div>
    <w:div w:id="826170354">
      <w:bodyDiv w:val="1"/>
      <w:marLeft w:val="0"/>
      <w:marRight w:val="0"/>
      <w:marTop w:val="0"/>
      <w:marBottom w:val="0"/>
      <w:divBdr>
        <w:top w:val="none" w:sz="0" w:space="0" w:color="auto"/>
        <w:left w:val="none" w:sz="0" w:space="0" w:color="auto"/>
        <w:bottom w:val="none" w:sz="0" w:space="0" w:color="auto"/>
        <w:right w:val="none" w:sz="0" w:space="0" w:color="auto"/>
      </w:divBdr>
    </w:div>
    <w:div w:id="840002502">
      <w:bodyDiv w:val="1"/>
      <w:marLeft w:val="0"/>
      <w:marRight w:val="0"/>
      <w:marTop w:val="0"/>
      <w:marBottom w:val="0"/>
      <w:divBdr>
        <w:top w:val="none" w:sz="0" w:space="0" w:color="auto"/>
        <w:left w:val="none" w:sz="0" w:space="0" w:color="auto"/>
        <w:bottom w:val="none" w:sz="0" w:space="0" w:color="auto"/>
        <w:right w:val="none" w:sz="0" w:space="0" w:color="auto"/>
      </w:divBdr>
    </w:div>
    <w:div w:id="841890267">
      <w:bodyDiv w:val="1"/>
      <w:marLeft w:val="0"/>
      <w:marRight w:val="0"/>
      <w:marTop w:val="0"/>
      <w:marBottom w:val="0"/>
      <w:divBdr>
        <w:top w:val="none" w:sz="0" w:space="0" w:color="auto"/>
        <w:left w:val="none" w:sz="0" w:space="0" w:color="auto"/>
        <w:bottom w:val="none" w:sz="0" w:space="0" w:color="auto"/>
        <w:right w:val="none" w:sz="0" w:space="0" w:color="auto"/>
      </w:divBdr>
    </w:div>
    <w:div w:id="846022142">
      <w:bodyDiv w:val="1"/>
      <w:marLeft w:val="0"/>
      <w:marRight w:val="0"/>
      <w:marTop w:val="0"/>
      <w:marBottom w:val="0"/>
      <w:divBdr>
        <w:top w:val="none" w:sz="0" w:space="0" w:color="auto"/>
        <w:left w:val="none" w:sz="0" w:space="0" w:color="auto"/>
        <w:bottom w:val="none" w:sz="0" w:space="0" w:color="auto"/>
        <w:right w:val="none" w:sz="0" w:space="0" w:color="auto"/>
      </w:divBdr>
    </w:div>
    <w:div w:id="846410003">
      <w:bodyDiv w:val="1"/>
      <w:marLeft w:val="0"/>
      <w:marRight w:val="0"/>
      <w:marTop w:val="0"/>
      <w:marBottom w:val="0"/>
      <w:divBdr>
        <w:top w:val="none" w:sz="0" w:space="0" w:color="auto"/>
        <w:left w:val="none" w:sz="0" w:space="0" w:color="auto"/>
        <w:bottom w:val="none" w:sz="0" w:space="0" w:color="auto"/>
        <w:right w:val="none" w:sz="0" w:space="0" w:color="auto"/>
      </w:divBdr>
    </w:div>
    <w:div w:id="851181892">
      <w:bodyDiv w:val="1"/>
      <w:marLeft w:val="0"/>
      <w:marRight w:val="0"/>
      <w:marTop w:val="0"/>
      <w:marBottom w:val="0"/>
      <w:divBdr>
        <w:top w:val="none" w:sz="0" w:space="0" w:color="auto"/>
        <w:left w:val="none" w:sz="0" w:space="0" w:color="auto"/>
        <w:bottom w:val="none" w:sz="0" w:space="0" w:color="auto"/>
        <w:right w:val="none" w:sz="0" w:space="0" w:color="auto"/>
      </w:divBdr>
    </w:div>
    <w:div w:id="852648164">
      <w:bodyDiv w:val="1"/>
      <w:marLeft w:val="0"/>
      <w:marRight w:val="0"/>
      <w:marTop w:val="0"/>
      <w:marBottom w:val="0"/>
      <w:divBdr>
        <w:top w:val="none" w:sz="0" w:space="0" w:color="auto"/>
        <w:left w:val="none" w:sz="0" w:space="0" w:color="auto"/>
        <w:bottom w:val="none" w:sz="0" w:space="0" w:color="auto"/>
        <w:right w:val="none" w:sz="0" w:space="0" w:color="auto"/>
      </w:divBdr>
      <w:divsChild>
        <w:div w:id="388502667">
          <w:marLeft w:val="547"/>
          <w:marRight w:val="0"/>
          <w:marTop w:val="0"/>
          <w:marBottom w:val="0"/>
          <w:divBdr>
            <w:top w:val="none" w:sz="0" w:space="0" w:color="auto"/>
            <w:left w:val="none" w:sz="0" w:space="0" w:color="auto"/>
            <w:bottom w:val="none" w:sz="0" w:space="0" w:color="auto"/>
            <w:right w:val="none" w:sz="0" w:space="0" w:color="auto"/>
          </w:divBdr>
        </w:div>
      </w:divsChild>
    </w:div>
    <w:div w:id="853962287">
      <w:bodyDiv w:val="1"/>
      <w:marLeft w:val="0"/>
      <w:marRight w:val="0"/>
      <w:marTop w:val="0"/>
      <w:marBottom w:val="0"/>
      <w:divBdr>
        <w:top w:val="none" w:sz="0" w:space="0" w:color="auto"/>
        <w:left w:val="none" w:sz="0" w:space="0" w:color="auto"/>
        <w:bottom w:val="none" w:sz="0" w:space="0" w:color="auto"/>
        <w:right w:val="none" w:sz="0" w:space="0" w:color="auto"/>
      </w:divBdr>
    </w:div>
    <w:div w:id="861164561">
      <w:bodyDiv w:val="1"/>
      <w:marLeft w:val="0"/>
      <w:marRight w:val="0"/>
      <w:marTop w:val="0"/>
      <w:marBottom w:val="0"/>
      <w:divBdr>
        <w:top w:val="none" w:sz="0" w:space="0" w:color="auto"/>
        <w:left w:val="none" w:sz="0" w:space="0" w:color="auto"/>
        <w:bottom w:val="none" w:sz="0" w:space="0" w:color="auto"/>
        <w:right w:val="none" w:sz="0" w:space="0" w:color="auto"/>
      </w:divBdr>
    </w:div>
    <w:div w:id="862666089">
      <w:bodyDiv w:val="1"/>
      <w:marLeft w:val="0"/>
      <w:marRight w:val="0"/>
      <w:marTop w:val="0"/>
      <w:marBottom w:val="0"/>
      <w:divBdr>
        <w:top w:val="none" w:sz="0" w:space="0" w:color="auto"/>
        <w:left w:val="none" w:sz="0" w:space="0" w:color="auto"/>
        <w:bottom w:val="none" w:sz="0" w:space="0" w:color="auto"/>
        <w:right w:val="none" w:sz="0" w:space="0" w:color="auto"/>
      </w:divBdr>
    </w:div>
    <w:div w:id="870724104">
      <w:bodyDiv w:val="1"/>
      <w:marLeft w:val="0"/>
      <w:marRight w:val="0"/>
      <w:marTop w:val="0"/>
      <w:marBottom w:val="0"/>
      <w:divBdr>
        <w:top w:val="none" w:sz="0" w:space="0" w:color="auto"/>
        <w:left w:val="none" w:sz="0" w:space="0" w:color="auto"/>
        <w:bottom w:val="none" w:sz="0" w:space="0" w:color="auto"/>
        <w:right w:val="none" w:sz="0" w:space="0" w:color="auto"/>
      </w:divBdr>
    </w:div>
    <w:div w:id="873927637">
      <w:bodyDiv w:val="1"/>
      <w:marLeft w:val="0"/>
      <w:marRight w:val="0"/>
      <w:marTop w:val="0"/>
      <w:marBottom w:val="0"/>
      <w:divBdr>
        <w:top w:val="none" w:sz="0" w:space="0" w:color="auto"/>
        <w:left w:val="none" w:sz="0" w:space="0" w:color="auto"/>
        <w:bottom w:val="none" w:sz="0" w:space="0" w:color="auto"/>
        <w:right w:val="none" w:sz="0" w:space="0" w:color="auto"/>
      </w:divBdr>
    </w:div>
    <w:div w:id="874390310">
      <w:bodyDiv w:val="1"/>
      <w:marLeft w:val="0"/>
      <w:marRight w:val="0"/>
      <w:marTop w:val="0"/>
      <w:marBottom w:val="0"/>
      <w:divBdr>
        <w:top w:val="none" w:sz="0" w:space="0" w:color="auto"/>
        <w:left w:val="none" w:sz="0" w:space="0" w:color="auto"/>
        <w:bottom w:val="none" w:sz="0" w:space="0" w:color="auto"/>
        <w:right w:val="none" w:sz="0" w:space="0" w:color="auto"/>
      </w:divBdr>
    </w:div>
    <w:div w:id="875196311">
      <w:bodyDiv w:val="1"/>
      <w:marLeft w:val="0"/>
      <w:marRight w:val="0"/>
      <w:marTop w:val="0"/>
      <w:marBottom w:val="0"/>
      <w:divBdr>
        <w:top w:val="none" w:sz="0" w:space="0" w:color="auto"/>
        <w:left w:val="none" w:sz="0" w:space="0" w:color="auto"/>
        <w:bottom w:val="none" w:sz="0" w:space="0" w:color="auto"/>
        <w:right w:val="none" w:sz="0" w:space="0" w:color="auto"/>
      </w:divBdr>
      <w:divsChild>
        <w:div w:id="1275670571">
          <w:marLeft w:val="547"/>
          <w:marRight w:val="0"/>
          <w:marTop w:val="0"/>
          <w:marBottom w:val="0"/>
          <w:divBdr>
            <w:top w:val="none" w:sz="0" w:space="0" w:color="auto"/>
            <w:left w:val="none" w:sz="0" w:space="0" w:color="auto"/>
            <w:bottom w:val="none" w:sz="0" w:space="0" w:color="auto"/>
            <w:right w:val="none" w:sz="0" w:space="0" w:color="auto"/>
          </w:divBdr>
        </w:div>
        <w:div w:id="793594986">
          <w:marLeft w:val="547"/>
          <w:marRight w:val="0"/>
          <w:marTop w:val="0"/>
          <w:marBottom w:val="0"/>
          <w:divBdr>
            <w:top w:val="none" w:sz="0" w:space="0" w:color="auto"/>
            <w:left w:val="none" w:sz="0" w:space="0" w:color="auto"/>
            <w:bottom w:val="none" w:sz="0" w:space="0" w:color="auto"/>
            <w:right w:val="none" w:sz="0" w:space="0" w:color="auto"/>
          </w:divBdr>
        </w:div>
        <w:div w:id="729153988">
          <w:marLeft w:val="547"/>
          <w:marRight w:val="0"/>
          <w:marTop w:val="0"/>
          <w:marBottom w:val="0"/>
          <w:divBdr>
            <w:top w:val="none" w:sz="0" w:space="0" w:color="auto"/>
            <w:left w:val="none" w:sz="0" w:space="0" w:color="auto"/>
            <w:bottom w:val="none" w:sz="0" w:space="0" w:color="auto"/>
            <w:right w:val="none" w:sz="0" w:space="0" w:color="auto"/>
          </w:divBdr>
        </w:div>
        <w:div w:id="65304207">
          <w:marLeft w:val="547"/>
          <w:marRight w:val="0"/>
          <w:marTop w:val="0"/>
          <w:marBottom w:val="0"/>
          <w:divBdr>
            <w:top w:val="none" w:sz="0" w:space="0" w:color="auto"/>
            <w:left w:val="none" w:sz="0" w:space="0" w:color="auto"/>
            <w:bottom w:val="none" w:sz="0" w:space="0" w:color="auto"/>
            <w:right w:val="none" w:sz="0" w:space="0" w:color="auto"/>
          </w:divBdr>
        </w:div>
        <w:div w:id="1553300570">
          <w:marLeft w:val="547"/>
          <w:marRight w:val="0"/>
          <w:marTop w:val="0"/>
          <w:marBottom w:val="0"/>
          <w:divBdr>
            <w:top w:val="none" w:sz="0" w:space="0" w:color="auto"/>
            <w:left w:val="none" w:sz="0" w:space="0" w:color="auto"/>
            <w:bottom w:val="none" w:sz="0" w:space="0" w:color="auto"/>
            <w:right w:val="none" w:sz="0" w:space="0" w:color="auto"/>
          </w:divBdr>
        </w:div>
      </w:divsChild>
    </w:div>
    <w:div w:id="877354836">
      <w:bodyDiv w:val="1"/>
      <w:marLeft w:val="0"/>
      <w:marRight w:val="0"/>
      <w:marTop w:val="0"/>
      <w:marBottom w:val="0"/>
      <w:divBdr>
        <w:top w:val="none" w:sz="0" w:space="0" w:color="auto"/>
        <w:left w:val="none" w:sz="0" w:space="0" w:color="auto"/>
        <w:bottom w:val="none" w:sz="0" w:space="0" w:color="auto"/>
        <w:right w:val="none" w:sz="0" w:space="0" w:color="auto"/>
      </w:divBdr>
    </w:div>
    <w:div w:id="884872649">
      <w:bodyDiv w:val="1"/>
      <w:marLeft w:val="0"/>
      <w:marRight w:val="0"/>
      <w:marTop w:val="0"/>
      <w:marBottom w:val="0"/>
      <w:divBdr>
        <w:top w:val="none" w:sz="0" w:space="0" w:color="auto"/>
        <w:left w:val="none" w:sz="0" w:space="0" w:color="auto"/>
        <w:bottom w:val="none" w:sz="0" w:space="0" w:color="auto"/>
        <w:right w:val="none" w:sz="0" w:space="0" w:color="auto"/>
      </w:divBdr>
    </w:div>
    <w:div w:id="886798589">
      <w:bodyDiv w:val="1"/>
      <w:marLeft w:val="0"/>
      <w:marRight w:val="0"/>
      <w:marTop w:val="0"/>
      <w:marBottom w:val="0"/>
      <w:divBdr>
        <w:top w:val="none" w:sz="0" w:space="0" w:color="auto"/>
        <w:left w:val="none" w:sz="0" w:space="0" w:color="auto"/>
        <w:bottom w:val="none" w:sz="0" w:space="0" w:color="auto"/>
        <w:right w:val="none" w:sz="0" w:space="0" w:color="auto"/>
      </w:divBdr>
      <w:divsChild>
        <w:div w:id="630476066">
          <w:marLeft w:val="0"/>
          <w:marRight w:val="0"/>
          <w:marTop w:val="0"/>
          <w:marBottom w:val="0"/>
          <w:divBdr>
            <w:top w:val="none" w:sz="0" w:space="0" w:color="auto"/>
            <w:left w:val="none" w:sz="0" w:space="0" w:color="auto"/>
            <w:bottom w:val="none" w:sz="0" w:space="0" w:color="auto"/>
            <w:right w:val="none" w:sz="0" w:space="0" w:color="auto"/>
          </w:divBdr>
        </w:div>
        <w:div w:id="646587350">
          <w:marLeft w:val="0"/>
          <w:marRight w:val="0"/>
          <w:marTop w:val="0"/>
          <w:marBottom w:val="0"/>
          <w:divBdr>
            <w:top w:val="none" w:sz="0" w:space="0" w:color="auto"/>
            <w:left w:val="none" w:sz="0" w:space="0" w:color="auto"/>
            <w:bottom w:val="none" w:sz="0" w:space="0" w:color="auto"/>
            <w:right w:val="none" w:sz="0" w:space="0" w:color="auto"/>
          </w:divBdr>
        </w:div>
        <w:div w:id="664286488">
          <w:marLeft w:val="0"/>
          <w:marRight w:val="0"/>
          <w:marTop w:val="0"/>
          <w:marBottom w:val="0"/>
          <w:divBdr>
            <w:top w:val="none" w:sz="0" w:space="0" w:color="auto"/>
            <w:left w:val="none" w:sz="0" w:space="0" w:color="auto"/>
            <w:bottom w:val="none" w:sz="0" w:space="0" w:color="auto"/>
            <w:right w:val="none" w:sz="0" w:space="0" w:color="auto"/>
          </w:divBdr>
        </w:div>
        <w:div w:id="1324549220">
          <w:marLeft w:val="0"/>
          <w:marRight w:val="0"/>
          <w:marTop w:val="0"/>
          <w:marBottom w:val="0"/>
          <w:divBdr>
            <w:top w:val="none" w:sz="0" w:space="0" w:color="auto"/>
            <w:left w:val="none" w:sz="0" w:space="0" w:color="auto"/>
            <w:bottom w:val="none" w:sz="0" w:space="0" w:color="auto"/>
            <w:right w:val="none" w:sz="0" w:space="0" w:color="auto"/>
          </w:divBdr>
        </w:div>
        <w:div w:id="1527252951">
          <w:marLeft w:val="0"/>
          <w:marRight w:val="0"/>
          <w:marTop w:val="0"/>
          <w:marBottom w:val="0"/>
          <w:divBdr>
            <w:top w:val="none" w:sz="0" w:space="0" w:color="auto"/>
            <w:left w:val="none" w:sz="0" w:space="0" w:color="auto"/>
            <w:bottom w:val="none" w:sz="0" w:space="0" w:color="auto"/>
            <w:right w:val="none" w:sz="0" w:space="0" w:color="auto"/>
          </w:divBdr>
        </w:div>
        <w:div w:id="1601839652">
          <w:marLeft w:val="0"/>
          <w:marRight w:val="0"/>
          <w:marTop w:val="0"/>
          <w:marBottom w:val="0"/>
          <w:divBdr>
            <w:top w:val="none" w:sz="0" w:space="0" w:color="auto"/>
            <w:left w:val="none" w:sz="0" w:space="0" w:color="auto"/>
            <w:bottom w:val="none" w:sz="0" w:space="0" w:color="auto"/>
            <w:right w:val="none" w:sz="0" w:space="0" w:color="auto"/>
          </w:divBdr>
        </w:div>
        <w:div w:id="1685329272">
          <w:marLeft w:val="0"/>
          <w:marRight w:val="0"/>
          <w:marTop w:val="0"/>
          <w:marBottom w:val="0"/>
          <w:divBdr>
            <w:top w:val="none" w:sz="0" w:space="0" w:color="auto"/>
            <w:left w:val="none" w:sz="0" w:space="0" w:color="auto"/>
            <w:bottom w:val="none" w:sz="0" w:space="0" w:color="auto"/>
            <w:right w:val="none" w:sz="0" w:space="0" w:color="auto"/>
          </w:divBdr>
        </w:div>
        <w:div w:id="1892692189">
          <w:marLeft w:val="0"/>
          <w:marRight w:val="0"/>
          <w:marTop w:val="0"/>
          <w:marBottom w:val="0"/>
          <w:divBdr>
            <w:top w:val="none" w:sz="0" w:space="0" w:color="auto"/>
            <w:left w:val="none" w:sz="0" w:space="0" w:color="auto"/>
            <w:bottom w:val="none" w:sz="0" w:space="0" w:color="auto"/>
            <w:right w:val="none" w:sz="0" w:space="0" w:color="auto"/>
          </w:divBdr>
        </w:div>
        <w:div w:id="1978101835">
          <w:marLeft w:val="0"/>
          <w:marRight w:val="0"/>
          <w:marTop w:val="0"/>
          <w:marBottom w:val="0"/>
          <w:divBdr>
            <w:top w:val="none" w:sz="0" w:space="0" w:color="auto"/>
            <w:left w:val="none" w:sz="0" w:space="0" w:color="auto"/>
            <w:bottom w:val="none" w:sz="0" w:space="0" w:color="auto"/>
            <w:right w:val="none" w:sz="0" w:space="0" w:color="auto"/>
          </w:divBdr>
        </w:div>
      </w:divsChild>
    </w:div>
    <w:div w:id="888227126">
      <w:bodyDiv w:val="1"/>
      <w:marLeft w:val="0"/>
      <w:marRight w:val="0"/>
      <w:marTop w:val="0"/>
      <w:marBottom w:val="0"/>
      <w:divBdr>
        <w:top w:val="none" w:sz="0" w:space="0" w:color="auto"/>
        <w:left w:val="none" w:sz="0" w:space="0" w:color="auto"/>
        <w:bottom w:val="none" w:sz="0" w:space="0" w:color="auto"/>
        <w:right w:val="none" w:sz="0" w:space="0" w:color="auto"/>
      </w:divBdr>
    </w:div>
    <w:div w:id="888960086">
      <w:bodyDiv w:val="1"/>
      <w:marLeft w:val="0"/>
      <w:marRight w:val="0"/>
      <w:marTop w:val="0"/>
      <w:marBottom w:val="0"/>
      <w:divBdr>
        <w:top w:val="none" w:sz="0" w:space="0" w:color="auto"/>
        <w:left w:val="none" w:sz="0" w:space="0" w:color="auto"/>
        <w:bottom w:val="none" w:sz="0" w:space="0" w:color="auto"/>
        <w:right w:val="none" w:sz="0" w:space="0" w:color="auto"/>
      </w:divBdr>
    </w:div>
    <w:div w:id="890119717">
      <w:bodyDiv w:val="1"/>
      <w:marLeft w:val="0"/>
      <w:marRight w:val="0"/>
      <w:marTop w:val="0"/>
      <w:marBottom w:val="0"/>
      <w:divBdr>
        <w:top w:val="none" w:sz="0" w:space="0" w:color="auto"/>
        <w:left w:val="none" w:sz="0" w:space="0" w:color="auto"/>
        <w:bottom w:val="none" w:sz="0" w:space="0" w:color="auto"/>
        <w:right w:val="none" w:sz="0" w:space="0" w:color="auto"/>
      </w:divBdr>
    </w:div>
    <w:div w:id="893154679">
      <w:bodyDiv w:val="1"/>
      <w:marLeft w:val="0"/>
      <w:marRight w:val="0"/>
      <w:marTop w:val="0"/>
      <w:marBottom w:val="0"/>
      <w:divBdr>
        <w:top w:val="none" w:sz="0" w:space="0" w:color="auto"/>
        <w:left w:val="none" w:sz="0" w:space="0" w:color="auto"/>
        <w:bottom w:val="none" w:sz="0" w:space="0" w:color="auto"/>
        <w:right w:val="none" w:sz="0" w:space="0" w:color="auto"/>
      </w:divBdr>
      <w:divsChild>
        <w:div w:id="923731863">
          <w:marLeft w:val="0"/>
          <w:marRight w:val="0"/>
          <w:marTop w:val="0"/>
          <w:marBottom w:val="0"/>
          <w:divBdr>
            <w:top w:val="none" w:sz="0" w:space="0" w:color="auto"/>
            <w:left w:val="none" w:sz="0" w:space="0" w:color="auto"/>
            <w:bottom w:val="none" w:sz="0" w:space="0" w:color="auto"/>
            <w:right w:val="none" w:sz="0" w:space="0" w:color="auto"/>
          </w:divBdr>
        </w:div>
      </w:divsChild>
    </w:div>
    <w:div w:id="894972320">
      <w:bodyDiv w:val="1"/>
      <w:marLeft w:val="0"/>
      <w:marRight w:val="0"/>
      <w:marTop w:val="0"/>
      <w:marBottom w:val="0"/>
      <w:divBdr>
        <w:top w:val="none" w:sz="0" w:space="0" w:color="auto"/>
        <w:left w:val="none" w:sz="0" w:space="0" w:color="auto"/>
        <w:bottom w:val="none" w:sz="0" w:space="0" w:color="auto"/>
        <w:right w:val="none" w:sz="0" w:space="0" w:color="auto"/>
      </w:divBdr>
      <w:divsChild>
        <w:div w:id="367488880">
          <w:marLeft w:val="432"/>
          <w:marRight w:val="0"/>
          <w:marTop w:val="115"/>
          <w:marBottom w:val="0"/>
          <w:divBdr>
            <w:top w:val="none" w:sz="0" w:space="0" w:color="auto"/>
            <w:left w:val="none" w:sz="0" w:space="0" w:color="auto"/>
            <w:bottom w:val="none" w:sz="0" w:space="0" w:color="auto"/>
            <w:right w:val="none" w:sz="0" w:space="0" w:color="auto"/>
          </w:divBdr>
        </w:div>
        <w:div w:id="1442529035">
          <w:marLeft w:val="1800"/>
          <w:marRight w:val="0"/>
          <w:marTop w:val="86"/>
          <w:marBottom w:val="0"/>
          <w:divBdr>
            <w:top w:val="none" w:sz="0" w:space="0" w:color="auto"/>
            <w:left w:val="none" w:sz="0" w:space="0" w:color="auto"/>
            <w:bottom w:val="none" w:sz="0" w:space="0" w:color="auto"/>
            <w:right w:val="none" w:sz="0" w:space="0" w:color="auto"/>
          </w:divBdr>
        </w:div>
        <w:div w:id="1494375150">
          <w:marLeft w:val="432"/>
          <w:marRight w:val="0"/>
          <w:marTop w:val="115"/>
          <w:marBottom w:val="0"/>
          <w:divBdr>
            <w:top w:val="none" w:sz="0" w:space="0" w:color="auto"/>
            <w:left w:val="none" w:sz="0" w:space="0" w:color="auto"/>
            <w:bottom w:val="none" w:sz="0" w:space="0" w:color="auto"/>
            <w:right w:val="none" w:sz="0" w:space="0" w:color="auto"/>
          </w:divBdr>
        </w:div>
        <w:div w:id="2082603806">
          <w:marLeft w:val="432"/>
          <w:marRight w:val="0"/>
          <w:marTop w:val="115"/>
          <w:marBottom w:val="0"/>
          <w:divBdr>
            <w:top w:val="none" w:sz="0" w:space="0" w:color="auto"/>
            <w:left w:val="none" w:sz="0" w:space="0" w:color="auto"/>
            <w:bottom w:val="none" w:sz="0" w:space="0" w:color="auto"/>
            <w:right w:val="none" w:sz="0" w:space="0" w:color="auto"/>
          </w:divBdr>
        </w:div>
      </w:divsChild>
    </w:div>
    <w:div w:id="897664111">
      <w:bodyDiv w:val="1"/>
      <w:marLeft w:val="0"/>
      <w:marRight w:val="0"/>
      <w:marTop w:val="0"/>
      <w:marBottom w:val="0"/>
      <w:divBdr>
        <w:top w:val="none" w:sz="0" w:space="0" w:color="auto"/>
        <w:left w:val="none" w:sz="0" w:space="0" w:color="auto"/>
        <w:bottom w:val="none" w:sz="0" w:space="0" w:color="auto"/>
        <w:right w:val="none" w:sz="0" w:space="0" w:color="auto"/>
      </w:divBdr>
      <w:divsChild>
        <w:div w:id="916016595">
          <w:marLeft w:val="547"/>
          <w:marRight w:val="0"/>
          <w:marTop w:val="0"/>
          <w:marBottom w:val="0"/>
          <w:divBdr>
            <w:top w:val="none" w:sz="0" w:space="0" w:color="auto"/>
            <w:left w:val="none" w:sz="0" w:space="0" w:color="auto"/>
            <w:bottom w:val="none" w:sz="0" w:space="0" w:color="auto"/>
            <w:right w:val="none" w:sz="0" w:space="0" w:color="auto"/>
          </w:divBdr>
        </w:div>
        <w:div w:id="1352494164">
          <w:marLeft w:val="1267"/>
          <w:marRight w:val="0"/>
          <w:marTop w:val="0"/>
          <w:marBottom w:val="0"/>
          <w:divBdr>
            <w:top w:val="none" w:sz="0" w:space="0" w:color="auto"/>
            <w:left w:val="none" w:sz="0" w:space="0" w:color="auto"/>
            <w:bottom w:val="none" w:sz="0" w:space="0" w:color="auto"/>
            <w:right w:val="none" w:sz="0" w:space="0" w:color="auto"/>
          </w:divBdr>
        </w:div>
        <w:div w:id="193858278">
          <w:marLeft w:val="1267"/>
          <w:marRight w:val="0"/>
          <w:marTop w:val="0"/>
          <w:marBottom w:val="0"/>
          <w:divBdr>
            <w:top w:val="none" w:sz="0" w:space="0" w:color="auto"/>
            <w:left w:val="none" w:sz="0" w:space="0" w:color="auto"/>
            <w:bottom w:val="none" w:sz="0" w:space="0" w:color="auto"/>
            <w:right w:val="none" w:sz="0" w:space="0" w:color="auto"/>
          </w:divBdr>
        </w:div>
      </w:divsChild>
    </w:div>
    <w:div w:id="900485017">
      <w:bodyDiv w:val="1"/>
      <w:marLeft w:val="0"/>
      <w:marRight w:val="0"/>
      <w:marTop w:val="0"/>
      <w:marBottom w:val="0"/>
      <w:divBdr>
        <w:top w:val="none" w:sz="0" w:space="0" w:color="auto"/>
        <w:left w:val="none" w:sz="0" w:space="0" w:color="auto"/>
        <w:bottom w:val="none" w:sz="0" w:space="0" w:color="auto"/>
        <w:right w:val="none" w:sz="0" w:space="0" w:color="auto"/>
      </w:divBdr>
    </w:div>
    <w:div w:id="910847768">
      <w:bodyDiv w:val="1"/>
      <w:marLeft w:val="0"/>
      <w:marRight w:val="0"/>
      <w:marTop w:val="0"/>
      <w:marBottom w:val="0"/>
      <w:divBdr>
        <w:top w:val="none" w:sz="0" w:space="0" w:color="auto"/>
        <w:left w:val="none" w:sz="0" w:space="0" w:color="auto"/>
        <w:bottom w:val="none" w:sz="0" w:space="0" w:color="auto"/>
        <w:right w:val="none" w:sz="0" w:space="0" w:color="auto"/>
      </w:divBdr>
    </w:div>
    <w:div w:id="914895582">
      <w:bodyDiv w:val="1"/>
      <w:marLeft w:val="0"/>
      <w:marRight w:val="0"/>
      <w:marTop w:val="0"/>
      <w:marBottom w:val="0"/>
      <w:divBdr>
        <w:top w:val="none" w:sz="0" w:space="0" w:color="auto"/>
        <w:left w:val="none" w:sz="0" w:space="0" w:color="auto"/>
        <w:bottom w:val="none" w:sz="0" w:space="0" w:color="auto"/>
        <w:right w:val="none" w:sz="0" w:space="0" w:color="auto"/>
      </w:divBdr>
      <w:divsChild>
        <w:div w:id="1441415962">
          <w:marLeft w:val="0"/>
          <w:marRight w:val="0"/>
          <w:marTop w:val="0"/>
          <w:marBottom w:val="0"/>
          <w:divBdr>
            <w:top w:val="none" w:sz="0" w:space="0" w:color="auto"/>
            <w:left w:val="none" w:sz="0" w:space="0" w:color="auto"/>
            <w:bottom w:val="none" w:sz="0" w:space="0" w:color="auto"/>
            <w:right w:val="none" w:sz="0" w:space="0" w:color="auto"/>
          </w:divBdr>
        </w:div>
        <w:div w:id="1708405395">
          <w:marLeft w:val="0"/>
          <w:marRight w:val="0"/>
          <w:marTop w:val="0"/>
          <w:marBottom w:val="0"/>
          <w:divBdr>
            <w:top w:val="none" w:sz="0" w:space="0" w:color="auto"/>
            <w:left w:val="none" w:sz="0" w:space="0" w:color="auto"/>
            <w:bottom w:val="none" w:sz="0" w:space="0" w:color="auto"/>
            <w:right w:val="none" w:sz="0" w:space="0" w:color="auto"/>
          </w:divBdr>
        </w:div>
      </w:divsChild>
    </w:div>
    <w:div w:id="925725644">
      <w:bodyDiv w:val="1"/>
      <w:marLeft w:val="0"/>
      <w:marRight w:val="0"/>
      <w:marTop w:val="0"/>
      <w:marBottom w:val="0"/>
      <w:divBdr>
        <w:top w:val="none" w:sz="0" w:space="0" w:color="auto"/>
        <w:left w:val="none" w:sz="0" w:space="0" w:color="auto"/>
        <w:bottom w:val="none" w:sz="0" w:space="0" w:color="auto"/>
        <w:right w:val="none" w:sz="0" w:space="0" w:color="auto"/>
      </w:divBdr>
    </w:div>
    <w:div w:id="928082108">
      <w:bodyDiv w:val="1"/>
      <w:marLeft w:val="0"/>
      <w:marRight w:val="0"/>
      <w:marTop w:val="0"/>
      <w:marBottom w:val="0"/>
      <w:divBdr>
        <w:top w:val="none" w:sz="0" w:space="0" w:color="auto"/>
        <w:left w:val="none" w:sz="0" w:space="0" w:color="auto"/>
        <w:bottom w:val="none" w:sz="0" w:space="0" w:color="auto"/>
        <w:right w:val="none" w:sz="0" w:space="0" w:color="auto"/>
      </w:divBdr>
    </w:div>
    <w:div w:id="931354238">
      <w:bodyDiv w:val="1"/>
      <w:marLeft w:val="0"/>
      <w:marRight w:val="0"/>
      <w:marTop w:val="0"/>
      <w:marBottom w:val="0"/>
      <w:divBdr>
        <w:top w:val="none" w:sz="0" w:space="0" w:color="auto"/>
        <w:left w:val="none" w:sz="0" w:space="0" w:color="auto"/>
        <w:bottom w:val="none" w:sz="0" w:space="0" w:color="auto"/>
        <w:right w:val="none" w:sz="0" w:space="0" w:color="auto"/>
      </w:divBdr>
    </w:div>
    <w:div w:id="932324424">
      <w:bodyDiv w:val="1"/>
      <w:marLeft w:val="0"/>
      <w:marRight w:val="0"/>
      <w:marTop w:val="0"/>
      <w:marBottom w:val="0"/>
      <w:divBdr>
        <w:top w:val="none" w:sz="0" w:space="0" w:color="auto"/>
        <w:left w:val="none" w:sz="0" w:space="0" w:color="auto"/>
        <w:bottom w:val="none" w:sz="0" w:space="0" w:color="auto"/>
        <w:right w:val="none" w:sz="0" w:space="0" w:color="auto"/>
      </w:divBdr>
    </w:div>
    <w:div w:id="934362317">
      <w:bodyDiv w:val="1"/>
      <w:marLeft w:val="0"/>
      <w:marRight w:val="0"/>
      <w:marTop w:val="0"/>
      <w:marBottom w:val="0"/>
      <w:divBdr>
        <w:top w:val="none" w:sz="0" w:space="0" w:color="auto"/>
        <w:left w:val="none" w:sz="0" w:space="0" w:color="auto"/>
        <w:bottom w:val="none" w:sz="0" w:space="0" w:color="auto"/>
        <w:right w:val="none" w:sz="0" w:space="0" w:color="auto"/>
      </w:divBdr>
    </w:div>
    <w:div w:id="939337773">
      <w:bodyDiv w:val="1"/>
      <w:marLeft w:val="0"/>
      <w:marRight w:val="0"/>
      <w:marTop w:val="0"/>
      <w:marBottom w:val="0"/>
      <w:divBdr>
        <w:top w:val="none" w:sz="0" w:space="0" w:color="auto"/>
        <w:left w:val="none" w:sz="0" w:space="0" w:color="auto"/>
        <w:bottom w:val="none" w:sz="0" w:space="0" w:color="auto"/>
        <w:right w:val="none" w:sz="0" w:space="0" w:color="auto"/>
      </w:divBdr>
    </w:div>
    <w:div w:id="939991962">
      <w:bodyDiv w:val="1"/>
      <w:marLeft w:val="0"/>
      <w:marRight w:val="0"/>
      <w:marTop w:val="0"/>
      <w:marBottom w:val="0"/>
      <w:divBdr>
        <w:top w:val="none" w:sz="0" w:space="0" w:color="auto"/>
        <w:left w:val="none" w:sz="0" w:space="0" w:color="auto"/>
        <w:bottom w:val="none" w:sz="0" w:space="0" w:color="auto"/>
        <w:right w:val="none" w:sz="0" w:space="0" w:color="auto"/>
      </w:divBdr>
      <w:divsChild>
        <w:div w:id="1176044159">
          <w:marLeft w:val="547"/>
          <w:marRight w:val="0"/>
          <w:marTop w:val="96"/>
          <w:marBottom w:val="0"/>
          <w:divBdr>
            <w:top w:val="none" w:sz="0" w:space="0" w:color="auto"/>
            <w:left w:val="none" w:sz="0" w:space="0" w:color="auto"/>
            <w:bottom w:val="none" w:sz="0" w:space="0" w:color="auto"/>
            <w:right w:val="none" w:sz="0" w:space="0" w:color="auto"/>
          </w:divBdr>
        </w:div>
      </w:divsChild>
    </w:div>
    <w:div w:id="940913648">
      <w:bodyDiv w:val="1"/>
      <w:marLeft w:val="0"/>
      <w:marRight w:val="0"/>
      <w:marTop w:val="0"/>
      <w:marBottom w:val="0"/>
      <w:divBdr>
        <w:top w:val="none" w:sz="0" w:space="0" w:color="auto"/>
        <w:left w:val="none" w:sz="0" w:space="0" w:color="auto"/>
        <w:bottom w:val="none" w:sz="0" w:space="0" w:color="auto"/>
        <w:right w:val="none" w:sz="0" w:space="0" w:color="auto"/>
      </w:divBdr>
    </w:div>
    <w:div w:id="941958200">
      <w:bodyDiv w:val="1"/>
      <w:marLeft w:val="0"/>
      <w:marRight w:val="0"/>
      <w:marTop w:val="0"/>
      <w:marBottom w:val="0"/>
      <w:divBdr>
        <w:top w:val="none" w:sz="0" w:space="0" w:color="auto"/>
        <w:left w:val="none" w:sz="0" w:space="0" w:color="auto"/>
        <w:bottom w:val="none" w:sz="0" w:space="0" w:color="auto"/>
        <w:right w:val="none" w:sz="0" w:space="0" w:color="auto"/>
      </w:divBdr>
    </w:div>
    <w:div w:id="943347510">
      <w:bodyDiv w:val="1"/>
      <w:marLeft w:val="0"/>
      <w:marRight w:val="0"/>
      <w:marTop w:val="0"/>
      <w:marBottom w:val="0"/>
      <w:divBdr>
        <w:top w:val="none" w:sz="0" w:space="0" w:color="auto"/>
        <w:left w:val="none" w:sz="0" w:space="0" w:color="auto"/>
        <w:bottom w:val="none" w:sz="0" w:space="0" w:color="auto"/>
        <w:right w:val="none" w:sz="0" w:space="0" w:color="auto"/>
      </w:divBdr>
    </w:div>
    <w:div w:id="943540002">
      <w:bodyDiv w:val="1"/>
      <w:marLeft w:val="0"/>
      <w:marRight w:val="0"/>
      <w:marTop w:val="0"/>
      <w:marBottom w:val="0"/>
      <w:divBdr>
        <w:top w:val="none" w:sz="0" w:space="0" w:color="auto"/>
        <w:left w:val="none" w:sz="0" w:space="0" w:color="auto"/>
        <w:bottom w:val="none" w:sz="0" w:space="0" w:color="auto"/>
        <w:right w:val="none" w:sz="0" w:space="0" w:color="auto"/>
      </w:divBdr>
    </w:div>
    <w:div w:id="947658526">
      <w:bodyDiv w:val="1"/>
      <w:marLeft w:val="0"/>
      <w:marRight w:val="0"/>
      <w:marTop w:val="0"/>
      <w:marBottom w:val="0"/>
      <w:divBdr>
        <w:top w:val="none" w:sz="0" w:space="0" w:color="auto"/>
        <w:left w:val="none" w:sz="0" w:space="0" w:color="auto"/>
        <w:bottom w:val="none" w:sz="0" w:space="0" w:color="auto"/>
        <w:right w:val="none" w:sz="0" w:space="0" w:color="auto"/>
      </w:divBdr>
    </w:div>
    <w:div w:id="953096566">
      <w:bodyDiv w:val="1"/>
      <w:marLeft w:val="0"/>
      <w:marRight w:val="0"/>
      <w:marTop w:val="0"/>
      <w:marBottom w:val="0"/>
      <w:divBdr>
        <w:top w:val="none" w:sz="0" w:space="0" w:color="auto"/>
        <w:left w:val="none" w:sz="0" w:space="0" w:color="auto"/>
        <w:bottom w:val="none" w:sz="0" w:space="0" w:color="auto"/>
        <w:right w:val="none" w:sz="0" w:space="0" w:color="auto"/>
      </w:divBdr>
    </w:div>
    <w:div w:id="955717556">
      <w:bodyDiv w:val="1"/>
      <w:marLeft w:val="0"/>
      <w:marRight w:val="0"/>
      <w:marTop w:val="0"/>
      <w:marBottom w:val="0"/>
      <w:divBdr>
        <w:top w:val="none" w:sz="0" w:space="0" w:color="auto"/>
        <w:left w:val="none" w:sz="0" w:space="0" w:color="auto"/>
        <w:bottom w:val="none" w:sz="0" w:space="0" w:color="auto"/>
        <w:right w:val="none" w:sz="0" w:space="0" w:color="auto"/>
      </w:divBdr>
    </w:div>
    <w:div w:id="956638567">
      <w:bodyDiv w:val="1"/>
      <w:marLeft w:val="0"/>
      <w:marRight w:val="0"/>
      <w:marTop w:val="0"/>
      <w:marBottom w:val="0"/>
      <w:divBdr>
        <w:top w:val="none" w:sz="0" w:space="0" w:color="auto"/>
        <w:left w:val="none" w:sz="0" w:space="0" w:color="auto"/>
        <w:bottom w:val="none" w:sz="0" w:space="0" w:color="auto"/>
        <w:right w:val="none" w:sz="0" w:space="0" w:color="auto"/>
      </w:divBdr>
      <w:divsChild>
        <w:div w:id="492453563">
          <w:marLeft w:val="0"/>
          <w:marRight w:val="0"/>
          <w:marTop w:val="0"/>
          <w:marBottom w:val="225"/>
          <w:divBdr>
            <w:top w:val="none" w:sz="0" w:space="0" w:color="auto"/>
            <w:left w:val="none" w:sz="0" w:space="0" w:color="auto"/>
            <w:bottom w:val="none" w:sz="0" w:space="0" w:color="auto"/>
            <w:right w:val="none" w:sz="0" w:space="0" w:color="auto"/>
          </w:divBdr>
        </w:div>
        <w:div w:id="601843550">
          <w:marLeft w:val="0"/>
          <w:marRight w:val="0"/>
          <w:marTop w:val="0"/>
          <w:marBottom w:val="225"/>
          <w:divBdr>
            <w:top w:val="none" w:sz="0" w:space="0" w:color="auto"/>
            <w:left w:val="none" w:sz="0" w:space="0" w:color="auto"/>
            <w:bottom w:val="none" w:sz="0" w:space="0" w:color="auto"/>
            <w:right w:val="none" w:sz="0" w:space="0" w:color="auto"/>
          </w:divBdr>
        </w:div>
      </w:divsChild>
    </w:div>
    <w:div w:id="956988436">
      <w:bodyDiv w:val="1"/>
      <w:marLeft w:val="0"/>
      <w:marRight w:val="0"/>
      <w:marTop w:val="0"/>
      <w:marBottom w:val="0"/>
      <w:divBdr>
        <w:top w:val="none" w:sz="0" w:space="0" w:color="auto"/>
        <w:left w:val="none" w:sz="0" w:space="0" w:color="auto"/>
        <w:bottom w:val="none" w:sz="0" w:space="0" w:color="auto"/>
        <w:right w:val="none" w:sz="0" w:space="0" w:color="auto"/>
      </w:divBdr>
    </w:div>
    <w:div w:id="961883350">
      <w:bodyDiv w:val="1"/>
      <w:marLeft w:val="0"/>
      <w:marRight w:val="0"/>
      <w:marTop w:val="0"/>
      <w:marBottom w:val="0"/>
      <w:divBdr>
        <w:top w:val="none" w:sz="0" w:space="0" w:color="auto"/>
        <w:left w:val="none" w:sz="0" w:space="0" w:color="auto"/>
        <w:bottom w:val="none" w:sz="0" w:space="0" w:color="auto"/>
        <w:right w:val="none" w:sz="0" w:space="0" w:color="auto"/>
      </w:divBdr>
    </w:div>
    <w:div w:id="962349701">
      <w:bodyDiv w:val="1"/>
      <w:marLeft w:val="0"/>
      <w:marRight w:val="0"/>
      <w:marTop w:val="0"/>
      <w:marBottom w:val="0"/>
      <w:divBdr>
        <w:top w:val="none" w:sz="0" w:space="0" w:color="auto"/>
        <w:left w:val="none" w:sz="0" w:space="0" w:color="auto"/>
        <w:bottom w:val="none" w:sz="0" w:space="0" w:color="auto"/>
        <w:right w:val="none" w:sz="0" w:space="0" w:color="auto"/>
      </w:divBdr>
      <w:divsChild>
        <w:div w:id="457838745">
          <w:marLeft w:val="547"/>
          <w:marRight w:val="0"/>
          <w:marTop w:val="0"/>
          <w:marBottom w:val="0"/>
          <w:divBdr>
            <w:top w:val="none" w:sz="0" w:space="0" w:color="auto"/>
            <w:left w:val="none" w:sz="0" w:space="0" w:color="auto"/>
            <w:bottom w:val="none" w:sz="0" w:space="0" w:color="auto"/>
            <w:right w:val="none" w:sz="0" w:space="0" w:color="auto"/>
          </w:divBdr>
        </w:div>
      </w:divsChild>
    </w:div>
    <w:div w:id="962881753">
      <w:bodyDiv w:val="1"/>
      <w:marLeft w:val="0"/>
      <w:marRight w:val="0"/>
      <w:marTop w:val="0"/>
      <w:marBottom w:val="0"/>
      <w:divBdr>
        <w:top w:val="none" w:sz="0" w:space="0" w:color="auto"/>
        <w:left w:val="none" w:sz="0" w:space="0" w:color="auto"/>
        <w:bottom w:val="none" w:sz="0" w:space="0" w:color="auto"/>
        <w:right w:val="none" w:sz="0" w:space="0" w:color="auto"/>
      </w:divBdr>
    </w:div>
    <w:div w:id="968240352">
      <w:bodyDiv w:val="1"/>
      <w:marLeft w:val="0"/>
      <w:marRight w:val="0"/>
      <w:marTop w:val="0"/>
      <w:marBottom w:val="0"/>
      <w:divBdr>
        <w:top w:val="none" w:sz="0" w:space="0" w:color="auto"/>
        <w:left w:val="none" w:sz="0" w:space="0" w:color="auto"/>
        <w:bottom w:val="none" w:sz="0" w:space="0" w:color="auto"/>
        <w:right w:val="none" w:sz="0" w:space="0" w:color="auto"/>
      </w:divBdr>
    </w:div>
    <w:div w:id="969364568">
      <w:bodyDiv w:val="1"/>
      <w:marLeft w:val="0"/>
      <w:marRight w:val="0"/>
      <w:marTop w:val="0"/>
      <w:marBottom w:val="0"/>
      <w:divBdr>
        <w:top w:val="none" w:sz="0" w:space="0" w:color="auto"/>
        <w:left w:val="none" w:sz="0" w:space="0" w:color="auto"/>
        <w:bottom w:val="none" w:sz="0" w:space="0" w:color="auto"/>
        <w:right w:val="none" w:sz="0" w:space="0" w:color="auto"/>
      </w:divBdr>
    </w:div>
    <w:div w:id="971906759">
      <w:bodyDiv w:val="1"/>
      <w:marLeft w:val="0"/>
      <w:marRight w:val="0"/>
      <w:marTop w:val="0"/>
      <w:marBottom w:val="0"/>
      <w:divBdr>
        <w:top w:val="none" w:sz="0" w:space="0" w:color="auto"/>
        <w:left w:val="none" w:sz="0" w:space="0" w:color="auto"/>
        <w:bottom w:val="none" w:sz="0" w:space="0" w:color="auto"/>
        <w:right w:val="none" w:sz="0" w:space="0" w:color="auto"/>
      </w:divBdr>
    </w:div>
    <w:div w:id="972906019">
      <w:bodyDiv w:val="1"/>
      <w:marLeft w:val="0"/>
      <w:marRight w:val="0"/>
      <w:marTop w:val="0"/>
      <w:marBottom w:val="0"/>
      <w:divBdr>
        <w:top w:val="none" w:sz="0" w:space="0" w:color="auto"/>
        <w:left w:val="none" w:sz="0" w:space="0" w:color="auto"/>
        <w:bottom w:val="none" w:sz="0" w:space="0" w:color="auto"/>
        <w:right w:val="none" w:sz="0" w:space="0" w:color="auto"/>
      </w:divBdr>
    </w:div>
    <w:div w:id="975838548">
      <w:bodyDiv w:val="1"/>
      <w:marLeft w:val="0"/>
      <w:marRight w:val="0"/>
      <w:marTop w:val="0"/>
      <w:marBottom w:val="0"/>
      <w:divBdr>
        <w:top w:val="none" w:sz="0" w:space="0" w:color="auto"/>
        <w:left w:val="none" w:sz="0" w:space="0" w:color="auto"/>
        <w:bottom w:val="none" w:sz="0" w:space="0" w:color="auto"/>
        <w:right w:val="none" w:sz="0" w:space="0" w:color="auto"/>
      </w:divBdr>
    </w:div>
    <w:div w:id="977688572">
      <w:bodyDiv w:val="1"/>
      <w:marLeft w:val="0"/>
      <w:marRight w:val="0"/>
      <w:marTop w:val="0"/>
      <w:marBottom w:val="0"/>
      <w:divBdr>
        <w:top w:val="none" w:sz="0" w:space="0" w:color="auto"/>
        <w:left w:val="none" w:sz="0" w:space="0" w:color="auto"/>
        <w:bottom w:val="none" w:sz="0" w:space="0" w:color="auto"/>
        <w:right w:val="none" w:sz="0" w:space="0" w:color="auto"/>
      </w:divBdr>
      <w:divsChild>
        <w:div w:id="1240335365">
          <w:marLeft w:val="0"/>
          <w:marRight w:val="0"/>
          <w:marTop w:val="0"/>
          <w:marBottom w:val="0"/>
          <w:divBdr>
            <w:top w:val="none" w:sz="0" w:space="0" w:color="auto"/>
            <w:left w:val="none" w:sz="0" w:space="0" w:color="auto"/>
            <w:bottom w:val="none" w:sz="0" w:space="0" w:color="auto"/>
            <w:right w:val="none" w:sz="0" w:space="0" w:color="auto"/>
          </w:divBdr>
        </w:div>
      </w:divsChild>
    </w:div>
    <w:div w:id="980235089">
      <w:bodyDiv w:val="1"/>
      <w:marLeft w:val="0"/>
      <w:marRight w:val="0"/>
      <w:marTop w:val="0"/>
      <w:marBottom w:val="0"/>
      <w:divBdr>
        <w:top w:val="none" w:sz="0" w:space="0" w:color="auto"/>
        <w:left w:val="none" w:sz="0" w:space="0" w:color="auto"/>
        <w:bottom w:val="none" w:sz="0" w:space="0" w:color="auto"/>
        <w:right w:val="none" w:sz="0" w:space="0" w:color="auto"/>
      </w:divBdr>
    </w:div>
    <w:div w:id="982003978">
      <w:bodyDiv w:val="1"/>
      <w:marLeft w:val="0"/>
      <w:marRight w:val="0"/>
      <w:marTop w:val="0"/>
      <w:marBottom w:val="0"/>
      <w:divBdr>
        <w:top w:val="none" w:sz="0" w:space="0" w:color="auto"/>
        <w:left w:val="none" w:sz="0" w:space="0" w:color="auto"/>
        <w:bottom w:val="none" w:sz="0" w:space="0" w:color="auto"/>
        <w:right w:val="none" w:sz="0" w:space="0" w:color="auto"/>
      </w:divBdr>
    </w:div>
    <w:div w:id="986739179">
      <w:bodyDiv w:val="1"/>
      <w:marLeft w:val="0"/>
      <w:marRight w:val="0"/>
      <w:marTop w:val="0"/>
      <w:marBottom w:val="0"/>
      <w:divBdr>
        <w:top w:val="none" w:sz="0" w:space="0" w:color="auto"/>
        <w:left w:val="none" w:sz="0" w:space="0" w:color="auto"/>
        <w:bottom w:val="none" w:sz="0" w:space="0" w:color="auto"/>
        <w:right w:val="none" w:sz="0" w:space="0" w:color="auto"/>
      </w:divBdr>
    </w:div>
    <w:div w:id="991830182">
      <w:bodyDiv w:val="1"/>
      <w:marLeft w:val="0"/>
      <w:marRight w:val="0"/>
      <w:marTop w:val="0"/>
      <w:marBottom w:val="0"/>
      <w:divBdr>
        <w:top w:val="none" w:sz="0" w:space="0" w:color="auto"/>
        <w:left w:val="none" w:sz="0" w:space="0" w:color="auto"/>
        <w:bottom w:val="none" w:sz="0" w:space="0" w:color="auto"/>
        <w:right w:val="none" w:sz="0" w:space="0" w:color="auto"/>
      </w:divBdr>
    </w:div>
    <w:div w:id="992296821">
      <w:bodyDiv w:val="1"/>
      <w:marLeft w:val="0"/>
      <w:marRight w:val="0"/>
      <w:marTop w:val="0"/>
      <w:marBottom w:val="0"/>
      <w:divBdr>
        <w:top w:val="none" w:sz="0" w:space="0" w:color="auto"/>
        <w:left w:val="none" w:sz="0" w:space="0" w:color="auto"/>
        <w:bottom w:val="none" w:sz="0" w:space="0" w:color="auto"/>
        <w:right w:val="none" w:sz="0" w:space="0" w:color="auto"/>
      </w:divBdr>
    </w:div>
    <w:div w:id="996036314">
      <w:bodyDiv w:val="1"/>
      <w:marLeft w:val="0"/>
      <w:marRight w:val="0"/>
      <w:marTop w:val="0"/>
      <w:marBottom w:val="0"/>
      <w:divBdr>
        <w:top w:val="none" w:sz="0" w:space="0" w:color="auto"/>
        <w:left w:val="none" w:sz="0" w:space="0" w:color="auto"/>
        <w:bottom w:val="none" w:sz="0" w:space="0" w:color="auto"/>
        <w:right w:val="none" w:sz="0" w:space="0" w:color="auto"/>
      </w:divBdr>
    </w:div>
    <w:div w:id="997076012">
      <w:bodyDiv w:val="1"/>
      <w:marLeft w:val="0"/>
      <w:marRight w:val="0"/>
      <w:marTop w:val="0"/>
      <w:marBottom w:val="0"/>
      <w:divBdr>
        <w:top w:val="none" w:sz="0" w:space="0" w:color="auto"/>
        <w:left w:val="none" w:sz="0" w:space="0" w:color="auto"/>
        <w:bottom w:val="none" w:sz="0" w:space="0" w:color="auto"/>
        <w:right w:val="none" w:sz="0" w:space="0" w:color="auto"/>
      </w:divBdr>
    </w:div>
    <w:div w:id="1000280464">
      <w:bodyDiv w:val="1"/>
      <w:marLeft w:val="0"/>
      <w:marRight w:val="0"/>
      <w:marTop w:val="0"/>
      <w:marBottom w:val="0"/>
      <w:divBdr>
        <w:top w:val="none" w:sz="0" w:space="0" w:color="auto"/>
        <w:left w:val="none" w:sz="0" w:space="0" w:color="auto"/>
        <w:bottom w:val="none" w:sz="0" w:space="0" w:color="auto"/>
        <w:right w:val="none" w:sz="0" w:space="0" w:color="auto"/>
      </w:divBdr>
    </w:div>
    <w:div w:id="1001735712">
      <w:bodyDiv w:val="1"/>
      <w:marLeft w:val="0"/>
      <w:marRight w:val="0"/>
      <w:marTop w:val="0"/>
      <w:marBottom w:val="0"/>
      <w:divBdr>
        <w:top w:val="none" w:sz="0" w:space="0" w:color="auto"/>
        <w:left w:val="none" w:sz="0" w:space="0" w:color="auto"/>
        <w:bottom w:val="none" w:sz="0" w:space="0" w:color="auto"/>
        <w:right w:val="none" w:sz="0" w:space="0" w:color="auto"/>
      </w:divBdr>
    </w:div>
    <w:div w:id="1007712834">
      <w:bodyDiv w:val="1"/>
      <w:marLeft w:val="0"/>
      <w:marRight w:val="0"/>
      <w:marTop w:val="0"/>
      <w:marBottom w:val="0"/>
      <w:divBdr>
        <w:top w:val="none" w:sz="0" w:space="0" w:color="auto"/>
        <w:left w:val="none" w:sz="0" w:space="0" w:color="auto"/>
        <w:bottom w:val="none" w:sz="0" w:space="0" w:color="auto"/>
        <w:right w:val="none" w:sz="0" w:space="0" w:color="auto"/>
      </w:divBdr>
    </w:div>
    <w:div w:id="1014722500">
      <w:bodyDiv w:val="1"/>
      <w:marLeft w:val="0"/>
      <w:marRight w:val="0"/>
      <w:marTop w:val="0"/>
      <w:marBottom w:val="0"/>
      <w:divBdr>
        <w:top w:val="none" w:sz="0" w:space="0" w:color="auto"/>
        <w:left w:val="none" w:sz="0" w:space="0" w:color="auto"/>
        <w:bottom w:val="none" w:sz="0" w:space="0" w:color="auto"/>
        <w:right w:val="none" w:sz="0" w:space="0" w:color="auto"/>
      </w:divBdr>
      <w:divsChild>
        <w:div w:id="152112051">
          <w:marLeft w:val="-2400"/>
          <w:marRight w:val="-480"/>
          <w:marTop w:val="0"/>
          <w:marBottom w:val="0"/>
          <w:divBdr>
            <w:top w:val="none" w:sz="0" w:space="0" w:color="auto"/>
            <w:left w:val="none" w:sz="0" w:space="0" w:color="auto"/>
            <w:bottom w:val="none" w:sz="0" w:space="0" w:color="auto"/>
            <w:right w:val="none" w:sz="0" w:space="0" w:color="auto"/>
          </w:divBdr>
        </w:div>
        <w:div w:id="262230428">
          <w:marLeft w:val="-2400"/>
          <w:marRight w:val="-480"/>
          <w:marTop w:val="0"/>
          <w:marBottom w:val="0"/>
          <w:divBdr>
            <w:top w:val="none" w:sz="0" w:space="0" w:color="auto"/>
            <w:left w:val="none" w:sz="0" w:space="0" w:color="auto"/>
            <w:bottom w:val="none" w:sz="0" w:space="0" w:color="auto"/>
            <w:right w:val="none" w:sz="0" w:space="0" w:color="auto"/>
          </w:divBdr>
        </w:div>
        <w:div w:id="534851555">
          <w:marLeft w:val="-2400"/>
          <w:marRight w:val="-480"/>
          <w:marTop w:val="0"/>
          <w:marBottom w:val="0"/>
          <w:divBdr>
            <w:top w:val="none" w:sz="0" w:space="0" w:color="auto"/>
            <w:left w:val="none" w:sz="0" w:space="0" w:color="auto"/>
            <w:bottom w:val="none" w:sz="0" w:space="0" w:color="auto"/>
            <w:right w:val="none" w:sz="0" w:space="0" w:color="auto"/>
          </w:divBdr>
        </w:div>
        <w:div w:id="815604557">
          <w:marLeft w:val="-2400"/>
          <w:marRight w:val="-480"/>
          <w:marTop w:val="0"/>
          <w:marBottom w:val="0"/>
          <w:divBdr>
            <w:top w:val="none" w:sz="0" w:space="0" w:color="auto"/>
            <w:left w:val="none" w:sz="0" w:space="0" w:color="auto"/>
            <w:bottom w:val="none" w:sz="0" w:space="0" w:color="auto"/>
            <w:right w:val="none" w:sz="0" w:space="0" w:color="auto"/>
          </w:divBdr>
        </w:div>
        <w:div w:id="1279483384">
          <w:marLeft w:val="-2400"/>
          <w:marRight w:val="-480"/>
          <w:marTop w:val="0"/>
          <w:marBottom w:val="0"/>
          <w:divBdr>
            <w:top w:val="none" w:sz="0" w:space="0" w:color="auto"/>
            <w:left w:val="none" w:sz="0" w:space="0" w:color="auto"/>
            <w:bottom w:val="none" w:sz="0" w:space="0" w:color="auto"/>
            <w:right w:val="none" w:sz="0" w:space="0" w:color="auto"/>
          </w:divBdr>
        </w:div>
        <w:div w:id="1317412364">
          <w:marLeft w:val="-2400"/>
          <w:marRight w:val="-480"/>
          <w:marTop w:val="0"/>
          <w:marBottom w:val="0"/>
          <w:divBdr>
            <w:top w:val="none" w:sz="0" w:space="0" w:color="auto"/>
            <w:left w:val="none" w:sz="0" w:space="0" w:color="auto"/>
            <w:bottom w:val="none" w:sz="0" w:space="0" w:color="auto"/>
            <w:right w:val="none" w:sz="0" w:space="0" w:color="auto"/>
          </w:divBdr>
        </w:div>
        <w:div w:id="1410735073">
          <w:marLeft w:val="-2400"/>
          <w:marRight w:val="-480"/>
          <w:marTop w:val="0"/>
          <w:marBottom w:val="0"/>
          <w:divBdr>
            <w:top w:val="none" w:sz="0" w:space="0" w:color="auto"/>
            <w:left w:val="none" w:sz="0" w:space="0" w:color="auto"/>
            <w:bottom w:val="none" w:sz="0" w:space="0" w:color="auto"/>
            <w:right w:val="none" w:sz="0" w:space="0" w:color="auto"/>
          </w:divBdr>
        </w:div>
        <w:div w:id="2099130710">
          <w:marLeft w:val="-2400"/>
          <w:marRight w:val="-480"/>
          <w:marTop w:val="0"/>
          <w:marBottom w:val="0"/>
          <w:divBdr>
            <w:top w:val="none" w:sz="0" w:space="0" w:color="auto"/>
            <w:left w:val="none" w:sz="0" w:space="0" w:color="auto"/>
            <w:bottom w:val="none" w:sz="0" w:space="0" w:color="auto"/>
            <w:right w:val="none" w:sz="0" w:space="0" w:color="auto"/>
          </w:divBdr>
        </w:div>
      </w:divsChild>
    </w:div>
    <w:div w:id="1021320492">
      <w:bodyDiv w:val="1"/>
      <w:marLeft w:val="0"/>
      <w:marRight w:val="0"/>
      <w:marTop w:val="0"/>
      <w:marBottom w:val="0"/>
      <w:divBdr>
        <w:top w:val="none" w:sz="0" w:space="0" w:color="auto"/>
        <w:left w:val="none" w:sz="0" w:space="0" w:color="auto"/>
        <w:bottom w:val="none" w:sz="0" w:space="0" w:color="auto"/>
        <w:right w:val="none" w:sz="0" w:space="0" w:color="auto"/>
      </w:divBdr>
      <w:divsChild>
        <w:div w:id="114835058">
          <w:marLeft w:val="0"/>
          <w:marRight w:val="0"/>
          <w:marTop w:val="0"/>
          <w:marBottom w:val="225"/>
          <w:divBdr>
            <w:top w:val="none" w:sz="0" w:space="0" w:color="auto"/>
            <w:left w:val="none" w:sz="0" w:space="0" w:color="auto"/>
            <w:bottom w:val="none" w:sz="0" w:space="0" w:color="auto"/>
            <w:right w:val="none" w:sz="0" w:space="0" w:color="auto"/>
          </w:divBdr>
        </w:div>
        <w:div w:id="740325628">
          <w:marLeft w:val="0"/>
          <w:marRight w:val="0"/>
          <w:marTop w:val="0"/>
          <w:marBottom w:val="225"/>
          <w:divBdr>
            <w:top w:val="none" w:sz="0" w:space="0" w:color="auto"/>
            <w:left w:val="none" w:sz="0" w:space="0" w:color="auto"/>
            <w:bottom w:val="none" w:sz="0" w:space="0" w:color="auto"/>
            <w:right w:val="none" w:sz="0" w:space="0" w:color="auto"/>
          </w:divBdr>
        </w:div>
      </w:divsChild>
    </w:div>
    <w:div w:id="1028946306">
      <w:bodyDiv w:val="1"/>
      <w:marLeft w:val="0"/>
      <w:marRight w:val="0"/>
      <w:marTop w:val="0"/>
      <w:marBottom w:val="0"/>
      <w:divBdr>
        <w:top w:val="none" w:sz="0" w:space="0" w:color="auto"/>
        <w:left w:val="none" w:sz="0" w:space="0" w:color="auto"/>
        <w:bottom w:val="none" w:sz="0" w:space="0" w:color="auto"/>
        <w:right w:val="none" w:sz="0" w:space="0" w:color="auto"/>
      </w:divBdr>
    </w:div>
    <w:div w:id="1030909309">
      <w:bodyDiv w:val="1"/>
      <w:marLeft w:val="0"/>
      <w:marRight w:val="0"/>
      <w:marTop w:val="0"/>
      <w:marBottom w:val="0"/>
      <w:divBdr>
        <w:top w:val="none" w:sz="0" w:space="0" w:color="auto"/>
        <w:left w:val="none" w:sz="0" w:space="0" w:color="auto"/>
        <w:bottom w:val="none" w:sz="0" w:space="0" w:color="auto"/>
        <w:right w:val="none" w:sz="0" w:space="0" w:color="auto"/>
      </w:divBdr>
    </w:div>
    <w:div w:id="1032221347">
      <w:bodyDiv w:val="1"/>
      <w:marLeft w:val="0"/>
      <w:marRight w:val="0"/>
      <w:marTop w:val="0"/>
      <w:marBottom w:val="0"/>
      <w:divBdr>
        <w:top w:val="none" w:sz="0" w:space="0" w:color="auto"/>
        <w:left w:val="none" w:sz="0" w:space="0" w:color="auto"/>
        <w:bottom w:val="none" w:sz="0" w:space="0" w:color="auto"/>
        <w:right w:val="none" w:sz="0" w:space="0" w:color="auto"/>
      </w:divBdr>
    </w:div>
    <w:div w:id="1032536107">
      <w:bodyDiv w:val="1"/>
      <w:marLeft w:val="0"/>
      <w:marRight w:val="0"/>
      <w:marTop w:val="0"/>
      <w:marBottom w:val="0"/>
      <w:divBdr>
        <w:top w:val="none" w:sz="0" w:space="0" w:color="auto"/>
        <w:left w:val="none" w:sz="0" w:space="0" w:color="auto"/>
        <w:bottom w:val="none" w:sz="0" w:space="0" w:color="auto"/>
        <w:right w:val="none" w:sz="0" w:space="0" w:color="auto"/>
      </w:divBdr>
    </w:div>
    <w:div w:id="1042169145">
      <w:bodyDiv w:val="1"/>
      <w:marLeft w:val="0"/>
      <w:marRight w:val="0"/>
      <w:marTop w:val="0"/>
      <w:marBottom w:val="0"/>
      <w:divBdr>
        <w:top w:val="none" w:sz="0" w:space="0" w:color="auto"/>
        <w:left w:val="none" w:sz="0" w:space="0" w:color="auto"/>
        <w:bottom w:val="none" w:sz="0" w:space="0" w:color="auto"/>
        <w:right w:val="none" w:sz="0" w:space="0" w:color="auto"/>
      </w:divBdr>
    </w:div>
    <w:div w:id="1045982483">
      <w:bodyDiv w:val="1"/>
      <w:marLeft w:val="0"/>
      <w:marRight w:val="0"/>
      <w:marTop w:val="0"/>
      <w:marBottom w:val="0"/>
      <w:divBdr>
        <w:top w:val="none" w:sz="0" w:space="0" w:color="auto"/>
        <w:left w:val="none" w:sz="0" w:space="0" w:color="auto"/>
        <w:bottom w:val="none" w:sz="0" w:space="0" w:color="auto"/>
        <w:right w:val="none" w:sz="0" w:space="0" w:color="auto"/>
      </w:divBdr>
      <w:divsChild>
        <w:div w:id="398406004">
          <w:marLeft w:val="547"/>
          <w:marRight w:val="0"/>
          <w:marTop w:val="0"/>
          <w:marBottom w:val="0"/>
          <w:divBdr>
            <w:top w:val="none" w:sz="0" w:space="0" w:color="auto"/>
            <w:left w:val="none" w:sz="0" w:space="0" w:color="auto"/>
            <w:bottom w:val="none" w:sz="0" w:space="0" w:color="auto"/>
            <w:right w:val="none" w:sz="0" w:space="0" w:color="auto"/>
          </w:divBdr>
        </w:div>
        <w:div w:id="564724328">
          <w:marLeft w:val="1267"/>
          <w:marRight w:val="0"/>
          <w:marTop w:val="0"/>
          <w:marBottom w:val="0"/>
          <w:divBdr>
            <w:top w:val="none" w:sz="0" w:space="0" w:color="auto"/>
            <w:left w:val="none" w:sz="0" w:space="0" w:color="auto"/>
            <w:bottom w:val="none" w:sz="0" w:space="0" w:color="auto"/>
            <w:right w:val="none" w:sz="0" w:space="0" w:color="auto"/>
          </w:divBdr>
        </w:div>
        <w:div w:id="404690015">
          <w:marLeft w:val="1267"/>
          <w:marRight w:val="0"/>
          <w:marTop w:val="0"/>
          <w:marBottom w:val="0"/>
          <w:divBdr>
            <w:top w:val="none" w:sz="0" w:space="0" w:color="auto"/>
            <w:left w:val="none" w:sz="0" w:space="0" w:color="auto"/>
            <w:bottom w:val="none" w:sz="0" w:space="0" w:color="auto"/>
            <w:right w:val="none" w:sz="0" w:space="0" w:color="auto"/>
          </w:divBdr>
        </w:div>
        <w:div w:id="1226527665">
          <w:marLeft w:val="1267"/>
          <w:marRight w:val="0"/>
          <w:marTop w:val="0"/>
          <w:marBottom w:val="0"/>
          <w:divBdr>
            <w:top w:val="none" w:sz="0" w:space="0" w:color="auto"/>
            <w:left w:val="none" w:sz="0" w:space="0" w:color="auto"/>
            <w:bottom w:val="none" w:sz="0" w:space="0" w:color="auto"/>
            <w:right w:val="none" w:sz="0" w:space="0" w:color="auto"/>
          </w:divBdr>
        </w:div>
        <w:div w:id="294221339">
          <w:marLeft w:val="1267"/>
          <w:marRight w:val="0"/>
          <w:marTop w:val="0"/>
          <w:marBottom w:val="0"/>
          <w:divBdr>
            <w:top w:val="none" w:sz="0" w:space="0" w:color="auto"/>
            <w:left w:val="none" w:sz="0" w:space="0" w:color="auto"/>
            <w:bottom w:val="none" w:sz="0" w:space="0" w:color="auto"/>
            <w:right w:val="none" w:sz="0" w:space="0" w:color="auto"/>
          </w:divBdr>
        </w:div>
        <w:div w:id="1710839958">
          <w:marLeft w:val="1267"/>
          <w:marRight w:val="0"/>
          <w:marTop w:val="0"/>
          <w:marBottom w:val="0"/>
          <w:divBdr>
            <w:top w:val="none" w:sz="0" w:space="0" w:color="auto"/>
            <w:left w:val="none" w:sz="0" w:space="0" w:color="auto"/>
            <w:bottom w:val="none" w:sz="0" w:space="0" w:color="auto"/>
            <w:right w:val="none" w:sz="0" w:space="0" w:color="auto"/>
          </w:divBdr>
        </w:div>
        <w:div w:id="269044292">
          <w:marLeft w:val="1267"/>
          <w:marRight w:val="0"/>
          <w:marTop w:val="0"/>
          <w:marBottom w:val="0"/>
          <w:divBdr>
            <w:top w:val="none" w:sz="0" w:space="0" w:color="auto"/>
            <w:left w:val="none" w:sz="0" w:space="0" w:color="auto"/>
            <w:bottom w:val="none" w:sz="0" w:space="0" w:color="auto"/>
            <w:right w:val="none" w:sz="0" w:space="0" w:color="auto"/>
          </w:divBdr>
        </w:div>
        <w:div w:id="800806677">
          <w:marLeft w:val="1267"/>
          <w:marRight w:val="0"/>
          <w:marTop w:val="0"/>
          <w:marBottom w:val="0"/>
          <w:divBdr>
            <w:top w:val="none" w:sz="0" w:space="0" w:color="auto"/>
            <w:left w:val="none" w:sz="0" w:space="0" w:color="auto"/>
            <w:bottom w:val="none" w:sz="0" w:space="0" w:color="auto"/>
            <w:right w:val="none" w:sz="0" w:space="0" w:color="auto"/>
          </w:divBdr>
        </w:div>
        <w:div w:id="1525286236">
          <w:marLeft w:val="1267"/>
          <w:marRight w:val="0"/>
          <w:marTop w:val="0"/>
          <w:marBottom w:val="0"/>
          <w:divBdr>
            <w:top w:val="none" w:sz="0" w:space="0" w:color="auto"/>
            <w:left w:val="none" w:sz="0" w:space="0" w:color="auto"/>
            <w:bottom w:val="none" w:sz="0" w:space="0" w:color="auto"/>
            <w:right w:val="none" w:sz="0" w:space="0" w:color="auto"/>
          </w:divBdr>
        </w:div>
        <w:div w:id="2091736669">
          <w:marLeft w:val="1267"/>
          <w:marRight w:val="0"/>
          <w:marTop w:val="0"/>
          <w:marBottom w:val="0"/>
          <w:divBdr>
            <w:top w:val="none" w:sz="0" w:space="0" w:color="auto"/>
            <w:left w:val="none" w:sz="0" w:space="0" w:color="auto"/>
            <w:bottom w:val="none" w:sz="0" w:space="0" w:color="auto"/>
            <w:right w:val="none" w:sz="0" w:space="0" w:color="auto"/>
          </w:divBdr>
        </w:div>
      </w:divsChild>
    </w:div>
    <w:div w:id="1051533622">
      <w:bodyDiv w:val="1"/>
      <w:marLeft w:val="0"/>
      <w:marRight w:val="0"/>
      <w:marTop w:val="0"/>
      <w:marBottom w:val="0"/>
      <w:divBdr>
        <w:top w:val="none" w:sz="0" w:space="0" w:color="auto"/>
        <w:left w:val="none" w:sz="0" w:space="0" w:color="auto"/>
        <w:bottom w:val="none" w:sz="0" w:space="0" w:color="auto"/>
        <w:right w:val="none" w:sz="0" w:space="0" w:color="auto"/>
      </w:divBdr>
    </w:div>
    <w:div w:id="1059941874">
      <w:bodyDiv w:val="1"/>
      <w:marLeft w:val="0"/>
      <w:marRight w:val="0"/>
      <w:marTop w:val="0"/>
      <w:marBottom w:val="0"/>
      <w:divBdr>
        <w:top w:val="none" w:sz="0" w:space="0" w:color="auto"/>
        <w:left w:val="none" w:sz="0" w:space="0" w:color="auto"/>
        <w:bottom w:val="none" w:sz="0" w:space="0" w:color="auto"/>
        <w:right w:val="none" w:sz="0" w:space="0" w:color="auto"/>
      </w:divBdr>
    </w:div>
    <w:div w:id="1065757262">
      <w:bodyDiv w:val="1"/>
      <w:marLeft w:val="0"/>
      <w:marRight w:val="0"/>
      <w:marTop w:val="0"/>
      <w:marBottom w:val="0"/>
      <w:divBdr>
        <w:top w:val="none" w:sz="0" w:space="0" w:color="auto"/>
        <w:left w:val="none" w:sz="0" w:space="0" w:color="auto"/>
        <w:bottom w:val="none" w:sz="0" w:space="0" w:color="auto"/>
        <w:right w:val="none" w:sz="0" w:space="0" w:color="auto"/>
      </w:divBdr>
    </w:div>
    <w:div w:id="1067192967">
      <w:bodyDiv w:val="1"/>
      <w:marLeft w:val="0"/>
      <w:marRight w:val="0"/>
      <w:marTop w:val="0"/>
      <w:marBottom w:val="0"/>
      <w:divBdr>
        <w:top w:val="none" w:sz="0" w:space="0" w:color="auto"/>
        <w:left w:val="none" w:sz="0" w:space="0" w:color="auto"/>
        <w:bottom w:val="none" w:sz="0" w:space="0" w:color="auto"/>
        <w:right w:val="none" w:sz="0" w:space="0" w:color="auto"/>
      </w:divBdr>
    </w:div>
    <w:div w:id="1070884317">
      <w:bodyDiv w:val="1"/>
      <w:marLeft w:val="0"/>
      <w:marRight w:val="0"/>
      <w:marTop w:val="0"/>
      <w:marBottom w:val="0"/>
      <w:divBdr>
        <w:top w:val="none" w:sz="0" w:space="0" w:color="auto"/>
        <w:left w:val="none" w:sz="0" w:space="0" w:color="auto"/>
        <w:bottom w:val="none" w:sz="0" w:space="0" w:color="auto"/>
        <w:right w:val="none" w:sz="0" w:space="0" w:color="auto"/>
      </w:divBdr>
    </w:div>
    <w:div w:id="1072385517">
      <w:bodyDiv w:val="1"/>
      <w:marLeft w:val="0"/>
      <w:marRight w:val="0"/>
      <w:marTop w:val="0"/>
      <w:marBottom w:val="0"/>
      <w:divBdr>
        <w:top w:val="none" w:sz="0" w:space="0" w:color="auto"/>
        <w:left w:val="none" w:sz="0" w:space="0" w:color="auto"/>
        <w:bottom w:val="none" w:sz="0" w:space="0" w:color="auto"/>
        <w:right w:val="none" w:sz="0" w:space="0" w:color="auto"/>
      </w:divBdr>
    </w:div>
    <w:div w:id="1074232386">
      <w:bodyDiv w:val="1"/>
      <w:marLeft w:val="0"/>
      <w:marRight w:val="0"/>
      <w:marTop w:val="0"/>
      <w:marBottom w:val="0"/>
      <w:divBdr>
        <w:top w:val="none" w:sz="0" w:space="0" w:color="auto"/>
        <w:left w:val="none" w:sz="0" w:space="0" w:color="auto"/>
        <w:bottom w:val="none" w:sz="0" w:space="0" w:color="auto"/>
        <w:right w:val="none" w:sz="0" w:space="0" w:color="auto"/>
      </w:divBdr>
      <w:divsChild>
        <w:div w:id="765854024">
          <w:marLeft w:val="547"/>
          <w:marRight w:val="0"/>
          <w:marTop w:val="0"/>
          <w:marBottom w:val="0"/>
          <w:divBdr>
            <w:top w:val="none" w:sz="0" w:space="0" w:color="auto"/>
            <w:left w:val="none" w:sz="0" w:space="0" w:color="auto"/>
            <w:bottom w:val="none" w:sz="0" w:space="0" w:color="auto"/>
            <w:right w:val="none" w:sz="0" w:space="0" w:color="auto"/>
          </w:divBdr>
        </w:div>
      </w:divsChild>
    </w:div>
    <w:div w:id="1075052737">
      <w:bodyDiv w:val="1"/>
      <w:marLeft w:val="0"/>
      <w:marRight w:val="0"/>
      <w:marTop w:val="0"/>
      <w:marBottom w:val="0"/>
      <w:divBdr>
        <w:top w:val="none" w:sz="0" w:space="0" w:color="auto"/>
        <w:left w:val="none" w:sz="0" w:space="0" w:color="auto"/>
        <w:bottom w:val="none" w:sz="0" w:space="0" w:color="auto"/>
        <w:right w:val="none" w:sz="0" w:space="0" w:color="auto"/>
      </w:divBdr>
    </w:div>
    <w:div w:id="1078095142">
      <w:bodyDiv w:val="1"/>
      <w:marLeft w:val="0"/>
      <w:marRight w:val="0"/>
      <w:marTop w:val="0"/>
      <w:marBottom w:val="0"/>
      <w:divBdr>
        <w:top w:val="none" w:sz="0" w:space="0" w:color="auto"/>
        <w:left w:val="none" w:sz="0" w:space="0" w:color="auto"/>
        <w:bottom w:val="none" w:sz="0" w:space="0" w:color="auto"/>
        <w:right w:val="none" w:sz="0" w:space="0" w:color="auto"/>
      </w:divBdr>
    </w:div>
    <w:div w:id="1081030259">
      <w:bodyDiv w:val="1"/>
      <w:marLeft w:val="0"/>
      <w:marRight w:val="0"/>
      <w:marTop w:val="0"/>
      <w:marBottom w:val="0"/>
      <w:divBdr>
        <w:top w:val="none" w:sz="0" w:space="0" w:color="auto"/>
        <w:left w:val="none" w:sz="0" w:space="0" w:color="auto"/>
        <w:bottom w:val="none" w:sz="0" w:space="0" w:color="auto"/>
        <w:right w:val="none" w:sz="0" w:space="0" w:color="auto"/>
      </w:divBdr>
    </w:div>
    <w:div w:id="1081680066">
      <w:bodyDiv w:val="1"/>
      <w:marLeft w:val="0"/>
      <w:marRight w:val="0"/>
      <w:marTop w:val="0"/>
      <w:marBottom w:val="0"/>
      <w:divBdr>
        <w:top w:val="none" w:sz="0" w:space="0" w:color="auto"/>
        <w:left w:val="none" w:sz="0" w:space="0" w:color="auto"/>
        <w:bottom w:val="none" w:sz="0" w:space="0" w:color="auto"/>
        <w:right w:val="none" w:sz="0" w:space="0" w:color="auto"/>
      </w:divBdr>
      <w:divsChild>
        <w:div w:id="992181865">
          <w:marLeft w:val="0"/>
          <w:marRight w:val="0"/>
          <w:marTop w:val="0"/>
          <w:marBottom w:val="0"/>
          <w:divBdr>
            <w:top w:val="none" w:sz="0" w:space="0" w:color="auto"/>
            <w:left w:val="none" w:sz="0" w:space="0" w:color="auto"/>
            <w:bottom w:val="none" w:sz="0" w:space="0" w:color="auto"/>
            <w:right w:val="none" w:sz="0" w:space="0" w:color="auto"/>
          </w:divBdr>
        </w:div>
        <w:div w:id="1125586507">
          <w:marLeft w:val="0"/>
          <w:marRight w:val="0"/>
          <w:marTop w:val="0"/>
          <w:marBottom w:val="0"/>
          <w:divBdr>
            <w:top w:val="none" w:sz="0" w:space="0" w:color="auto"/>
            <w:left w:val="none" w:sz="0" w:space="0" w:color="auto"/>
            <w:bottom w:val="none" w:sz="0" w:space="0" w:color="auto"/>
            <w:right w:val="none" w:sz="0" w:space="0" w:color="auto"/>
          </w:divBdr>
        </w:div>
        <w:div w:id="1292900816">
          <w:marLeft w:val="0"/>
          <w:marRight w:val="0"/>
          <w:marTop w:val="0"/>
          <w:marBottom w:val="0"/>
          <w:divBdr>
            <w:top w:val="none" w:sz="0" w:space="0" w:color="auto"/>
            <w:left w:val="none" w:sz="0" w:space="0" w:color="auto"/>
            <w:bottom w:val="none" w:sz="0" w:space="0" w:color="auto"/>
            <w:right w:val="none" w:sz="0" w:space="0" w:color="auto"/>
          </w:divBdr>
        </w:div>
      </w:divsChild>
    </w:div>
    <w:div w:id="1083532725">
      <w:bodyDiv w:val="1"/>
      <w:marLeft w:val="0"/>
      <w:marRight w:val="0"/>
      <w:marTop w:val="0"/>
      <w:marBottom w:val="0"/>
      <w:divBdr>
        <w:top w:val="none" w:sz="0" w:space="0" w:color="auto"/>
        <w:left w:val="none" w:sz="0" w:space="0" w:color="auto"/>
        <w:bottom w:val="none" w:sz="0" w:space="0" w:color="auto"/>
        <w:right w:val="none" w:sz="0" w:space="0" w:color="auto"/>
      </w:divBdr>
    </w:div>
    <w:div w:id="1084107419">
      <w:bodyDiv w:val="1"/>
      <w:marLeft w:val="0"/>
      <w:marRight w:val="0"/>
      <w:marTop w:val="0"/>
      <w:marBottom w:val="0"/>
      <w:divBdr>
        <w:top w:val="none" w:sz="0" w:space="0" w:color="auto"/>
        <w:left w:val="none" w:sz="0" w:space="0" w:color="auto"/>
        <w:bottom w:val="none" w:sz="0" w:space="0" w:color="auto"/>
        <w:right w:val="none" w:sz="0" w:space="0" w:color="auto"/>
      </w:divBdr>
    </w:div>
    <w:div w:id="1086993645">
      <w:bodyDiv w:val="1"/>
      <w:marLeft w:val="0"/>
      <w:marRight w:val="0"/>
      <w:marTop w:val="0"/>
      <w:marBottom w:val="0"/>
      <w:divBdr>
        <w:top w:val="none" w:sz="0" w:space="0" w:color="auto"/>
        <w:left w:val="none" w:sz="0" w:space="0" w:color="auto"/>
        <w:bottom w:val="none" w:sz="0" w:space="0" w:color="auto"/>
        <w:right w:val="none" w:sz="0" w:space="0" w:color="auto"/>
      </w:divBdr>
    </w:div>
    <w:div w:id="1097672551">
      <w:bodyDiv w:val="1"/>
      <w:marLeft w:val="0"/>
      <w:marRight w:val="0"/>
      <w:marTop w:val="0"/>
      <w:marBottom w:val="0"/>
      <w:divBdr>
        <w:top w:val="none" w:sz="0" w:space="0" w:color="auto"/>
        <w:left w:val="none" w:sz="0" w:space="0" w:color="auto"/>
        <w:bottom w:val="none" w:sz="0" w:space="0" w:color="auto"/>
        <w:right w:val="none" w:sz="0" w:space="0" w:color="auto"/>
      </w:divBdr>
    </w:div>
    <w:div w:id="1098792570">
      <w:bodyDiv w:val="1"/>
      <w:marLeft w:val="0"/>
      <w:marRight w:val="0"/>
      <w:marTop w:val="0"/>
      <w:marBottom w:val="0"/>
      <w:divBdr>
        <w:top w:val="none" w:sz="0" w:space="0" w:color="auto"/>
        <w:left w:val="none" w:sz="0" w:space="0" w:color="auto"/>
        <w:bottom w:val="none" w:sz="0" w:space="0" w:color="auto"/>
        <w:right w:val="none" w:sz="0" w:space="0" w:color="auto"/>
      </w:divBdr>
    </w:div>
    <w:div w:id="1100370087">
      <w:bodyDiv w:val="1"/>
      <w:marLeft w:val="0"/>
      <w:marRight w:val="0"/>
      <w:marTop w:val="0"/>
      <w:marBottom w:val="0"/>
      <w:divBdr>
        <w:top w:val="none" w:sz="0" w:space="0" w:color="auto"/>
        <w:left w:val="none" w:sz="0" w:space="0" w:color="auto"/>
        <w:bottom w:val="none" w:sz="0" w:space="0" w:color="auto"/>
        <w:right w:val="none" w:sz="0" w:space="0" w:color="auto"/>
      </w:divBdr>
    </w:div>
    <w:div w:id="1100877676">
      <w:bodyDiv w:val="1"/>
      <w:marLeft w:val="0"/>
      <w:marRight w:val="0"/>
      <w:marTop w:val="0"/>
      <w:marBottom w:val="0"/>
      <w:divBdr>
        <w:top w:val="none" w:sz="0" w:space="0" w:color="auto"/>
        <w:left w:val="none" w:sz="0" w:space="0" w:color="auto"/>
        <w:bottom w:val="none" w:sz="0" w:space="0" w:color="auto"/>
        <w:right w:val="none" w:sz="0" w:space="0" w:color="auto"/>
      </w:divBdr>
      <w:divsChild>
        <w:div w:id="36513980">
          <w:marLeft w:val="547"/>
          <w:marRight w:val="0"/>
          <w:marTop w:val="0"/>
          <w:marBottom w:val="0"/>
          <w:divBdr>
            <w:top w:val="none" w:sz="0" w:space="0" w:color="auto"/>
            <w:left w:val="none" w:sz="0" w:space="0" w:color="auto"/>
            <w:bottom w:val="none" w:sz="0" w:space="0" w:color="auto"/>
            <w:right w:val="none" w:sz="0" w:space="0" w:color="auto"/>
          </w:divBdr>
        </w:div>
      </w:divsChild>
    </w:div>
    <w:div w:id="1102460776">
      <w:bodyDiv w:val="1"/>
      <w:marLeft w:val="0"/>
      <w:marRight w:val="0"/>
      <w:marTop w:val="0"/>
      <w:marBottom w:val="0"/>
      <w:divBdr>
        <w:top w:val="none" w:sz="0" w:space="0" w:color="auto"/>
        <w:left w:val="none" w:sz="0" w:space="0" w:color="auto"/>
        <w:bottom w:val="none" w:sz="0" w:space="0" w:color="auto"/>
        <w:right w:val="none" w:sz="0" w:space="0" w:color="auto"/>
      </w:divBdr>
      <w:divsChild>
        <w:div w:id="483010138">
          <w:marLeft w:val="547"/>
          <w:marRight w:val="0"/>
          <w:marTop w:val="96"/>
          <w:marBottom w:val="0"/>
          <w:divBdr>
            <w:top w:val="none" w:sz="0" w:space="0" w:color="auto"/>
            <w:left w:val="none" w:sz="0" w:space="0" w:color="auto"/>
            <w:bottom w:val="none" w:sz="0" w:space="0" w:color="auto"/>
            <w:right w:val="none" w:sz="0" w:space="0" w:color="auto"/>
          </w:divBdr>
        </w:div>
        <w:div w:id="1332219913">
          <w:marLeft w:val="547"/>
          <w:marRight w:val="0"/>
          <w:marTop w:val="96"/>
          <w:marBottom w:val="0"/>
          <w:divBdr>
            <w:top w:val="none" w:sz="0" w:space="0" w:color="auto"/>
            <w:left w:val="none" w:sz="0" w:space="0" w:color="auto"/>
            <w:bottom w:val="none" w:sz="0" w:space="0" w:color="auto"/>
            <w:right w:val="none" w:sz="0" w:space="0" w:color="auto"/>
          </w:divBdr>
        </w:div>
        <w:div w:id="1488401413">
          <w:marLeft w:val="547"/>
          <w:marRight w:val="0"/>
          <w:marTop w:val="96"/>
          <w:marBottom w:val="0"/>
          <w:divBdr>
            <w:top w:val="none" w:sz="0" w:space="0" w:color="auto"/>
            <w:left w:val="none" w:sz="0" w:space="0" w:color="auto"/>
            <w:bottom w:val="none" w:sz="0" w:space="0" w:color="auto"/>
            <w:right w:val="none" w:sz="0" w:space="0" w:color="auto"/>
          </w:divBdr>
        </w:div>
        <w:div w:id="1807235515">
          <w:marLeft w:val="547"/>
          <w:marRight w:val="0"/>
          <w:marTop w:val="96"/>
          <w:marBottom w:val="0"/>
          <w:divBdr>
            <w:top w:val="none" w:sz="0" w:space="0" w:color="auto"/>
            <w:left w:val="none" w:sz="0" w:space="0" w:color="auto"/>
            <w:bottom w:val="none" w:sz="0" w:space="0" w:color="auto"/>
            <w:right w:val="none" w:sz="0" w:space="0" w:color="auto"/>
          </w:divBdr>
        </w:div>
        <w:div w:id="1898009417">
          <w:marLeft w:val="547"/>
          <w:marRight w:val="0"/>
          <w:marTop w:val="96"/>
          <w:marBottom w:val="0"/>
          <w:divBdr>
            <w:top w:val="none" w:sz="0" w:space="0" w:color="auto"/>
            <w:left w:val="none" w:sz="0" w:space="0" w:color="auto"/>
            <w:bottom w:val="none" w:sz="0" w:space="0" w:color="auto"/>
            <w:right w:val="none" w:sz="0" w:space="0" w:color="auto"/>
          </w:divBdr>
        </w:div>
        <w:div w:id="1959212840">
          <w:marLeft w:val="547"/>
          <w:marRight w:val="0"/>
          <w:marTop w:val="96"/>
          <w:marBottom w:val="0"/>
          <w:divBdr>
            <w:top w:val="none" w:sz="0" w:space="0" w:color="auto"/>
            <w:left w:val="none" w:sz="0" w:space="0" w:color="auto"/>
            <w:bottom w:val="none" w:sz="0" w:space="0" w:color="auto"/>
            <w:right w:val="none" w:sz="0" w:space="0" w:color="auto"/>
          </w:divBdr>
        </w:div>
      </w:divsChild>
    </w:div>
    <w:div w:id="1113549042">
      <w:bodyDiv w:val="1"/>
      <w:marLeft w:val="0"/>
      <w:marRight w:val="0"/>
      <w:marTop w:val="0"/>
      <w:marBottom w:val="0"/>
      <w:divBdr>
        <w:top w:val="none" w:sz="0" w:space="0" w:color="auto"/>
        <w:left w:val="none" w:sz="0" w:space="0" w:color="auto"/>
        <w:bottom w:val="none" w:sz="0" w:space="0" w:color="auto"/>
        <w:right w:val="none" w:sz="0" w:space="0" w:color="auto"/>
      </w:divBdr>
    </w:div>
    <w:div w:id="1113793497">
      <w:bodyDiv w:val="1"/>
      <w:marLeft w:val="0"/>
      <w:marRight w:val="0"/>
      <w:marTop w:val="0"/>
      <w:marBottom w:val="0"/>
      <w:divBdr>
        <w:top w:val="none" w:sz="0" w:space="0" w:color="auto"/>
        <w:left w:val="none" w:sz="0" w:space="0" w:color="auto"/>
        <w:bottom w:val="none" w:sz="0" w:space="0" w:color="auto"/>
        <w:right w:val="none" w:sz="0" w:space="0" w:color="auto"/>
      </w:divBdr>
      <w:divsChild>
        <w:div w:id="115874386">
          <w:marLeft w:val="0"/>
          <w:marRight w:val="0"/>
          <w:marTop w:val="0"/>
          <w:marBottom w:val="0"/>
          <w:divBdr>
            <w:top w:val="none" w:sz="0" w:space="0" w:color="auto"/>
            <w:left w:val="none" w:sz="0" w:space="0" w:color="auto"/>
            <w:bottom w:val="none" w:sz="0" w:space="0" w:color="auto"/>
            <w:right w:val="none" w:sz="0" w:space="0" w:color="auto"/>
          </w:divBdr>
        </w:div>
        <w:div w:id="266424990">
          <w:marLeft w:val="0"/>
          <w:marRight w:val="0"/>
          <w:marTop w:val="0"/>
          <w:marBottom w:val="0"/>
          <w:divBdr>
            <w:top w:val="none" w:sz="0" w:space="0" w:color="auto"/>
            <w:left w:val="none" w:sz="0" w:space="0" w:color="auto"/>
            <w:bottom w:val="none" w:sz="0" w:space="0" w:color="auto"/>
            <w:right w:val="none" w:sz="0" w:space="0" w:color="auto"/>
          </w:divBdr>
        </w:div>
        <w:div w:id="1356925925">
          <w:marLeft w:val="0"/>
          <w:marRight w:val="0"/>
          <w:marTop w:val="0"/>
          <w:marBottom w:val="0"/>
          <w:divBdr>
            <w:top w:val="none" w:sz="0" w:space="0" w:color="auto"/>
            <w:left w:val="none" w:sz="0" w:space="0" w:color="auto"/>
            <w:bottom w:val="none" w:sz="0" w:space="0" w:color="auto"/>
            <w:right w:val="none" w:sz="0" w:space="0" w:color="auto"/>
          </w:divBdr>
        </w:div>
        <w:div w:id="2048335822">
          <w:marLeft w:val="0"/>
          <w:marRight w:val="0"/>
          <w:marTop w:val="0"/>
          <w:marBottom w:val="0"/>
          <w:divBdr>
            <w:top w:val="none" w:sz="0" w:space="0" w:color="auto"/>
            <w:left w:val="none" w:sz="0" w:space="0" w:color="auto"/>
            <w:bottom w:val="none" w:sz="0" w:space="0" w:color="auto"/>
            <w:right w:val="none" w:sz="0" w:space="0" w:color="auto"/>
          </w:divBdr>
        </w:div>
      </w:divsChild>
    </w:div>
    <w:div w:id="1123302334">
      <w:bodyDiv w:val="1"/>
      <w:marLeft w:val="0"/>
      <w:marRight w:val="0"/>
      <w:marTop w:val="0"/>
      <w:marBottom w:val="0"/>
      <w:divBdr>
        <w:top w:val="none" w:sz="0" w:space="0" w:color="auto"/>
        <w:left w:val="none" w:sz="0" w:space="0" w:color="auto"/>
        <w:bottom w:val="none" w:sz="0" w:space="0" w:color="auto"/>
        <w:right w:val="none" w:sz="0" w:space="0" w:color="auto"/>
      </w:divBdr>
      <w:divsChild>
        <w:div w:id="1499925516">
          <w:marLeft w:val="547"/>
          <w:marRight w:val="0"/>
          <w:marTop w:val="0"/>
          <w:marBottom w:val="0"/>
          <w:divBdr>
            <w:top w:val="none" w:sz="0" w:space="0" w:color="auto"/>
            <w:left w:val="none" w:sz="0" w:space="0" w:color="auto"/>
            <w:bottom w:val="none" w:sz="0" w:space="0" w:color="auto"/>
            <w:right w:val="none" w:sz="0" w:space="0" w:color="auto"/>
          </w:divBdr>
        </w:div>
      </w:divsChild>
    </w:div>
    <w:div w:id="1125924881">
      <w:bodyDiv w:val="1"/>
      <w:marLeft w:val="0"/>
      <w:marRight w:val="0"/>
      <w:marTop w:val="0"/>
      <w:marBottom w:val="0"/>
      <w:divBdr>
        <w:top w:val="none" w:sz="0" w:space="0" w:color="auto"/>
        <w:left w:val="none" w:sz="0" w:space="0" w:color="auto"/>
        <w:bottom w:val="none" w:sz="0" w:space="0" w:color="auto"/>
        <w:right w:val="none" w:sz="0" w:space="0" w:color="auto"/>
      </w:divBdr>
    </w:div>
    <w:div w:id="1146163520">
      <w:bodyDiv w:val="1"/>
      <w:marLeft w:val="0"/>
      <w:marRight w:val="0"/>
      <w:marTop w:val="0"/>
      <w:marBottom w:val="0"/>
      <w:divBdr>
        <w:top w:val="none" w:sz="0" w:space="0" w:color="auto"/>
        <w:left w:val="none" w:sz="0" w:space="0" w:color="auto"/>
        <w:bottom w:val="none" w:sz="0" w:space="0" w:color="auto"/>
        <w:right w:val="none" w:sz="0" w:space="0" w:color="auto"/>
      </w:divBdr>
    </w:div>
    <w:div w:id="1156146033">
      <w:bodyDiv w:val="1"/>
      <w:marLeft w:val="0"/>
      <w:marRight w:val="0"/>
      <w:marTop w:val="0"/>
      <w:marBottom w:val="0"/>
      <w:divBdr>
        <w:top w:val="none" w:sz="0" w:space="0" w:color="auto"/>
        <w:left w:val="none" w:sz="0" w:space="0" w:color="auto"/>
        <w:bottom w:val="none" w:sz="0" w:space="0" w:color="auto"/>
        <w:right w:val="none" w:sz="0" w:space="0" w:color="auto"/>
      </w:divBdr>
    </w:div>
    <w:div w:id="1157652704">
      <w:bodyDiv w:val="1"/>
      <w:marLeft w:val="0"/>
      <w:marRight w:val="0"/>
      <w:marTop w:val="0"/>
      <w:marBottom w:val="0"/>
      <w:divBdr>
        <w:top w:val="none" w:sz="0" w:space="0" w:color="auto"/>
        <w:left w:val="none" w:sz="0" w:space="0" w:color="auto"/>
        <w:bottom w:val="none" w:sz="0" w:space="0" w:color="auto"/>
        <w:right w:val="none" w:sz="0" w:space="0" w:color="auto"/>
      </w:divBdr>
    </w:div>
    <w:div w:id="1168906070">
      <w:bodyDiv w:val="1"/>
      <w:marLeft w:val="0"/>
      <w:marRight w:val="0"/>
      <w:marTop w:val="0"/>
      <w:marBottom w:val="0"/>
      <w:divBdr>
        <w:top w:val="none" w:sz="0" w:space="0" w:color="auto"/>
        <w:left w:val="none" w:sz="0" w:space="0" w:color="auto"/>
        <w:bottom w:val="none" w:sz="0" w:space="0" w:color="auto"/>
        <w:right w:val="none" w:sz="0" w:space="0" w:color="auto"/>
      </w:divBdr>
    </w:div>
    <w:div w:id="1171919096">
      <w:bodyDiv w:val="1"/>
      <w:marLeft w:val="0"/>
      <w:marRight w:val="0"/>
      <w:marTop w:val="0"/>
      <w:marBottom w:val="0"/>
      <w:divBdr>
        <w:top w:val="none" w:sz="0" w:space="0" w:color="auto"/>
        <w:left w:val="none" w:sz="0" w:space="0" w:color="auto"/>
        <w:bottom w:val="none" w:sz="0" w:space="0" w:color="auto"/>
        <w:right w:val="none" w:sz="0" w:space="0" w:color="auto"/>
      </w:divBdr>
      <w:divsChild>
        <w:div w:id="125898603">
          <w:marLeft w:val="475"/>
          <w:marRight w:val="0"/>
          <w:marTop w:val="86"/>
          <w:marBottom w:val="120"/>
          <w:divBdr>
            <w:top w:val="none" w:sz="0" w:space="0" w:color="auto"/>
            <w:left w:val="none" w:sz="0" w:space="0" w:color="auto"/>
            <w:bottom w:val="none" w:sz="0" w:space="0" w:color="auto"/>
            <w:right w:val="none" w:sz="0" w:space="0" w:color="auto"/>
          </w:divBdr>
        </w:div>
        <w:div w:id="869227102">
          <w:marLeft w:val="475"/>
          <w:marRight w:val="0"/>
          <w:marTop w:val="86"/>
          <w:marBottom w:val="120"/>
          <w:divBdr>
            <w:top w:val="none" w:sz="0" w:space="0" w:color="auto"/>
            <w:left w:val="none" w:sz="0" w:space="0" w:color="auto"/>
            <w:bottom w:val="none" w:sz="0" w:space="0" w:color="auto"/>
            <w:right w:val="none" w:sz="0" w:space="0" w:color="auto"/>
          </w:divBdr>
        </w:div>
        <w:div w:id="1076245780">
          <w:marLeft w:val="475"/>
          <w:marRight w:val="0"/>
          <w:marTop w:val="86"/>
          <w:marBottom w:val="120"/>
          <w:divBdr>
            <w:top w:val="none" w:sz="0" w:space="0" w:color="auto"/>
            <w:left w:val="none" w:sz="0" w:space="0" w:color="auto"/>
            <w:bottom w:val="none" w:sz="0" w:space="0" w:color="auto"/>
            <w:right w:val="none" w:sz="0" w:space="0" w:color="auto"/>
          </w:divBdr>
        </w:div>
        <w:div w:id="1977832505">
          <w:marLeft w:val="475"/>
          <w:marRight w:val="0"/>
          <w:marTop w:val="86"/>
          <w:marBottom w:val="120"/>
          <w:divBdr>
            <w:top w:val="none" w:sz="0" w:space="0" w:color="auto"/>
            <w:left w:val="none" w:sz="0" w:space="0" w:color="auto"/>
            <w:bottom w:val="none" w:sz="0" w:space="0" w:color="auto"/>
            <w:right w:val="none" w:sz="0" w:space="0" w:color="auto"/>
          </w:divBdr>
        </w:div>
      </w:divsChild>
    </w:div>
    <w:div w:id="1179388807">
      <w:bodyDiv w:val="1"/>
      <w:marLeft w:val="0"/>
      <w:marRight w:val="0"/>
      <w:marTop w:val="0"/>
      <w:marBottom w:val="0"/>
      <w:divBdr>
        <w:top w:val="none" w:sz="0" w:space="0" w:color="auto"/>
        <w:left w:val="none" w:sz="0" w:space="0" w:color="auto"/>
        <w:bottom w:val="none" w:sz="0" w:space="0" w:color="auto"/>
        <w:right w:val="none" w:sz="0" w:space="0" w:color="auto"/>
      </w:divBdr>
    </w:div>
    <w:div w:id="1184710785">
      <w:bodyDiv w:val="1"/>
      <w:marLeft w:val="0"/>
      <w:marRight w:val="0"/>
      <w:marTop w:val="0"/>
      <w:marBottom w:val="0"/>
      <w:divBdr>
        <w:top w:val="none" w:sz="0" w:space="0" w:color="auto"/>
        <w:left w:val="none" w:sz="0" w:space="0" w:color="auto"/>
        <w:bottom w:val="none" w:sz="0" w:space="0" w:color="auto"/>
        <w:right w:val="none" w:sz="0" w:space="0" w:color="auto"/>
      </w:divBdr>
      <w:divsChild>
        <w:div w:id="707070968">
          <w:marLeft w:val="547"/>
          <w:marRight w:val="0"/>
          <w:marTop w:val="0"/>
          <w:marBottom w:val="0"/>
          <w:divBdr>
            <w:top w:val="none" w:sz="0" w:space="0" w:color="auto"/>
            <w:left w:val="none" w:sz="0" w:space="0" w:color="auto"/>
            <w:bottom w:val="none" w:sz="0" w:space="0" w:color="auto"/>
            <w:right w:val="none" w:sz="0" w:space="0" w:color="auto"/>
          </w:divBdr>
        </w:div>
      </w:divsChild>
    </w:div>
    <w:div w:id="1196692351">
      <w:bodyDiv w:val="1"/>
      <w:marLeft w:val="0"/>
      <w:marRight w:val="0"/>
      <w:marTop w:val="0"/>
      <w:marBottom w:val="0"/>
      <w:divBdr>
        <w:top w:val="none" w:sz="0" w:space="0" w:color="auto"/>
        <w:left w:val="none" w:sz="0" w:space="0" w:color="auto"/>
        <w:bottom w:val="none" w:sz="0" w:space="0" w:color="auto"/>
        <w:right w:val="none" w:sz="0" w:space="0" w:color="auto"/>
      </w:divBdr>
    </w:div>
    <w:div w:id="1198546500">
      <w:bodyDiv w:val="1"/>
      <w:marLeft w:val="0"/>
      <w:marRight w:val="0"/>
      <w:marTop w:val="0"/>
      <w:marBottom w:val="0"/>
      <w:divBdr>
        <w:top w:val="none" w:sz="0" w:space="0" w:color="auto"/>
        <w:left w:val="none" w:sz="0" w:space="0" w:color="auto"/>
        <w:bottom w:val="none" w:sz="0" w:space="0" w:color="auto"/>
        <w:right w:val="none" w:sz="0" w:space="0" w:color="auto"/>
      </w:divBdr>
    </w:div>
    <w:div w:id="1199273799">
      <w:bodyDiv w:val="1"/>
      <w:marLeft w:val="0"/>
      <w:marRight w:val="0"/>
      <w:marTop w:val="0"/>
      <w:marBottom w:val="0"/>
      <w:divBdr>
        <w:top w:val="none" w:sz="0" w:space="0" w:color="auto"/>
        <w:left w:val="none" w:sz="0" w:space="0" w:color="auto"/>
        <w:bottom w:val="none" w:sz="0" w:space="0" w:color="auto"/>
        <w:right w:val="none" w:sz="0" w:space="0" w:color="auto"/>
      </w:divBdr>
    </w:div>
    <w:div w:id="1200359596">
      <w:bodyDiv w:val="1"/>
      <w:marLeft w:val="0"/>
      <w:marRight w:val="0"/>
      <w:marTop w:val="0"/>
      <w:marBottom w:val="0"/>
      <w:divBdr>
        <w:top w:val="none" w:sz="0" w:space="0" w:color="auto"/>
        <w:left w:val="none" w:sz="0" w:space="0" w:color="auto"/>
        <w:bottom w:val="none" w:sz="0" w:space="0" w:color="auto"/>
        <w:right w:val="none" w:sz="0" w:space="0" w:color="auto"/>
      </w:divBdr>
    </w:div>
    <w:div w:id="1200780622">
      <w:bodyDiv w:val="1"/>
      <w:marLeft w:val="0"/>
      <w:marRight w:val="0"/>
      <w:marTop w:val="0"/>
      <w:marBottom w:val="0"/>
      <w:divBdr>
        <w:top w:val="none" w:sz="0" w:space="0" w:color="auto"/>
        <w:left w:val="none" w:sz="0" w:space="0" w:color="auto"/>
        <w:bottom w:val="none" w:sz="0" w:space="0" w:color="auto"/>
        <w:right w:val="none" w:sz="0" w:space="0" w:color="auto"/>
      </w:divBdr>
      <w:divsChild>
        <w:div w:id="1213274209">
          <w:marLeft w:val="0"/>
          <w:marRight w:val="0"/>
          <w:marTop w:val="0"/>
          <w:marBottom w:val="0"/>
          <w:divBdr>
            <w:top w:val="none" w:sz="0" w:space="0" w:color="auto"/>
            <w:left w:val="none" w:sz="0" w:space="0" w:color="auto"/>
            <w:bottom w:val="none" w:sz="0" w:space="0" w:color="auto"/>
            <w:right w:val="none" w:sz="0" w:space="0" w:color="auto"/>
          </w:divBdr>
        </w:div>
        <w:div w:id="1595287883">
          <w:marLeft w:val="0"/>
          <w:marRight w:val="0"/>
          <w:marTop w:val="0"/>
          <w:marBottom w:val="0"/>
          <w:divBdr>
            <w:top w:val="none" w:sz="0" w:space="0" w:color="auto"/>
            <w:left w:val="none" w:sz="0" w:space="0" w:color="auto"/>
            <w:bottom w:val="none" w:sz="0" w:space="0" w:color="auto"/>
            <w:right w:val="none" w:sz="0" w:space="0" w:color="auto"/>
          </w:divBdr>
        </w:div>
      </w:divsChild>
    </w:div>
    <w:div w:id="1201092612">
      <w:bodyDiv w:val="1"/>
      <w:marLeft w:val="0"/>
      <w:marRight w:val="0"/>
      <w:marTop w:val="0"/>
      <w:marBottom w:val="0"/>
      <w:divBdr>
        <w:top w:val="none" w:sz="0" w:space="0" w:color="auto"/>
        <w:left w:val="none" w:sz="0" w:space="0" w:color="auto"/>
        <w:bottom w:val="none" w:sz="0" w:space="0" w:color="auto"/>
        <w:right w:val="none" w:sz="0" w:space="0" w:color="auto"/>
      </w:divBdr>
    </w:div>
    <w:div w:id="1201241387">
      <w:bodyDiv w:val="1"/>
      <w:marLeft w:val="0"/>
      <w:marRight w:val="0"/>
      <w:marTop w:val="0"/>
      <w:marBottom w:val="0"/>
      <w:divBdr>
        <w:top w:val="none" w:sz="0" w:space="0" w:color="auto"/>
        <w:left w:val="none" w:sz="0" w:space="0" w:color="auto"/>
        <w:bottom w:val="none" w:sz="0" w:space="0" w:color="auto"/>
        <w:right w:val="none" w:sz="0" w:space="0" w:color="auto"/>
      </w:divBdr>
    </w:div>
    <w:div w:id="1205799574">
      <w:bodyDiv w:val="1"/>
      <w:marLeft w:val="0"/>
      <w:marRight w:val="0"/>
      <w:marTop w:val="0"/>
      <w:marBottom w:val="0"/>
      <w:divBdr>
        <w:top w:val="none" w:sz="0" w:space="0" w:color="auto"/>
        <w:left w:val="none" w:sz="0" w:space="0" w:color="auto"/>
        <w:bottom w:val="none" w:sz="0" w:space="0" w:color="auto"/>
        <w:right w:val="none" w:sz="0" w:space="0" w:color="auto"/>
      </w:divBdr>
    </w:div>
    <w:div w:id="1207525883">
      <w:bodyDiv w:val="1"/>
      <w:marLeft w:val="0"/>
      <w:marRight w:val="0"/>
      <w:marTop w:val="0"/>
      <w:marBottom w:val="0"/>
      <w:divBdr>
        <w:top w:val="none" w:sz="0" w:space="0" w:color="auto"/>
        <w:left w:val="none" w:sz="0" w:space="0" w:color="auto"/>
        <w:bottom w:val="none" w:sz="0" w:space="0" w:color="auto"/>
        <w:right w:val="none" w:sz="0" w:space="0" w:color="auto"/>
      </w:divBdr>
    </w:div>
    <w:div w:id="1209024261">
      <w:bodyDiv w:val="1"/>
      <w:marLeft w:val="0"/>
      <w:marRight w:val="0"/>
      <w:marTop w:val="0"/>
      <w:marBottom w:val="0"/>
      <w:divBdr>
        <w:top w:val="none" w:sz="0" w:space="0" w:color="auto"/>
        <w:left w:val="none" w:sz="0" w:space="0" w:color="auto"/>
        <w:bottom w:val="none" w:sz="0" w:space="0" w:color="auto"/>
        <w:right w:val="none" w:sz="0" w:space="0" w:color="auto"/>
      </w:divBdr>
    </w:div>
    <w:div w:id="1212425310">
      <w:bodyDiv w:val="1"/>
      <w:marLeft w:val="0"/>
      <w:marRight w:val="0"/>
      <w:marTop w:val="0"/>
      <w:marBottom w:val="0"/>
      <w:divBdr>
        <w:top w:val="none" w:sz="0" w:space="0" w:color="auto"/>
        <w:left w:val="none" w:sz="0" w:space="0" w:color="auto"/>
        <w:bottom w:val="none" w:sz="0" w:space="0" w:color="auto"/>
        <w:right w:val="none" w:sz="0" w:space="0" w:color="auto"/>
      </w:divBdr>
    </w:div>
    <w:div w:id="1214999137">
      <w:bodyDiv w:val="1"/>
      <w:marLeft w:val="0"/>
      <w:marRight w:val="0"/>
      <w:marTop w:val="0"/>
      <w:marBottom w:val="0"/>
      <w:divBdr>
        <w:top w:val="none" w:sz="0" w:space="0" w:color="auto"/>
        <w:left w:val="none" w:sz="0" w:space="0" w:color="auto"/>
        <w:bottom w:val="none" w:sz="0" w:space="0" w:color="auto"/>
        <w:right w:val="none" w:sz="0" w:space="0" w:color="auto"/>
      </w:divBdr>
      <w:divsChild>
        <w:div w:id="1532458299">
          <w:marLeft w:val="0"/>
          <w:marRight w:val="0"/>
          <w:marTop w:val="0"/>
          <w:marBottom w:val="0"/>
          <w:divBdr>
            <w:top w:val="none" w:sz="0" w:space="0" w:color="auto"/>
            <w:left w:val="none" w:sz="0" w:space="0" w:color="auto"/>
            <w:bottom w:val="none" w:sz="0" w:space="0" w:color="auto"/>
            <w:right w:val="none" w:sz="0" w:space="0" w:color="auto"/>
          </w:divBdr>
        </w:div>
        <w:div w:id="20132637">
          <w:marLeft w:val="0"/>
          <w:marRight w:val="0"/>
          <w:marTop w:val="0"/>
          <w:marBottom w:val="0"/>
          <w:divBdr>
            <w:top w:val="none" w:sz="0" w:space="0" w:color="auto"/>
            <w:left w:val="none" w:sz="0" w:space="0" w:color="auto"/>
            <w:bottom w:val="none" w:sz="0" w:space="0" w:color="auto"/>
            <w:right w:val="none" w:sz="0" w:space="0" w:color="auto"/>
          </w:divBdr>
        </w:div>
        <w:div w:id="1818302785">
          <w:marLeft w:val="0"/>
          <w:marRight w:val="0"/>
          <w:marTop w:val="0"/>
          <w:marBottom w:val="0"/>
          <w:divBdr>
            <w:top w:val="none" w:sz="0" w:space="0" w:color="auto"/>
            <w:left w:val="none" w:sz="0" w:space="0" w:color="auto"/>
            <w:bottom w:val="none" w:sz="0" w:space="0" w:color="auto"/>
            <w:right w:val="none" w:sz="0" w:space="0" w:color="auto"/>
          </w:divBdr>
        </w:div>
        <w:div w:id="1624118754">
          <w:marLeft w:val="0"/>
          <w:marRight w:val="0"/>
          <w:marTop w:val="0"/>
          <w:marBottom w:val="0"/>
          <w:divBdr>
            <w:top w:val="none" w:sz="0" w:space="0" w:color="auto"/>
            <w:left w:val="none" w:sz="0" w:space="0" w:color="auto"/>
            <w:bottom w:val="none" w:sz="0" w:space="0" w:color="auto"/>
            <w:right w:val="none" w:sz="0" w:space="0" w:color="auto"/>
          </w:divBdr>
        </w:div>
        <w:div w:id="46339749">
          <w:marLeft w:val="0"/>
          <w:marRight w:val="0"/>
          <w:marTop w:val="0"/>
          <w:marBottom w:val="0"/>
          <w:divBdr>
            <w:top w:val="none" w:sz="0" w:space="0" w:color="auto"/>
            <w:left w:val="none" w:sz="0" w:space="0" w:color="auto"/>
            <w:bottom w:val="none" w:sz="0" w:space="0" w:color="auto"/>
            <w:right w:val="none" w:sz="0" w:space="0" w:color="auto"/>
          </w:divBdr>
        </w:div>
        <w:div w:id="1217933475">
          <w:marLeft w:val="0"/>
          <w:marRight w:val="0"/>
          <w:marTop w:val="0"/>
          <w:marBottom w:val="0"/>
          <w:divBdr>
            <w:top w:val="none" w:sz="0" w:space="0" w:color="auto"/>
            <w:left w:val="none" w:sz="0" w:space="0" w:color="auto"/>
            <w:bottom w:val="none" w:sz="0" w:space="0" w:color="auto"/>
            <w:right w:val="none" w:sz="0" w:space="0" w:color="auto"/>
          </w:divBdr>
        </w:div>
        <w:div w:id="1744906938">
          <w:marLeft w:val="0"/>
          <w:marRight w:val="0"/>
          <w:marTop w:val="0"/>
          <w:marBottom w:val="0"/>
          <w:divBdr>
            <w:top w:val="none" w:sz="0" w:space="0" w:color="auto"/>
            <w:left w:val="none" w:sz="0" w:space="0" w:color="auto"/>
            <w:bottom w:val="none" w:sz="0" w:space="0" w:color="auto"/>
            <w:right w:val="none" w:sz="0" w:space="0" w:color="auto"/>
          </w:divBdr>
        </w:div>
      </w:divsChild>
    </w:div>
    <w:div w:id="1220556100">
      <w:bodyDiv w:val="1"/>
      <w:marLeft w:val="0"/>
      <w:marRight w:val="0"/>
      <w:marTop w:val="0"/>
      <w:marBottom w:val="0"/>
      <w:divBdr>
        <w:top w:val="none" w:sz="0" w:space="0" w:color="auto"/>
        <w:left w:val="none" w:sz="0" w:space="0" w:color="auto"/>
        <w:bottom w:val="none" w:sz="0" w:space="0" w:color="auto"/>
        <w:right w:val="none" w:sz="0" w:space="0" w:color="auto"/>
      </w:divBdr>
    </w:div>
    <w:div w:id="1222789810">
      <w:bodyDiv w:val="1"/>
      <w:marLeft w:val="0"/>
      <w:marRight w:val="0"/>
      <w:marTop w:val="0"/>
      <w:marBottom w:val="0"/>
      <w:divBdr>
        <w:top w:val="none" w:sz="0" w:space="0" w:color="auto"/>
        <w:left w:val="none" w:sz="0" w:space="0" w:color="auto"/>
        <w:bottom w:val="none" w:sz="0" w:space="0" w:color="auto"/>
        <w:right w:val="none" w:sz="0" w:space="0" w:color="auto"/>
      </w:divBdr>
    </w:div>
    <w:div w:id="1224834409">
      <w:bodyDiv w:val="1"/>
      <w:marLeft w:val="0"/>
      <w:marRight w:val="0"/>
      <w:marTop w:val="0"/>
      <w:marBottom w:val="0"/>
      <w:divBdr>
        <w:top w:val="none" w:sz="0" w:space="0" w:color="auto"/>
        <w:left w:val="none" w:sz="0" w:space="0" w:color="auto"/>
        <w:bottom w:val="none" w:sz="0" w:space="0" w:color="auto"/>
        <w:right w:val="none" w:sz="0" w:space="0" w:color="auto"/>
      </w:divBdr>
    </w:div>
    <w:div w:id="1228877875">
      <w:bodyDiv w:val="1"/>
      <w:marLeft w:val="0"/>
      <w:marRight w:val="0"/>
      <w:marTop w:val="0"/>
      <w:marBottom w:val="0"/>
      <w:divBdr>
        <w:top w:val="none" w:sz="0" w:space="0" w:color="auto"/>
        <w:left w:val="none" w:sz="0" w:space="0" w:color="auto"/>
        <w:bottom w:val="none" w:sz="0" w:space="0" w:color="auto"/>
        <w:right w:val="none" w:sz="0" w:space="0" w:color="auto"/>
      </w:divBdr>
    </w:div>
    <w:div w:id="1230458630">
      <w:bodyDiv w:val="1"/>
      <w:marLeft w:val="0"/>
      <w:marRight w:val="0"/>
      <w:marTop w:val="0"/>
      <w:marBottom w:val="0"/>
      <w:divBdr>
        <w:top w:val="none" w:sz="0" w:space="0" w:color="auto"/>
        <w:left w:val="none" w:sz="0" w:space="0" w:color="auto"/>
        <w:bottom w:val="none" w:sz="0" w:space="0" w:color="auto"/>
        <w:right w:val="none" w:sz="0" w:space="0" w:color="auto"/>
      </w:divBdr>
    </w:div>
    <w:div w:id="1231380901">
      <w:bodyDiv w:val="1"/>
      <w:marLeft w:val="0"/>
      <w:marRight w:val="0"/>
      <w:marTop w:val="0"/>
      <w:marBottom w:val="0"/>
      <w:divBdr>
        <w:top w:val="none" w:sz="0" w:space="0" w:color="auto"/>
        <w:left w:val="none" w:sz="0" w:space="0" w:color="auto"/>
        <w:bottom w:val="none" w:sz="0" w:space="0" w:color="auto"/>
        <w:right w:val="none" w:sz="0" w:space="0" w:color="auto"/>
      </w:divBdr>
    </w:div>
    <w:div w:id="1234197430">
      <w:bodyDiv w:val="1"/>
      <w:marLeft w:val="0"/>
      <w:marRight w:val="0"/>
      <w:marTop w:val="0"/>
      <w:marBottom w:val="0"/>
      <w:divBdr>
        <w:top w:val="none" w:sz="0" w:space="0" w:color="auto"/>
        <w:left w:val="none" w:sz="0" w:space="0" w:color="auto"/>
        <w:bottom w:val="none" w:sz="0" w:space="0" w:color="auto"/>
        <w:right w:val="none" w:sz="0" w:space="0" w:color="auto"/>
      </w:divBdr>
      <w:divsChild>
        <w:div w:id="1000931884">
          <w:marLeft w:val="547"/>
          <w:marRight w:val="0"/>
          <w:marTop w:val="0"/>
          <w:marBottom w:val="0"/>
          <w:divBdr>
            <w:top w:val="none" w:sz="0" w:space="0" w:color="auto"/>
            <w:left w:val="none" w:sz="0" w:space="0" w:color="auto"/>
            <w:bottom w:val="none" w:sz="0" w:space="0" w:color="auto"/>
            <w:right w:val="none" w:sz="0" w:space="0" w:color="auto"/>
          </w:divBdr>
        </w:div>
      </w:divsChild>
    </w:div>
    <w:div w:id="1234438374">
      <w:bodyDiv w:val="1"/>
      <w:marLeft w:val="0"/>
      <w:marRight w:val="0"/>
      <w:marTop w:val="0"/>
      <w:marBottom w:val="0"/>
      <w:divBdr>
        <w:top w:val="none" w:sz="0" w:space="0" w:color="auto"/>
        <w:left w:val="none" w:sz="0" w:space="0" w:color="auto"/>
        <w:bottom w:val="none" w:sz="0" w:space="0" w:color="auto"/>
        <w:right w:val="none" w:sz="0" w:space="0" w:color="auto"/>
      </w:divBdr>
    </w:div>
    <w:div w:id="1242327864">
      <w:bodyDiv w:val="1"/>
      <w:marLeft w:val="0"/>
      <w:marRight w:val="0"/>
      <w:marTop w:val="0"/>
      <w:marBottom w:val="0"/>
      <w:divBdr>
        <w:top w:val="none" w:sz="0" w:space="0" w:color="auto"/>
        <w:left w:val="none" w:sz="0" w:space="0" w:color="auto"/>
        <w:bottom w:val="none" w:sz="0" w:space="0" w:color="auto"/>
        <w:right w:val="none" w:sz="0" w:space="0" w:color="auto"/>
      </w:divBdr>
    </w:div>
    <w:div w:id="1242567037">
      <w:bodyDiv w:val="1"/>
      <w:marLeft w:val="0"/>
      <w:marRight w:val="0"/>
      <w:marTop w:val="0"/>
      <w:marBottom w:val="0"/>
      <w:divBdr>
        <w:top w:val="none" w:sz="0" w:space="0" w:color="auto"/>
        <w:left w:val="none" w:sz="0" w:space="0" w:color="auto"/>
        <w:bottom w:val="none" w:sz="0" w:space="0" w:color="auto"/>
        <w:right w:val="none" w:sz="0" w:space="0" w:color="auto"/>
      </w:divBdr>
    </w:div>
    <w:div w:id="1242595172">
      <w:bodyDiv w:val="1"/>
      <w:marLeft w:val="0"/>
      <w:marRight w:val="0"/>
      <w:marTop w:val="0"/>
      <w:marBottom w:val="0"/>
      <w:divBdr>
        <w:top w:val="none" w:sz="0" w:space="0" w:color="auto"/>
        <w:left w:val="none" w:sz="0" w:space="0" w:color="auto"/>
        <w:bottom w:val="none" w:sz="0" w:space="0" w:color="auto"/>
        <w:right w:val="none" w:sz="0" w:space="0" w:color="auto"/>
      </w:divBdr>
    </w:div>
    <w:div w:id="1242639252">
      <w:bodyDiv w:val="1"/>
      <w:marLeft w:val="0"/>
      <w:marRight w:val="0"/>
      <w:marTop w:val="0"/>
      <w:marBottom w:val="0"/>
      <w:divBdr>
        <w:top w:val="none" w:sz="0" w:space="0" w:color="auto"/>
        <w:left w:val="none" w:sz="0" w:space="0" w:color="auto"/>
        <w:bottom w:val="none" w:sz="0" w:space="0" w:color="auto"/>
        <w:right w:val="none" w:sz="0" w:space="0" w:color="auto"/>
      </w:divBdr>
    </w:div>
    <w:div w:id="1242759694">
      <w:bodyDiv w:val="1"/>
      <w:marLeft w:val="0"/>
      <w:marRight w:val="0"/>
      <w:marTop w:val="0"/>
      <w:marBottom w:val="0"/>
      <w:divBdr>
        <w:top w:val="none" w:sz="0" w:space="0" w:color="auto"/>
        <w:left w:val="none" w:sz="0" w:space="0" w:color="auto"/>
        <w:bottom w:val="none" w:sz="0" w:space="0" w:color="auto"/>
        <w:right w:val="none" w:sz="0" w:space="0" w:color="auto"/>
      </w:divBdr>
    </w:div>
    <w:div w:id="1250121629">
      <w:bodyDiv w:val="1"/>
      <w:marLeft w:val="0"/>
      <w:marRight w:val="0"/>
      <w:marTop w:val="0"/>
      <w:marBottom w:val="0"/>
      <w:divBdr>
        <w:top w:val="none" w:sz="0" w:space="0" w:color="auto"/>
        <w:left w:val="none" w:sz="0" w:space="0" w:color="auto"/>
        <w:bottom w:val="none" w:sz="0" w:space="0" w:color="auto"/>
        <w:right w:val="none" w:sz="0" w:space="0" w:color="auto"/>
      </w:divBdr>
    </w:div>
    <w:div w:id="1252086224">
      <w:bodyDiv w:val="1"/>
      <w:marLeft w:val="0"/>
      <w:marRight w:val="0"/>
      <w:marTop w:val="0"/>
      <w:marBottom w:val="0"/>
      <w:divBdr>
        <w:top w:val="none" w:sz="0" w:space="0" w:color="auto"/>
        <w:left w:val="none" w:sz="0" w:space="0" w:color="auto"/>
        <w:bottom w:val="none" w:sz="0" w:space="0" w:color="auto"/>
        <w:right w:val="none" w:sz="0" w:space="0" w:color="auto"/>
      </w:divBdr>
      <w:divsChild>
        <w:div w:id="85929640">
          <w:marLeft w:val="0"/>
          <w:marRight w:val="0"/>
          <w:marTop w:val="0"/>
          <w:marBottom w:val="225"/>
          <w:divBdr>
            <w:top w:val="none" w:sz="0" w:space="0" w:color="auto"/>
            <w:left w:val="none" w:sz="0" w:space="0" w:color="auto"/>
            <w:bottom w:val="none" w:sz="0" w:space="0" w:color="auto"/>
            <w:right w:val="none" w:sz="0" w:space="0" w:color="auto"/>
          </w:divBdr>
        </w:div>
        <w:div w:id="1768577983">
          <w:marLeft w:val="0"/>
          <w:marRight w:val="0"/>
          <w:marTop w:val="0"/>
          <w:marBottom w:val="225"/>
          <w:divBdr>
            <w:top w:val="none" w:sz="0" w:space="0" w:color="auto"/>
            <w:left w:val="none" w:sz="0" w:space="0" w:color="auto"/>
            <w:bottom w:val="none" w:sz="0" w:space="0" w:color="auto"/>
            <w:right w:val="none" w:sz="0" w:space="0" w:color="auto"/>
          </w:divBdr>
        </w:div>
      </w:divsChild>
    </w:div>
    <w:div w:id="1253510927">
      <w:bodyDiv w:val="1"/>
      <w:marLeft w:val="0"/>
      <w:marRight w:val="0"/>
      <w:marTop w:val="0"/>
      <w:marBottom w:val="0"/>
      <w:divBdr>
        <w:top w:val="none" w:sz="0" w:space="0" w:color="auto"/>
        <w:left w:val="none" w:sz="0" w:space="0" w:color="auto"/>
        <w:bottom w:val="none" w:sz="0" w:space="0" w:color="auto"/>
        <w:right w:val="none" w:sz="0" w:space="0" w:color="auto"/>
      </w:divBdr>
      <w:divsChild>
        <w:div w:id="272980056">
          <w:marLeft w:val="547"/>
          <w:marRight w:val="0"/>
          <w:marTop w:val="72"/>
          <w:marBottom w:val="0"/>
          <w:divBdr>
            <w:top w:val="none" w:sz="0" w:space="0" w:color="auto"/>
            <w:left w:val="none" w:sz="0" w:space="0" w:color="auto"/>
            <w:bottom w:val="none" w:sz="0" w:space="0" w:color="auto"/>
            <w:right w:val="none" w:sz="0" w:space="0" w:color="auto"/>
          </w:divBdr>
        </w:div>
      </w:divsChild>
    </w:div>
    <w:div w:id="1254241164">
      <w:bodyDiv w:val="1"/>
      <w:marLeft w:val="0"/>
      <w:marRight w:val="0"/>
      <w:marTop w:val="0"/>
      <w:marBottom w:val="0"/>
      <w:divBdr>
        <w:top w:val="none" w:sz="0" w:space="0" w:color="auto"/>
        <w:left w:val="none" w:sz="0" w:space="0" w:color="auto"/>
        <w:bottom w:val="none" w:sz="0" w:space="0" w:color="auto"/>
        <w:right w:val="none" w:sz="0" w:space="0" w:color="auto"/>
      </w:divBdr>
    </w:div>
    <w:div w:id="1256208338">
      <w:bodyDiv w:val="1"/>
      <w:marLeft w:val="0"/>
      <w:marRight w:val="0"/>
      <w:marTop w:val="0"/>
      <w:marBottom w:val="0"/>
      <w:divBdr>
        <w:top w:val="none" w:sz="0" w:space="0" w:color="auto"/>
        <w:left w:val="none" w:sz="0" w:space="0" w:color="auto"/>
        <w:bottom w:val="none" w:sz="0" w:space="0" w:color="auto"/>
        <w:right w:val="none" w:sz="0" w:space="0" w:color="auto"/>
      </w:divBdr>
    </w:div>
    <w:div w:id="1259632720">
      <w:bodyDiv w:val="1"/>
      <w:marLeft w:val="0"/>
      <w:marRight w:val="0"/>
      <w:marTop w:val="0"/>
      <w:marBottom w:val="0"/>
      <w:divBdr>
        <w:top w:val="none" w:sz="0" w:space="0" w:color="auto"/>
        <w:left w:val="none" w:sz="0" w:space="0" w:color="auto"/>
        <w:bottom w:val="none" w:sz="0" w:space="0" w:color="auto"/>
        <w:right w:val="none" w:sz="0" w:space="0" w:color="auto"/>
      </w:divBdr>
      <w:divsChild>
        <w:div w:id="1117093775">
          <w:marLeft w:val="0"/>
          <w:marRight w:val="0"/>
          <w:marTop w:val="0"/>
          <w:marBottom w:val="225"/>
          <w:divBdr>
            <w:top w:val="none" w:sz="0" w:space="0" w:color="auto"/>
            <w:left w:val="none" w:sz="0" w:space="0" w:color="auto"/>
            <w:bottom w:val="none" w:sz="0" w:space="0" w:color="auto"/>
            <w:right w:val="none" w:sz="0" w:space="0" w:color="auto"/>
          </w:divBdr>
        </w:div>
        <w:div w:id="1118178564">
          <w:marLeft w:val="0"/>
          <w:marRight w:val="0"/>
          <w:marTop w:val="0"/>
          <w:marBottom w:val="225"/>
          <w:divBdr>
            <w:top w:val="none" w:sz="0" w:space="0" w:color="auto"/>
            <w:left w:val="none" w:sz="0" w:space="0" w:color="auto"/>
            <w:bottom w:val="none" w:sz="0" w:space="0" w:color="auto"/>
            <w:right w:val="none" w:sz="0" w:space="0" w:color="auto"/>
          </w:divBdr>
        </w:div>
      </w:divsChild>
    </w:div>
    <w:div w:id="1260332176">
      <w:bodyDiv w:val="1"/>
      <w:marLeft w:val="0"/>
      <w:marRight w:val="0"/>
      <w:marTop w:val="0"/>
      <w:marBottom w:val="0"/>
      <w:divBdr>
        <w:top w:val="none" w:sz="0" w:space="0" w:color="auto"/>
        <w:left w:val="none" w:sz="0" w:space="0" w:color="auto"/>
        <w:bottom w:val="none" w:sz="0" w:space="0" w:color="auto"/>
        <w:right w:val="none" w:sz="0" w:space="0" w:color="auto"/>
      </w:divBdr>
    </w:div>
    <w:div w:id="1265267010">
      <w:bodyDiv w:val="1"/>
      <w:marLeft w:val="0"/>
      <w:marRight w:val="0"/>
      <w:marTop w:val="0"/>
      <w:marBottom w:val="0"/>
      <w:divBdr>
        <w:top w:val="none" w:sz="0" w:space="0" w:color="auto"/>
        <w:left w:val="none" w:sz="0" w:space="0" w:color="auto"/>
        <w:bottom w:val="none" w:sz="0" w:space="0" w:color="auto"/>
        <w:right w:val="none" w:sz="0" w:space="0" w:color="auto"/>
      </w:divBdr>
      <w:divsChild>
        <w:div w:id="172915629">
          <w:marLeft w:val="-2400"/>
          <w:marRight w:val="-480"/>
          <w:marTop w:val="0"/>
          <w:marBottom w:val="0"/>
          <w:divBdr>
            <w:top w:val="none" w:sz="0" w:space="0" w:color="auto"/>
            <w:left w:val="none" w:sz="0" w:space="0" w:color="auto"/>
            <w:bottom w:val="none" w:sz="0" w:space="0" w:color="auto"/>
            <w:right w:val="none" w:sz="0" w:space="0" w:color="auto"/>
          </w:divBdr>
        </w:div>
        <w:div w:id="480469629">
          <w:marLeft w:val="-2400"/>
          <w:marRight w:val="-480"/>
          <w:marTop w:val="0"/>
          <w:marBottom w:val="0"/>
          <w:divBdr>
            <w:top w:val="none" w:sz="0" w:space="0" w:color="auto"/>
            <w:left w:val="none" w:sz="0" w:space="0" w:color="auto"/>
            <w:bottom w:val="none" w:sz="0" w:space="0" w:color="auto"/>
            <w:right w:val="none" w:sz="0" w:space="0" w:color="auto"/>
          </w:divBdr>
        </w:div>
      </w:divsChild>
    </w:div>
    <w:div w:id="1265529148">
      <w:bodyDiv w:val="1"/>
      <w:marLeft w:val="0"/>
      <w:marRight w:val="0"/>
      <w:marTop w:val="0"/>
      <w:marBottom w:val="0"/>
      <w:divBdr>
        <w:top w:val="none" w:sz="0" w:space="0" w:color="auto"/>
        <w:left w:val="none" w:sz="0" w:space="0" w:color="auto"/>
        <w:bottom w:val="none" w:sz="0" w:space="0" w:color="auto"/>
        <w:right w:val="none" w:sz="0" w:space="0" w:color="auto"/>
      </w:divBdr>
    </w:div>
    <w:div w:id="1266617043">
      <w:bodyDiv w:val="1"/>
      <w:marLeft w:val="0"/>
      <w:marRight w:val="0"/>
      <w:marTop w:val="0"/>
      <w:marBottom w:val="0"/>
      <w:divBdr>
        <w:top w:val="none" w:sz="0" w:space="0" w:color="auto"/>
        <w:left w:val="none" w:sz="0" w:space="0" w:color="auto"/>
        <w:bottom w:val="none" w:sz="0" w:space="0" w:color="auto"/>
        <w:right w:val="none" w:sz="0" w:space="0" w:color="auto"/>
      </w:divBdr>
    </w:div>
    <w:div w:id="1269849151">
      <w:bodyDiv w:val="1"/>
      <w:marLeft w:val="0"/>
      <w:marRight w:val="0"/>
      <w:marTop w:val="0"/>
      <w:marBottom w:val="0"/>
      <w:divBdr>
        <w:top w:val="none" w:sz="0" w:space="0" w:color="auto"/>
        <w:left w:val="none" w:sz="0" w:space="0" w:color="auto"/>
        <w:bottom w:val="none" w:sz="0" w:space="0" w:color="auto"/>
        <w:right w:val="none" w:sz="0" w:space="0" w:color="auto"/>
      </w:divBdr>
      <w:divsChild>
        <w:div w:id="1288199924">
          <w:marLeft w:val="0"/>
          <w:marRight w:val="0"/>
          <w:marTop w:val="0"/>
          <w:marBottom w:val="225"/>
          <w:divBdr>
            <w:top w:val="none" w:sz="0" w:space="0" w:color="auto"/>
            <w:left w:val="none" w:sz="0" w:space="0" w:color="auto"/>
            <w:bottom w:val="none" w:sz="0" w:space="0" w:color="auto"/>
            <w:right w:val="none" w:sz="0" w:space="0" w:color="auto"/>
          </w:divBdr>
        </w:div>
        <w:div w:id="1583641150">
          <w:marLeft w:val="0"/>
          <w:marRight w:val="0"/>
          <w:marTop w:val="0"/>
          <w:marBottom w:val="225"/>
          <w:divBdr>
            <w:top w:val="none" w:sz="0" w:space="0" w:color="auto"/>
            <w:left w:val="none" w:sz="0" w:space="0" w:color="auto"/>
            <w:bottom w:val="none" w:sz="0" w:space="0" w:color="auto"/>
            <w:right w:val="none" w:sz="0" w:space="0" w:color="auto"/>
          </w:divBdr>
        </w:div>
      </w:divsChild>
    </w:div>
    <w:div w:id="1270892792">
      <w:bodyDiv w:val="1"/>
      <w:marLeft w:val="0"/>
      <w:marRight w:val="0"/>
      <w:marTop w:val="0"/>
      <w:marBottom w:val="0"/>
      <w:divBdr>
        <w:top w:val="none" w:sz="0" w:space="0" w:color="auto"/>
        <w:left w:val="none" w:sz="0" w:space="0" w:color="auto"/>
        <w:bottom w:val="none" w:sz="0" w:space="0" w:color="auto"/>
        <w:right w:val="none" w:sz="0" w:space="0" w:color="auto"/>
      </w:divBdr>
      <w:divsChild>
        <w:div w:id="744998">
          <w:marLeft w:val="0"/>
          <w:marRight w:val="0"/>
          <w:marTop w:val="0"/>
          <w:marBottom w:val="0"/>
          <w:divBdr>
            <w:top w:val="none" w:sz="0" w:space="0" w:color="auto"/>
            <w:left w:val="none" w:sz="0" w:space="0" w:color="auto"/>
            <w:bottom w:val="none" w:sz="0" w:space="0" w:color="auto"/>
            <w:right w:val="none" w:sz="0" w:space="0" w:color="auto"/>
          </w:divBdr>
        </w:div>
        <w:div w:id="69422977">
          <w:marLeft w:val="0"/>
          <w:marRight w:val="0"/>
          <w:marTop w:val="0"/>
          <w:marBottom w:val="0"/>
          <w:divBdr>
            <w:top w:val="none" w:sz="0" w:space="0" w:color="auto"/>
            <w:left w:val="none" w:sz="0" w:space="0" w:color="auto"/>
            <w:bottom w:val="none" w:sz="0" w:space="0" w:color="auto"/>
            <w:right w:val="none" w:sz="0" w:space="0" w:color="auto"/>
          </w:divBdr>
        </w:div>
        <w:div w:id="110057095">
          <w:marLeft w:val="0"/>
          <w:marRight w:val="0"/>
          <w:marTop w:val="0"/>
          <w:marBottom w:val="0"/>
          <w:divBdr>
            <w:top w:val="none" w:sz="0" w:space="0" w:color="auto"/>
            <w:left w:val="none" w:sz="0" w:space="0" w:color="auto"/>
            <w:bottom w:val="none" w:sz="0" w:space="0" w:color="auto"/>
            <w:right w:val="none" w:sz="0" w:space="0" w:color="auto"/>
          </w:divBdr>
        </w:div>
        <w:div w:id="447164950">
          <w:marLeft w:val="0"/>
          <w:marRight w:val="0"/>
          <w:marTop w:val="0"/>
          <w:marBottom w:val="0"/>
          <w:divBdr>
            <w:top w:val="none" w:sz="0" w:space="0" w:color="auto"/>
            <w:left w:val="none" w:sz="0" w:space="0" w:color="auto"/>
            <w:bottom w:val="none" w:sz="0" w:space="0" w:color="auto"/>
            <w:right w:val="none" w:sz="0" w:space="0" w:color="auto"/>
          </w:divBdr>
        </w:div>
        <w:div w:id="616908137">
          <w:marLeft w:val="0"/>
          <w:marRight w:val="0"/>
          <w:marTop w:val="0"/>
          <w:marBottom w:val="0"/>
          <w:divBdr>
            <w:top w:val="none" w:sz="0" w:space="0" w:color="auto"/>
            <w:left w:val="none" w:sz="0" w:space="0" w:color="auto"/>
            <w:bottom w:val="none" w:sz="0" w:space="0" w:color="auto"/>
            <w:right w:val="none" w:sz="0" w:space="0" w:color="auto"/>
          </w:divBdr>
        </w:div>
        <w:div w:id="621763531">
          <w:marLeft w:val="0"/>
          <w:marRight w:val="0"/>
          <w:marTop w:val="0"/>
          <w:marBottom w:val="0"/>
          <w:divBdr>
            <w:top w:val="none" w:sz="0" w:space="0" w:color="auto"/>
            <w:left w:val="none" w:sz="0" w:space="0" w:color="auto"/>
            <w:bottom w:val="none" w:sz="0" w:space="0" w:color="auto"/>
            <w:right w:val="none" w:sz="0" w:space="0" w:color="auto"/>
          </w:divBdr>
        </w:div>
        <w:div w:id="669062247">
          <w:marLeft w:val="0"/>
          <w:marRight w:val="0"/>
          <w:marTop w:val="0"/>
          <w:marBottom w:val="0"/>
          <w:divBdr>
            <w:top w:val="none" w:sz="0" w:space="0" w:color="auto"/>
            <w:left w:val="none" w:sz="0" w:space="0" w:color="auto"/>
            <w:bottom w:val="none" w:sz="0" w:space="0" w:color="auto"/>
            <w:right w:val="none" w:sz="0" w:space="0" w:color="auto"/>
          </w:divBdr>
        </w:div>
        <w:div w:id="892539723">
          <w:marLeft w:val="0"/>
          <w:marRight w:val="0"/>
          <w:marTop w:val="0"/>
          <w:marBottom w:val="0"/>
          <w:divBdr>
            <w:top w:val="none" w:sz="0" w:space="0" w:color="auto"/>
            <w:left w:val="none" w:sz="0" w:space="0" w:color="auto"/>
            <w:bottom w:val="none" w:sz="0" w:space="0" w:color="auto"/>
            <w:right w:val="none" w:sz="0" w:space="0" w:color="auto"/>
          </w:divBdr>
        </w:div>
        <w:div w:id="1662657565">
          <w:marLeft w:val="0"/>
          <w:marRight w:val="0"/>
          <w:marTop w:val="0"/>
          <w:marBottom w:val="0"/>
          <w:divBdr>
            <w:top w:val="none" w:sz="0" w:space="0" w:color="auto"/>
            <w:left w:val="none" w:sz="0" w:space="0" w:color="auto"/>
            <w:bottom w:val="none" w:sz="0" w:space="0" w:color="auto"/>
            <w:right w:val="none" w:sz="0" w:space="0" w:color="auto"/>
          </w:divBdr>
        </w:div>
        <w:div w:id="1803771845">
          <w:marLeft w:val="0"/>
          <w:marRight w:val="0"/>
          <w:marTop w:val="0"/>
          <w:marBottom w:val="0"/>
          <w:divBdr>
            <w:top w:val="none" w:sz="0" w:space="0" w:color="auto"/>
            <w:left w:val="none" w:sz="0" w:space="0" w:color="auto"/>
            <w:bottom w:val="none" w:sz="0" w:space="0" w:color="auto"/>
            <w:right w:val="none" w:sz="0" w:space="0" w:color="auto"/>
          </w:divBdr>
        </w:div>
        <w:div w:id="1857650112">
          <w:marLeft w:val="0"/>
          <w:marRight w:val="0"/>
          <w:marTop w:val="0"/>
          <w:marBottom w:val="0"/>
          <w:divBdr>
            <w:top w:val="none" w:sz="0" w:space="0" w:color="auto"/>
            <w:left w:val="none" w:sz="0" w:space="0" w:color="auto"/>
            <w:bottom w:val="none" w:sz="0" w:space="0" w:color="auto"/>
            <w:right w:val="none" w:sz="0" w:space="0" w:color="auto"/>
          </w:divBdr>
        </w:div>
        <w:div w:id="2073917525">
          <w:marLeft w:val="0"/>
          <w:marRight w:val="0"/>
          <w:marTop w:val="0"/>
          <w:marBottom w:val="0"/>
          <w:divBdr>
            <w:top w:val="none" w:sz="0" w:space="0" w:color="auto"/>
            <w:left w:val="none" w:sz="0" w:space="0" w:color="auto"/>
            <w:bottom w:val="none" w:sz="0" w:space="0" w:color="auto"/>
            <w:right w:val="none" w:sz="0" w:space="0" w:color="auto"/>
          </w:divBdr>
        </w:div>
      </w:divsChild>
    </w:div>
    <w:div w:id="1273587129">
      <w:bodyDiv w:val="1"/>
      <w:marLeft w:val="0"/>
      <w:marRight w:val="0"/>
      <w:marTop w:val="0"/>
      <w:marBottom w:val="0"/>
      <w:divBdr>
        <w:top w:val="none" w:sz="0" w:space="0" w:color="auto"/>
        <w:left w:val="none" w:sz="0" w:space="0" w:color="auto"/>
        <w:bottom w:val="none" w:sz="0" w:space="0" w:color="auto"/>
        <w:right w:val="none" w:sz="0" w:space="0" w:color="auto"/>
      </w:divBdr>
    </w:div>
    <w:div w:id="1287273668">
      <w:bodyDiv w:val="1"/>
      <w:marLeft w:val="0"/>
      <w:marRight w:val="0"/>
      <w:marTop w:val="0"/>
      <w:marBottom w:val="0"/>
      <w:divBdr>
        <w:top w:val="none" w:sz="0" w:space="0" w:color="auto"/>
        <w:left w:val="none" w:sz="0" w:space="0" w:color="auto"/>
        <w:bottom w:val="none" w:sz="0" w:space="0" w:color="auto"/>
        <w:right w:val="none" w:sz="0" w:space="0" w:color="auto"/>
      </w:divBdr>
    </w:div>
    <w:div w:id="1291328085">
      <w:bodyDiv w:val="1"/>
      <w:marLeft w:val="0"/>
      <w:marRight w:val="0"/>
      <w:marTop w:val="0"/>
      <w:marBottom w:val="0"/>
      <w:divBdr>
        <w:top w:val="none" w:sz="0" w:space="0" w:color="auto"/>
        <w:left w:val="none" w:sz="0" w:space="0" w:color="auto"/>
        <w:bottom w:val="none" w:sz="0" w:space="0" w:color="auto"/>
        <w:right w:val="none" w:sz="0" w:space="0" w:color="auto"/>
      </w:divBdr>
    </w:div>
    <w:div w:id="1292244472">
      <w:bodyDiv w:val="1"/>
      <w:marLeft w:val="0"/>
      <w:marRight w:val="0"/>
      <w:marTop w:val="0"/>
      <w:marBottom w:val="0"/>
      <w:divBdr>
        <w:top w:val="none" w:sz="0" w:space="0" w:color="auto"/>
        <w:left w:val="none" w:sz="0" w:space="0" w:color="auto"/>
        <w:bottom w:val="none" w:sz="0" w:space="0" w:color="auto"/>
        <w:right w:val="none" w:sz="0" w:space="0" w:color="auto"/>
      </w:divBdr>
    </w:div>
    <w:div w:id="1293681217">
      <w:bodyDiv w:val="1"/>
      <w:marLeft w:val="0"/>
      <w:marRight w:val="0"/>
      <w:marTop w:val="0"/>
      <w:marBottom w:val="0"/>
      <w:divBdr>
        <w:top w:val="none" w:sz="0" w:space="0" w:color="auto"/>
        <w:left w:val="none" w:sz="0" w:space="0" w:color="auto"/>
        <w:bottom w:val="none" w:sz="0" w:space="0" w:color="auto"/>
        <w:right w:val="none" w:sz="0" w:space="0" w:color="auto"/>
      </w:divBdr>
    </w:div>
    <w:div w:id="1295792404">
      <w:bodyDiv w:val="1"/>
      <w:marLeft w:val="0"/>
      <w:marRight w:val="0"/>
      <w:marTop w:val="0"/>
      <w:marBottom w:val="0"/>
      <w:divBdr>
        <w:top w:val="none" w:sz="0" w:space="0" w:color="auto"/>
        <w:left w:val="none" w:sz="0" w:space="0" w:color="auto"/>
        <w:bottom w:val="none" w:sz="0" w:space="0" w:color="auto"/>
        <w:right w:val="none" w:sz="0" w:space="0" w:color="auto"/>
      </w:divBdr>
      <w:divsChild>
        <w:div w:id="1679503772">
          <w:marLeft w:val="0"/>
          <w:marRight w:val="0"/>
          <w:marTop w:val="0"/>
          <w:marBottom w:val="0"/>
          <w:divBdr>
            <w:top w:val="single" w:sz="2" w:space="0" w:color="D9D9E3"/>
            <w:left w:val="single" w:sz="2" w:space="0" w:color="D9D9E3"/>
            <w:bottom w:val="single" w:sz="2" w:space="0" w:color="D9D9E3"/>
            <w:right w:val="single" w:sz="2" w:space="0" w:color="D9D9E3"/>
          </w:divBdr>
          <w:divsChild>
            <w:div w:id="180357367">
              <w:marLeft w:val="0"/>
              <w:marRight w:val="0"/>
              <w:marTop w:val="0"/>
              <w:marBottom w:val="0"/>
              <w:divBdr>
                <w:top w:val="single" w:sz="2" w:space="0" w:color="D9D9E3"/>
                <w:left w:val="single" w:sz="2" w:space="0" w:color="D9D9E3"/>
                <w:bottom w:val="single" w:sz="2" w:space="0" w:color="D9D9E3"/>
                <w:right w:val="single" w:sz="2" w:space="0" w:color="D9D9E3"/>
              </w:divBdr>
              <w:divsChild>
                <w:div w:id="1668898613">
                  <w:marLeft w:val="0"/>
                  <w:marRight w:val="0"/>
                  <w:marTop w:val="0"/>
                  <w:marBottom w:val="0"/>
                  <w:divBdr>
                    <w:top w:val="single" w:sz="2" w:space="0" w:color="D9D9E3"/>
                    <w:left w:val="single" w:sz="2" w:space="0" w:color="D9D9E3"/>
                    <w:bottom w:val="single" w:sz="2" w:space="0" w:color="D9D9E3"/>
                    <w:right w:val="single" w:sz="2" w:space="0" w:color="D9D9E3"/>
                  </w:divBdr>
                  <w:divsChild>
                    <w:div w:id="1916359028">
                      <w:marLeft w:val="0"/>
                      <w:marRight w:val="0"/>
                      <w:marTop w:val="0"/>
                      <w:marBottom w:val="0"/>
                      <w:divBdr>
                        <w:top w:val="single" w:sz="2" w:space="0" w:color="D9D9E3"/>
                        <w:left w:val="single" w:sz="2" w:space="0" w:color="D9D9E3"/>
                        <w:bottom w:val="single" w:sz="2" w:space="0" w:color="D9D9E3"/>
                        <w:right w:val="single" w:sz="2" w:space="0" w:color="D9D9E3"/>
                      </w:divBdr>
                      <w:divsChild>
                        <w:div w:id="1193418237">
                          <w:marLeft w:val="0"/>
                          <w:marRight w:val="0"/>
                          <w:marTop w:val="0"/>
                          <w:marBottom w:val="0"/>
                          <w:divBdr>
                            <w:top w:val="none" w:sz="0" w:space="0" w:color="auto"/>
                            <w:left w:val="none" w:sz="0" w:space="0" w:color="auto"/>
                            <w:bottom w:val="none" w:sz="0" w:space="0" w:color="auto"/>
                            <w:right w:val="none" w:sz="0" w:space="0" w:color="auto"/>
                          </w:divBdr>
                          <w:divsChild>
                            <w:div w:id="1744377776">
                              <w:marLeft w:val="0"/>
                              <w:marRight w:val="0"/>
                              <w:marTop w:val="100"/>
                              <w:marBottom w:val="100"/>
                              <w:divBdr>
                                <w:top w:val="single" w:sz="2" w:space="0" w:color="D9D9E3"/>
                                <w:left w:val="single" w:sz="2" w:space="0" w:color="D9D9E3"/>
                                <w:bottom w:val="single" w:sz="2" w:space="0" w:color="D9D9E3"/>
                                <w:right w:val="single" w:sz="2" w:space="0" w:color="D9D9E3"/>
                              </w:divBdr>
                              <w:divsChild>
                                <w:div w:id="1623878893">
                                  <w:marLeft w:val="0"/>
                                  <w:marRight w:val="0"/>
                                  <w:marTop w:val="0"/>
                                  <w:marBottom w:val="0"/>
                                  <w:divBdr>
                                    <w:top w:val="single" w:sz="2" w:space="0" w:color="D9D9E3"/>
                                    <w:left w:val="single" w:sz="2" w:space="0" w:color="D9D9E3"/>
                                    <w:bottom w:val="single" w:sz="2" w:space="0" w:color="D9D9E3"/>
                                    <w:right w:val="single" w:sz="2" w:space="0" w:color="D9D9E3"/>
                                  </w:divBdr>
                                  <w:divsChild>
                                    <w:div w:id="1107892495">
                                      <w:marLeft w:val="0"/>
                                      <w:marRight w:val="0"/>
                                      <w:marTop w:val="0"/>
                                      <w:marBottom w:val="0"/>
                                      <w:divBdr>
                                        <w:top w:val="single" w:sz="2" w:space="0" w:color="D9D9E3"/>
                                        <w:left w:val="single" w:sz="2" w:space="0" w:color="D9D9E3"/>
                                        <w:bottom w:val="single" w:sz="2" w:space="0" w:color="D9D9E3"/>
                                        <w:right w:val="single" w:sz="2" w:space="0" w:color="D9D9E3"/>
                                      </w:divBdr>
                                      <w:divsChild>
                                        <w:div w:id="1418136979">
                                          <w:marLeft w:val="0"/>
                                          <w:marRight w:val="0"/>
                                          <w:marTop w:val="0"/>
                                          <w:marBottom w:val="0"/>
                                          <w:divBdr>
                                            <w:top w:val="single" w:sz="2" w:space="0" w:color="D9D9E3"/>
                                            <w:left w:val="single" w:sz="2" w:space="0" w:color="D9D9E3"/>
                                            <w:bottom w:val="single" w:sz="2" w:space="0" w:color="D9D9E3"/>
                                            <w:right w:val="single" w:sz="2" w:space="0" w:color="D9D9E3"/>
                                          </w:divBdr>
                                          <w:divsChild>
                                            <w:div w:id="1934850676">
                                              <w:marLeft w:val="0"/>
                                              <w:marRight w:val="0"/>
                                              <w:marTop w:val="0"/>
                                              <w:marBottom w:val="0"/>
                                              <w:divBdr>
                                                <w:top w:val="single" w:sz="2" w:space="0" w:color="D9D9E3"/>
                                                <w:left w:val="single" w:sz="2" w:space="0" w:color="D9D9E3"/>
                                                <w:bottom w:val="single" w:sz="2" w:space="0" w:color="D9D9E3"/>
                                                <w:right w:val="single" w:sz="2" w:space="0" w:color="D9D9E3"/>
                                              </w:divBdr>
                                              <w:divsChild>
                                                <w:div w:id="1346131920">
                                                  <w:marLeft w:val="0"/>
                                                  <w:marRight w:val="0"/>
                                                  <w:marTop w:val="0"/>
                                                  <w:marBottom w:val="0"/>
                                                  <w:divBdr>
                                                    <w:top w:val="single" w:sz="2" w:space="0" w:color="D9D9E3"/>
                                                    <w:left w:val="single" w:sz="2" w:space="0" w:color="D9D9E3"/>
                                                    <w:bottom w:val="single" w:sz="2" w:space="0" w:color="D9D9E3"/>
                                                    <w:right w:val="single" w:sz="2" w:space="0" w:color="D9D9E3"/>
                                                  </w:divBdr>
                                                  <w:divsChild>
                                                    <w:div w:id="471480706">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325129423">
          <w:marLeft w:val="0"/>
          <w:marRight w:val="0"/>
          <w:marTop w:val="0"/>
          <w:marBottom w:val="0"/>
          <w:divBdr>
            <w:top w:val="none" w:sz="0" w:space="0" w:color="auto"/>
            <w:left w:val="none" w:sz="0" w:space="0" w:color="auto"/>
            <w:bottom w:val="none" w:sz="0" w:space="0" w:color="auto"/>
            <w:right w:val="none" w:sz="0" w:space="0" w:color="auto"/>
          </w:divBdr>
        </w:div>
      </w:divsChild>
    </w:div>
    <w:div w:id="1296644682">
      <w:bodyDiv w:val="1"/>
      <w:marLeft w:val="0"/>
      <w:marRight w:val="0"/>
      <w:marTop w:val="0"/>
      <w:marBottom w:val="0"/>
      <w:divBdr>
        <w:top w:val="none" w:sz="0" w:space="0" w:color="auto"/>
        <w:left w:val="none" w:sz="0" w:space="0" w:color="auto"/>
        <w:bottom w:val="none" w:sz="0" w:space="0" w:color="auto"/>
        <w:right w:val="none" w:sz="0" w:space="0" w:color="auto"/>
      </w:divBdr>
    </w:div>
    <w:div w:id="1302417728">
      <w:bodyDiv w:val="1"/>
      <w:marLeft w:val="0"/>
      <w:marRight w:val="0"/>
      <w:marTop w:val="0"/>
      <w:marBottom w:val="0"/>
      <w:divBdr>
        <w:top w:val="none" w:sz="0" w:space="0" w:color="auto"/>
        <w:left w:val="none" w:sz="0" w:space="0" w:color="auto"/>
        <w:bottom w:val="none" w:sz="0" w:space="0" w:color="auto"/>
        <w:right w:val="none" w:sz="0" w:space="0" w:color="auto"/>
      </w:divBdr>
    </w:div>
    <w:div w:id="1303386311">
      <w:bodyDiv w:val="1"/>
      <w:marLeft w:val="0"/>
      <w:marRight w:val="0"/>
      <w:marTop w:val="0"/>
      <w:marBottom w:val="0"/>
      <w:divBdr>
        <w:top w:val="none" w:sz="0" w:space="0" w:color="auto"/>
        <w:left w:val="none" w:sz="0" w:space="0" w:color="auto"/>
        <w:bottom w:val="none" w:sz="0" w:space="0" w:color="auto"/>
        <w:right w:val="none" w:sz="0" w:space="0" w:color="auto"/>
      </w:divBdr>
    </w:div>
    <w:div w:id="1306005952">
      <w:bodyDiv w:val="1"/>
      <w:marLeft w:val="0"/>
      <w:marRight w:val="0"/>
      <w:marTop w:val="0"/>
      <w:marBottom w:val="0"/>
      <w:divBdr>
        <w:top w:val="none" w:sz="0" w:space="0" w:color="auto"/>
        <w:left w:val="none" w:sz="0" w:space="0" w:color="auto"/>
        <w:bottom w:val="none" w:sz="0" w:space="0" w:color="auto"/>
        <w:right w:val="none" w:sz="0" w:space="0" w:color="auto"/>
      </w:divBdr>
    </w:div>
    <w:div w:id="1307122129">
      <w:bodyDiv w:val="1"/>
      <w:marLeft w:val="0"/>
      <w:marRight w:val="0"/>
      <w:marTop w:val="0"/>
      <w:marBottom w:val="0"/>
      <w:divBdr>
        <w:top w:val="none" w:sz="0" w:space="0" w:color="auto"/>
        <w:left w:val="none" w:sz="0" w:space="0" w:color="auto"/>
        <w:bottom w:val="none" w:sz="0" w:space="0" w:color="auto"/>
        <w:right w:val="none" w:sz="0" w:space="0" w:color="auto"/>
      </w:divBdr>
    </w:div>
    <w:div w:id="1324160354">
      <w:bodyDiv w:val="1"/>
      <w:marLeft w:val="0"/>
      <w:marRight w:val="0"/>
      <w:marTop w:val="0"/>
      <w:marBottom w:val="0"/>
      <w:divBdr>
        <w:top w:val="none" w:sz="0" w:space="0" w:color="auto"/>
        <w:left w:val="none" w:sz="0" w:space="0" w:color="auto"/>
        <w:bottom w:val="none" w:sz="0" w:space="0" w:color="auto"/>
        <w:right w:val="none" w:sz="0" w:space="0" w:color="auto"/>
      </w:divBdr>
    </w:div>
    <w:div w:id="1325351781">
      <w:bodyDiv w:val="1"/>
      <w:marLeft w:val="0"/>
      <w:marRight w:val="0"/>
      <w:marTop w:val="0"/>
      <w:marBottom w:val="0"/>
      <w:divBdr>
        <w:top w:val="none" w:sz="0" w:space="0" w:color="auto"/>
        <w:left w:val="none" w:sz="0" w:space="0" w:color="auto"/>
        <w:bottom w:val="none" w:sz="0" w:space="0" w:color="auto"/>
        <w:right w:val="none" w:sz="0" w:space="0" w:color="auto"/>
      </w:divBdr>
    </w:div>
    <w:div w:id="1326712800">
      <w:bodyDiv w:val="1"/>
      <w:marLeft w:val="0"/>
      <w:marRight w:val="0"/>
      <w:marTop w:val="0"/>
      <w:marBottom w:val="0"/>
      <w:divBdr>
        <w:top w:val="none" w:sz="0" w:space="0" w:color="auto"/>
        <w:left w:val="none" w:sz="0" w:space="0" w:color="auto"/>
        <w:bottom w:val="none" w:sz="0" w:space="0" w:color="auto"/>
        <w:right w:val="none" w:sz="0" w:space="0" w:color="auto"/>
      </w:divBdr>
    </w:div>
    <w:div w:id="1328434281">
      <w:bodyDiv w:val="1"/>
      <w:marLeft w:val="0"/>
      <w:marRight w:val="0"/>
      <w:marTop w:val="0"/>
      <w:marBottom w:val="0"/>
      <w:divBdr>
        <w:top w:val="none" w:sz="0" w:space="0" w:color="auto"/>
        <w:left w:val="none" w:sz="0" w:space="0" w:color="auto"/>
        <w:bottom w:val="none" w:sz="0" w:space="0" w:color="auto"/>
        <w:right w:val="none" w:sz="0" w:space="0" w:color="auto"/>
      </w:divBdr>
      <w:divsChild>
        <w:div w:id="114175855">
          <w:marLeft w:val="0"/>
          <w:marRight w:val="0"/>
          <w:marTop w:val="0"/>
          <w:marBottom w:val="225"/>
          <w:divBdr>
            <w:top w:val="none" w:sz="0" w:space="0" w:color="auto"/>
            <w:left w:val="none" w:sz="0" w:space="0" w:color="auto"/>
            <w:bottom w:val="none" w:sz="0" w:space="0" w:color="auto"/>
            <w:right w:val="none" w:sz="0" w:space="0" w:color="auto"/>
          </w:divBdr>
        </w:div>
        <w:div w:id="662199489">
          <w:marLeft w:val="0"/>
          <w:marRight w:val="0"/>
          <w:marTop w:val="0"/>
          <w:marBottom w:val="225"/>
          <w:divBdr>
            <w:top w:val="none" w:sz="0" w:space="0" w:color="auto"/>
            <w:left w:val="none" w:sz="0" w:space="0" w:color="auto"/>
            <w:bottom w:val="none" w:sz="0" w:space="0" w:color="auto"/>
            <w:right w:val="none" w:sz="0" w:space="0" w:color="auto"/>
          </w:divBdr>
        </w:div>
      </w:divsChild>
    </w:div>
    <w:div w:id="1336497357">
      <w:bodyDiv w:val="1"/>
      <w:marLeft w:val="0"/>
      <w:marRight w:val="0"/>
      <w:marTop w:val="0"/>
      <w:marBottom w:val="0"/>
      <w:divBdr>
        <w:top w:val="none" w:sz="0" w:space="0" w:color="auto"/>
        <w:left w:val="none" w:sz="0" w:space="0" w:color="auto"/>
        <w:bottom w:val="none" w:sz="0" w:space="0" w:color="auto"/>
        <w:right w:val="none" w:sz="0" w:space="0" w:color="auto"/>
      </w:divBdr>
    </w:div>
    <w:div w:id="1336764757">
      <w:bodyDiv w:val="1"/>
      <w:marLeft w:val="0"/>
      <w:marRight w:val="0"/>
      <w:marTop w:val="0"/>
      <w:marBottom w:val="0"/>
      <w:divBdr>
        <w:top w:val="none" w:sz="0" w:space="0" w:color="auto"/>
        <w:left w:val="none" w:sz="0" w:space="0" w:color="auto"/>
        <w:bottom w:val="none" w:sz="0" w:space="0" w:color="auto"/>
        <w:right w:val="none" w:sz="0" w:space="0" w:color="auto"/>
      </w:divBdr>
    </w:div>
    <w:div w:id="1337416783">
      <w:bodyDiv w:val="1"/>
      <w:marLeft w:val="0"/>
      <w:marRight w:val="0"/>
      <w:marTop w:val="0"/>
      <w:marBottom w:val="0"/>
      <w:divBdr>
        <w:top w:val="none" w:sz="0" w:space="0" w:color="auto"/>
        <w:left w:val="none" w:sz="0" w:space="0" w:color="auto"/>
        <w:bottom w:val="none" w:sz="0" w:space="0" w:color="auto"/>
        <w:right w:val="none" w:sz="0" w:space="0" w:color="auto"/>
      </w:divBdr>
    </w:div>
    <w:div w:id="1337460203">
      <w:bodyDiv w:val="1"/>
      <w:marLeft w:val="0"/>
      <w:marRight w:val="0"/>
      <w:marTop w:val="0"/>
      <w:marBottom w:val="0"/>
      <w:divBdr>
        <w:top w:val="none" w:sz="0" w:space="0" w:color="auto"/>
        <w:left w:val="none" w:sz="0" w:space="0" w:color="auto"/>
        <w:bottom w:val="none" w:sz="0" w:space="0" w:color="auto"/>
        <w:right w:val="none" w:sz="0" w:space="0" w:color="auto"/>
      </w:divBdr>
    </w:div>
    <w:div w:id="1342660118">
      <w:bodyDiv w:val="1"/>
      <w:marLeft w:val="0"/>
      <w:marRight w:val="0"/>
      <w:marTop w:val="0"/>
      <w:marBottom w:val="0"/>
      <w:divBdr>
        <w:top w:val="none" w:sz="0" w:space="0" w:color="auto"/>
        <w:left w:val="none" w:sz="0" w:space="0" w:color="auto"/>
        <w:bottom w:val="none" w:sz="0" w:space="0" w:color="auto"/>
        <w:right w:val="none" w:sz="0" w:space="0" w:color="auto"/>
      </w:divBdr>
    </w:div>
    <w:div w:id="1347095083">
      <w:bodyDiv w:val="1"/>
      <w:marLeft w:val="0"/>
      <w:marRight w:val="0"/>
      <w:marTop w:val="0"/>
      <w:marBottom w:val="0"/>
      <w:divBdr>
        <w:top w:val="none" w:sz="0" w:space="0" w:color="auto"/>
        <w:left w:val="none" w:sz="0" w:space="0" w:color="auto"/>
        <w:bottom w:val="none" w:sz="0" w:space="0" w:color="auto"/>
        <w:right w:val="none" w:sz="0" w:space="0" w:color="auto"/>
      </w:divBdr>
    </w:div>
    <w:div w:id="1348679302">
      <w:bodyDiv w:val="1"/>
      <w:marLeft w:val="0"/>
      <w:marRight w:val="0"/>
      <w:marTop w:val="0"/>
      <w:marBottom w:val="0"/>
      <w:divBdr>
        <w:top w:val="none" w:sz="0" w:space="0" w:color="auto"/>
        <w:left w:val="none" w:sz="0" w:space="0" w:color="auto"/>
        <w:bottom w:val="none" w:sz="0" w:space="0" w:color="auto"/>
        <w:right w:val="none" w:sz="0" w:space="0" w:color="auto"/>
      </w:divBdr>
    </w:div>
    <w:div w:id="1357733990">
      <w:bodyDiv w:val="1"/>
      <w:marLeft w:val="0"/>
      <w:marRight w:val="0"/>
      <w:marTop w:val="0"/>
      <w:marBottom w:val="0"/>
      <w:divBdr>
        <w:top w:val="none" w:sz="0" w:space="0" w:color="auto"/>
        <w:left w:val="none" w:sz="0" w:space="0" w:color="auto"/>
        <w:bottom w:val="none" w:sz="0" w:space="0" w:color="auto"/>
        <w:right w:val="none" w:sz="0" w:space="0" w:color="auto"/>
      </w:divBdr>
    </w:div>
    <w:div w:id="1361779111">
      <w:bodyDiv w:val="1"/>
      <w:marLeft w:val="0"/>
      <w:marRight w:val="0"/>
      <w:marTop w:val="0"/>
      <w:marBottom w:val="0"/>
      <w:divBdr>
        <w:top w:val="none" w:sz="0" w:space="0" w:color="auto"/>
        <w:left w:val="none" w:sz="0" w:space="0" w:color="auto"/>
        <w:bottom w:val="none" w:sz="0" w:space="0" w:color="auto"/>
        <w:right w:val="none" w:sz="0" w:space="0" w:color="auto"/>
      </w:divBdr>
    </w:div>
    <w:div w:id="1362315947">
      <w:bodyDiv w:val="1"/>
      <w:marLeft w:val="0"/>
      <w:marRight w:val="0"/>
      <w:marTop w:val="0"/>
      <w:marBottom w:val="0"/>
      <w:divBdr>
        <w:top w:val="none" w:sz="0" w:space="0" w:color="auto"/>
        <w:left w:val="none" w:sz="0" w:space="0" w:color="auto"/>
        <w:bottom w:val="none" w:sz="0" w:space="0" w:color="auto"/>
        <w:right w:val="none" w:sz="0" w:space="0" w:color="auto"/>
      </w:divBdr>
    </w:div>
    <w:div w:id="1368794487">
      <w:bodyDiv w:val="1"/>
      <w:marLeft w:val="0"/>
      <w:marRight w:val="0"/>
      <w:marTop w:val="0"/>
      <w:marBottom w:val="0"/>
      <w:divBdr>
        <w:top w:val="none" w:sz="0" w:space="0" w:color="auto"/>
        <w:left w:val="none" w:sz="0" w:space="0" w:color="auto"/>
        <w:bottom w:val="none" w:sz="0" w:space="0" w:color="auto"/>
        <w:right w:val="none" w:sz="0" w:space="0" w:color="auto"/>
      </w:divBdr>
    </w:div>
    <w:div w:id="1373075701">
      <w:bodyDiv w:val="1"/>
      <w:marLeft w:val="0"/>
      <w:marRight w:val="0"/>
      <w:marTop w:val="0"/>
      <w:marBottom w:val="0"/>
      <w:divBdr>
        <w:top w:val="none" w:sz="0" w:space="0" w:color="auto"/>
        <w:left w:val="none" w:sz="0" w:space="0" w:color="auto"/>
        <w:bottom w:val="none" w:sz="0" w:space="0" w:color="auto"/>
        <w:right w:val="none" w:sz="0" w:space="0" w:color="auto"/>
      </w:divBdr>
    </w:div>
    <w:div w:id="1376735107">
      <w:bodyDiv w:val="1"/>
      <w:marLeft w:val="0"/>
      <w:marRight w:val="0"/>
      <w:marTop w:val="0"/>
      <w:marBottom w:val="0"/>
      <w:divBdr>
        <w:top w:val="none" w:sz="0" w:space="0" w:color="auto"/>
        <w:left w:val="none" w:sz="0" w:space="0" w:color="auto"/>
        <w:bottom w:val="none" w:sz="0" w:space="0" w:color="auto"/>
        <w:right w:val="none" w:sz="0" w:space="0" w:color="auto"/>
      </w:divBdr>
    </w:div>
    <w:div w:id="1379166904">
      <w:bodyDiv w:val="1"/>
      <w:marLeft w:val="0"/>
      <w:marRight w:val="0"/>
      <w:marTop w:val="0"/>
      <w:marBottom w:val="0"/>
      <w:divBdr>
        <w:top w:val="none" w:sz="0" w:space="0" w:color="auto"/>
        <w:left w:val="none" w:sz="0" w:space="0" w:color="auto"/>
        <w:bottom w:val="none" w:sz="0" w:space="0" w:color="auto"/>
        <w:right w:val="none" w:sz="0" w:space="0" w:color="auto"/>
      </w:divBdr>
    </w:div>
    <w:div w:id="1381779747">
      <w:bodyDiv w:val="1"/>
      <w:marLeft w:val="0"/>
      <w:marRight w:val="0"/>
      <w:marTop w:val="0"/>
      <w:marBottom w:val="0"/>
      <w:divBdr>
        <w:top w:val="none" w:sz="0" w:space="0" w:color="auto"/>
        <w:left w:val="none" w:sz="0" w:space="0" w:color="auto"/>
        <w:bottom w:val="none" w:sz="0" w:space="0" w:color="auto"/>
        <w:right w:val="none" w:sz="0" w:space="0" w:color="auto"/>
      </w:divBdr>
    </w:div>
    <w:div w:id="1389762114">
      <w:bodyDiv w:val="1"/>
      <w:marLeft w:val="0"/>
      <w:marRight w:val="0"/>
      <w:marTop w:val="0"/>
      <w:marBottom w:val="0"/>
      <w:divBdr>
        <w:top w:val="none" w:sz="0" w:space="0" w:color="auto"/>
        <w:left w:val="none" w:sz="0" w:space="0" w:color="auto"/>
        <w:bottom w:val="none" w:sz="0" w:space="0" w:color="auto"/>
        <w:right w:val="none" w:sz="0" w:space="0" w:color="auto"/>
      </w:divBdr>
    </w:div>
    <w:div w:id="1391928357">
      <w:bodyDiv w:val="1"/>
      <w:marLeft w:val="0"/>
      <w:marRight w:val="0"/>
      <w:marTop w:val="0"/>
      <w:marBottom w:val="0"/>
      <w:divBdr>
        <w:top w:val="none" w:sz="0" w:space="0" w:color="auto"/>
        <w:left w:val="none" w:sz="0" w:space="0" w:color="auto"/>
        <w:bottom w:val="none" w:sz="0" w:space="0" w:color="auto"/>
        <w:right w:val="none" w:sz="0" w:space="0" w:color="auto"/>
      </w:divBdr>
    </w:div>
    <w:div w:id="1406100030">
      <w:bodyDiv w:val="1"/>
      <w:marLeft w:val="0"/>
      <w:marRight w:val="0"/>
      <w:marTop w:val="0"/>
      <w:marBottom w:val="0"/>
      <w:divBdr>
        <w:top w:val="none" w:sz="0" w:space="0" w:color="auto"/>
        <w:left w:val="none" w:sz="0" w:space="0" w:color="auto"/>
        <w:bottom w:val="none" w:sz="0" w:space="0" w:color="auto"/>
        <w:right w:val="none" w:sz="0" w:space="0" w:color="auto"/>
      </w:divBdr>
      <w:divsChild>
        <w:div w:id="234167041">
          <w:marLeft w:val="547"/>
          <w:marRight w:val="0"/>
          <w:marTop w:val="0"/>
          <w:marBottom w:val="0"/>
          <w:divBdr>
            <w:top w:val="none" w:sz="0" w:space="0" w:color="auto"/>
            <w:left w:val="none" w:sz="0" w:space="0" w:color="auto"/>
            <w:bottom w:val="none" w:sz="0" w:space="0" w:color="auto"/>
            <w:right w:val="none" w:sz="0" w:space="0" w:color="auto"/>
          </w:divBdr>
        </w:div>
        <w:div w:id="648706636">
          <w:marLeft w:val="547"/>
          <w:marRight w:val="0"/>
          <w:marTop w:val="0"/>
          <w:marBottom w:val="0"/>
          <w:divBdr>
            <w:top w:val="none" w:sz="0" w:space="0" w:color="auto"/>
            <w:left w:val="none" w:sz="0" w:space="0" w:color="auto"/>
            <w:bottom w:val="none" w:sz="0" w:space="0" w:color="auto"/>
            <w:right w:val="none" w:sz="0" w:space="0" w:color="auto"/>
          </w:divBdr>
        </w:div>
        <w:div w:id="1554661209">
          <w:marLeft w:val="547"/>
          <w:marRight w:val="0"/>
          <w:marTop w:val="0"/>
          <w:marBottom w:val="0"/>
          <w:divBdr>
            <w:top w:val="none" w:sz="0" w:space="0" w:color="auto"/>
            <w:left w:val="none" w:sz="0" w:space="0" w:color="auto"/>
            <w:bottom w:val="none" w:sz="0" w:space="0" w:color="auto"/>
            <w:right w:val="none" w:sz="0" w:space="0" w:color="auto"/>
          </w:divBdr>
        </w:div>
      </w:divsChild>
    </w:div>
    <w:div w:id="1408267333">
      <w:bodyDiv w:val="1"/>
      <w:marLeft w:val="0"/>
      <w:marRight w:val="0"/>
      <w:marTop w:val="0"/>
      <w:marBottom w:val="0"/>
      <w:divBdr>
        <w:top w:val="none" w:sz="0" w:space="0" w:color="auto"/>
        <w:left w:val="none" w:sz="0" w:space="0" w:color="auto"/>
        <w:bottom w:val="none" w:sz="0" w:space="0" w:color="auto"/>
        <w:right w:val="none" w:sz="0" w:space="0" w:color="auto"/>
      </w:divBdr>
      <w:divsChild>
        <w:div w:id="209733146">
          <w:marLeft w:val="0"/>
          <w:marRight w:val="0"/>
          <w:marTop w:val="444"/>
          <w:marBottom w:val="0"/>
          <w:divBdr>
            <w:top w:val="none" w:sz="0" w:space="0" w:color="auto"/>
            <w:left w:val="none" w:sz="0" w:space="0" w:color="auto"/>
            <w:bottom w:val="none" w:sz="0" w:space="0" w:color="auto"/>
            <w:right w:val="none" w:sz="0" w:space="0" w:color="auto"/>
          </w:divBdr>
          <w:divsChild>
            <w:div w:id="1574855767">
              <w:marLeft w:val="0"/>
              <w:marRight w:val="0"/>
              <w:marTop w:val="0"/>
              <w:marBottom w:val="0"/>
              <w:divBdr>
                <w:top w:val="none" w:sz="0" w:space="0" w:color="auto"/>
                <w:left w:val="none" w:sz="0" w:space="0" w:color="auto"/>
                <w:bottom w:val="none" w:sz="0" w:space="0" w:color="auto"/>
                <w:right w:val="none" w:sz="0" w:space="0" w:color="auto"/>
              </w:divBdr>
              <w:divsChild>
                <w:div w:id="243532127">
                  <w:marLeft w:val="0"/>
                  <w:marRight w:val="0"/>
                  <w:marTop w:val="0"/>
                  <w:marBottom w:val="0"/>
                  <w:divBdr>
                    <w:top w:val="none" w:sz="0" w:space="0" w:color="auto"/>
                    <w:left w:val="none" w:sz="0" w:space="0" w:color="auto"/>
                    <w:bottom w:val="none" w:sz="0" w:space="0" w:color="auto"/>
                    <w:right w:val="none" w:sz="0" w:space="0" w:color="auto"/>
                  </w:divBdr>
                </w:div>
                <w:div w:id="1723022112">
                  <w:marLeft w:val="0"/>
                  <w:marRight w:val="0"/>
                  <w:marTop w:val="0"/>
                  <w:marBottom w:val="0"/>
                  <w:divBdr>
                    <w:top w:val="none" w:sz="0" w:space="0" w:color="auto"/>
                    <w:left w:val="none" w:sz="0" w:space="0" w:color="auto"/>
                    <w:bottom w:val="none" w:sz="0" w:space="0" w:color="auto"/>
                    <w:right w:val="none" w:sz="0" w:space="0" w:color="auto"/>
                  </w:divBdr>
                </w:div>
                <w:div w:id="1984505998">
                  <w:marLeft w:val="0"/>
                  <w:marRight w:val="0"/>
                  <w:marTop w:val="0"/>
                  <w:marBottom w:val="0"/>
                  <w:divBdr>
                    <w:top w:val="none" w:sz="0" w:space="0" w:color="auto"/>
                    <w:left w:val="none" w:sz="0" w:space="0" w:color="auto"/>
                    <w:bottom w:val="none" w:sz="0" w:space="0" w:color="auto"/>
                    <w:right w:val="none" w:sz="0" w:space="0" w:color="auto"/>
                  </w:divBdr>
                </w:div>
                <w:div w:id="203843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833614">
          <w:marLeft w:val="0"/>
          <w:marRight w:val="0"/>
          <w:marTop w:val="0"/>
          <w:marBottom w:val="0"/>
          <w:divBdr>
            <w:top w:val="none" w:sz="0" w:space="0" w:color="auto"/>
            <w:left w:val="none" w:sz="0" w:space="0" w:color="auto"/>
            <w:bottom w:val="none" w:sz="0" w:space="0" w:color="auto"/>
            <w:right w:val="none" w:sz="0" w:space="0" w:color="auto"/>
          </w:divBdr>
          <w:divsChild>
            <w:div w:id="279453185">
              <w:marLeft w:val="0"/>
              <w:marRight w:val="0"/>
              <w:marTop w:val="0"/>
              <w:marBottom w:val="0"/>
              <w:divBdr>
                <w:top w:val="none" w:sz="0" w:space="0" w:color="auto"/>
                <w:left w:val="none" w:sz="0" w:space="0" w:color="auto"/>
                <w:bottom w:val="none" w:sz="0" w:space="0" w:color="auto"/>
                <w:right w:val="none" w:sz="0" w:space="0" w:color="auto"/>
              </w:divBdr>
              <w:divsChild>
                <w:div w:id="1685134962">
                  <w:marLeft w:val="0"/>
                  <w:marRight w:val="0"/>
                  <w:marTop w:val="240"/>
                  <w:marBottom w:val="0"/>
                  <w:divBdr>
                    <w:top w:val="none" w:sz="0" w:space="0" w:color="auto"/>
                    <w:left w:val="none" w:sz="0" w:space="0" w:color="auto"/>
                    <w:bottom w:val="none" w:sz="0" w:space="0" w:color="auto"/>
                    <w:right w:val="none" w:sz="0" w:space="0" w:color="auto"/>
                  </w:divBdr>
                  <w:divsChild>
                    <w:div w:id="1579555871">
                      <w:marLeft w:val="0"/>
                      <w:marRight w:val="0"/>
                      <w:marTop w:val="0"/>
                      <w:marBottom w:val="0"/>
                      <w:divBdr>
                        <w:top w:val="none" w:sz="0" w:space="0" w:color="auto"/>
                        <w:left w:val="none" w:sz="0" w:space="0" w:color="auto"/>
                        <w:bottom w:val="none" w:sz="0" w:space="0" w:color="auto"/>
                        <w:right w:val="none" w:sz="0" w:space="0" w:color="auto"/>
                      </w:divBdr>
                      <w:divsChild>
                        <w:div w:id="2072925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6822488">
              <w:marLeft w:val="0"/>
              <w:marRight w:val="0"/>
              <w:marTop w:val="0"/>
              <w:marBottom w:val="0"/>
              <w:divBdr>
                <w:top w:val="none" w:sz="0" w:space="0" w:color="auto"/>
                <w:left w:val="none" w:sz="0" w:space="0" w:color="auto"/>
                <w:bottom w:val="none" w:sz="0" w:space="0" w:color="auto"/>
                <w:right w:val="none" w:sz="0" w:space="0" w:color="auto"/>
              </w:divBdr>
              <w:divsChild>
                <w:div w:id="1335500721">
                  <w:marLeft w:val="0"/>
                  <w:marRight w:val="0"/>
                  <w:marTop w:val="0"/>
                  <w:marBottom w:val="15"/>
                  <w:divBdr>
                    <w:top w:val="none" w:sz="0" w:space="0" w:color="auto"/>
                    <w:left w:val="none" w:sz="0" w:space="0" w:color="auto"/>
                    <w:bottom w:val="none" w:sz="0" w:space="0" w:color="auto"/>
                    <w:right w:val="none" w:sz="0" w:space="0" w:color="auto"/>
                  </w:divBdr>
                  <w:divsChild>
                    <w:div w:id="471099320">
                      <w:marLeft w:val="-120"/>
                      <w:marRight w:val="0"/>
                      <w:marTop w:val="0"/>
                      <w:marBottom w:val="0"/>
                      <w:divBdr>
                        <w:top w:val="none" w:sz="0" w:space="0" w:color="auto"/>
                        <w:left w:val="none" w:sz="0" w:space="0" w:color="auto"/>
                        <w:bottom w:val="none" w:sz="0" w:space="0" w:color="auto"/>
                        <w:right w:val="none" w:sz="0" w:space="0" w:color="auto"/>
                      </w:divBdr>
                      <w:divsChild>
                        <w:div w:id="904797694">
                          <w:marLeft w:val="0"/>
                          <w:marRight w:val="0"/>
                          <w:marTop w:val="0"/>
                          <w:marBottom w:val="0"/>
                          <w:divBdr>
                            <w:top w:val="none" w:sz="0" w:space="0" w:color="auto"/>
                            <w:left w:val="none" w:sz="0" w:space="0" w:color="auto"/>
                            <w:bottom w:val="none" w:sz="0" w:space="0" w:color="auto"/>
                            <w:right w:val="none" w:sz="0" w:space="0" w:color="auto"/>
                          </w:divBdr>
                          <w:divsChild>
                            <w:div w:id="718289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802346">
                      <w:marLeft w:val="0"/>
                      <w:marRight w:val="-120"/>
                      <w:marTop w:val="0"/>
                      <w:marBottom w:val="0"/>
                      <w:divBdr>
                        <w:top w:val="none" w:sz="0" w:space="0" w:color="auto"/>
                        <w:left w:val="none" w:sz="0" w:space="0" w:color="auto"/>
                        <w:bottom w:val="none" w:sz="0" w:space="0" w:color="auto"/>
                        <w:right w:val="none" w:sz="0" w:space="0" w:color="auto"/>
                      </w:divBdr>
                      <w:divsChild>
                        <w:div w:id="857888818">
                          <w:marLeft w:val="0"/>
                          <w:marRight w:val="0"/>
                          <w:marTop w:val="0"/>
                          <w:marBottom w:val="0"/>
                          <w:divBdr>
                            <w:top w:val="none" w:sz="0" w:space="0" w:color="auto"/>
                            <w:left w:val="none" w:sz="0" w:space="0" w:color="auto"/>
                            <w:bottom w:val="none" w:sz="0" w:space="0" w:color="auto"/>
                            <w:right w:val="none" w:sz="0" w:space="0" w:color="auto"/>
                          </w:divBdr>
                          <w:divsChild>
                            <w:div w:id="40326995">
                              <w:marLeft w:val="0"/>
                              <w:marRight w:val="0"/>
                              <w:marTop w:val="0"/>
                              <w:marBottom w:val="0"/>
                              <w:divBdr>
                                <w:top w:val="none" w:sz="0" w:space="0" w:color="auto"/>
                                <w:left w:val="none" w:sz="0" w:space="0" w:color="auto"/>
                                <w:bottom w:val="none" w:sz="0" w:space="0" w:color="auto"/>
                                <w:right w:val="none" w:sz="0" w:space="0" w:color="auto"/>
                              </w:divBdr>
                            </w:div>
                          </w:divsChild>
                        </w:div>
                        <w:div w:id="1063983930">
                          <w:marLeft w:val="120"/>
                          <w:marRight w:val="120"/>
                          <w:marTop w:val="0"/>
                          <w:marBottom w:val="0"/>
                          <w:divBdr>
                            <w:top w:val="none" w:sz="0" w:space="0" w:color="auto"/>
                            <w:left w:val="none" w:sz="0" w:space="0" w:color="auto"/>
                            <w:bottom w:val="none" w:sz="0" w:space="0" w:color="auto"/>
                            <w:right w:val="none" w:sz="0" w:space="0" w:color="auto"/>
                          </w:divBdr>
                          <w:divsChild>
                            <w:div w:id="1065952137">
                              <w:marLeft w:val="0"/>
                              <w:marRight w:val="0"/>
                              <w:marTop w:val="0"/>
                              <w:marBottom w:val="0"/>
                              <w:divBdr>
                                <w:top w:val="single" w:sz="6" w:space="3" w:color="A2A9B1"/>
                                <w:left w:val="single" w:sz="6" w:space="0" w:color="A2A9B1"/>
                                <w:bottom w:val="single" w:sz="6" w:space="3" w:color="A2A9B1"/>
                                <w:right w:val="single" w:sz="6" w:space="0" w:color="A2A9B1"/>
                              </w:divBdr>
                              <w:divsChild>
                                <w:div w:id="1493787950">
                                  <w:marLeft w:val="0"/>
                                  <w:marRight w:val="0"/>
                                  <w:marTop w:val="0"/>
                                  <w:marBottom w:val="0"/>
                                  <w:divBdr>
                                    <w:top w:val="none" w:sz="0" w:space="0" w:color="auto"/>
                                    <w:left w:val="none" w:sz="0" w:space="0" w:color="auto"/>
                                    <w:bottom w:val="none" w:sz="0" w:space="0" w:color="auto"/>
                                    <w:right w:val="none" w:sz="0" w:space="0" w:color="auto"/>
                                  </w:divBdr>
                                  <w:divsChild>
                                    <w:div w:id="158275067">
                                      <w:marLeft w:val="0"/>
                                      <w:marRight w:val="0"/>
                                      <w:marTop w:val="0"/>
                                      <w:marBottom w:val="0"/>
                                      <w:divBdr>
                                        <w:top w:val="none" w:sz="0" w:space="0" w:color="auto"/>
                                        <w:left w:val="none" w:sz="0" w:space="0" w:color="auto"/>
                                        <w:bottom w:val="none" w:sz="0" w:space="0" w:color="auto"/>
                                        <w:right w:val="none" w:sz="0" w:space="0" w:color="auto"/>
                                      </w:divBdr>
                                      <w:divsChild>
                                        <w:div w:id="182061881">
                                          <w:marLeft w:val="0"/>
                                          <w:marRight w:val="0"/>
                                          <w:marTop w:val="0"/>
                                          <w:marBottom w:val="0"/>
                                          <w:divBdr>
                                            <w:top w:val="none" w:sz="0" w:space="0" w:color="auto"/>
                                            <w:left w:val="none" w:sz="0" w:space="0" w:color="auto"/>
                                            <w:bottom w:val="single" w:sz="6" w:space="0" w:color="EAECF0"/>
                                            <w:right w:val="none" w:sz="0" w:space="0" w:color="auto"/>
                                          </w:divBdr>
                                          <w:divsChild>
                                            <w:div w:id="421993884">
                                              <w:marLeft w:val="0"/>
                                              <w:marRight w:val="0"/>
                                              <w:marTop w:val="0"/>
                                              <w:marBottom w:val="0"/>
                                              <w:divBdr>
                                                <w:top w:val="none" w:sz="0" w:space="0" w:color="auto"/>
                                                <w:left w:val="none" w:sz="0" w:space="0" w:color="auto"/>
                                                <w:bottom w:val="none" w:sz="0" w:space="0" w:color="auto"/>
                                                <w:right w:val="none" w:sz="0" w:space="0" w:color="auto"/>
                                              </w:divBdr>
                                            </w:div>
                                          </w:divsChild>
                                        </w:div>
                                        <w:div w:id="1181430851">
                                          <w:marLeft w:val="0"/>
                                          <w:marRight w:val="0"/>
                                          <w:marTop w:val="0"/>
                                          <w:marBottom w:val="0"/>
                                          <w:divBdr>
                                            <w:top w:val="none" w:sz="0" w:space="0" w:color="auto"/>
                                            <w:left w:val="none" w:sz="0" w:space="0" w:color="auto"/>
                                            <w:bottom w:val="none" w:sz="0" w:space="0" w:color="auto"/>
                                            <w:right w:val="none" w:sz="0" w:space="0" w:color="auto"/>
                                          </w:divBdr>
                                          <w:divsChild>
                                            <w:div w:id="1769151989">
                                              <w:marLeft w:val="0"/>
                                              <w:marRight w:val="0"/>
                                              <w:marTop w:val="0"/>
                                              <w:marBottom w:val="0"/>
                                              <w:divBdr>
                                                <w:top w:val="none" w:sz="0" w:space="0" w:color="auto"/>
                                                <w:left w:val="none" w:sz="0" w:space="0" w:color="auto"/>
                                                <w:bottom w:val="none" w:sz="0" w:space="0" w:color="auto"/>
                                                <w:right w:val="none" w:sz="0" w:space="0" w:color="auto"/>
                                              </w:divBdr>
                                            </w:div>
                                          </w:divsChild>
                                        </w:div>
                                        <w:div w:id="1203322778">
                                          <w:marLeft w:val="0"/>
                                          <w:marRight w:val="0"/>
                                          <w:marTop w:val="0"/>
                                          <w:marBottom w:val="0"/>
                                          <w:divBdr>
                                            <w:top w:val="none" w:sz="0" w:space="0" w:color="auto"/>
                                            <w:left w:val="none" w:sz="0" w:space="0" w:color="auto"/>
                                            <w:bottom w:val="single" w:sz="6" w:space="0" w:color="EAECF0"/>
                                            <w:right w:val="none" w:sz="0" w:space="0" w:color="auto"/>
                                          </w:divBdr>
                                          <w:divsChild>
                                            <w:div w:id="1936287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52196829">
              <w:marLeft w:val="0"/>
              <w:marRight w:val="-180"/>
              <w:marTop w:val="0"/>
              <w:marBottom w:val="0"/>
              <w:divBdr>
                <w:top w:val="none" w:sz="0" w:space="0" w:color="auto"/>
                <w:left w:val="none" w:sz="0" w:space="0" w:color="auto"/>
                <w:bottom w:val="none" w:sz="0" w:space="0" w:color="auto"/>
                <w:right w:val="none" w:sz="0" w:space="0" w:color="auto"/>
              </w:divBdr>
            </w:div>
          </w:divsChild>
        </w:div>
      </w:divsChild>
    </w:div>
    <w:div w:id="1410035190">
      <w:bodyDiv w:val="1"/>
      <w:marLeft w:val="0"/>
      <w:marRight w:val="0"/>
      <w:marTop w:val="0"/>
      <w:marBottom w:val="0"/>
      <w:divBdr>
        <w:top w:val="none" w:sz="0" w:space="0" w:color="auto"/>
        <w:left w:val="none" w:sz="0" w:space="0" w:color="auto"/>
        <w:bottom w:val="none" w:sz="0" w:space="0" w:color="auto"/>
        <w:right w:val="none" w:sz="0" w:space="0" w:color="auto"/>
      </w:divBdr>
    </w:div>
    <w:div w:id="1413816451">
      <w:bodyDiv w:val="1"/>
      <w:marLeft w:val="0"/>
      <w:marRight w:val="0"/>
      <w:marTop w:val="0"/>
      <w:marBottom w:val="0"/>
      <w:divBdr>
        <w:top w:val="none" w:sz="0" w:space="0" w:color="auto"/>
        <w:left w:val="none" w:sz="0" w:space="0" w:color="auto"/>
        <w:bottom w:val="none" w:sz="0" w:space="0" w:color="auto"/>
        <w:right w:val="none" w:sz="0" w:space="0" w:color="auto"/>
      </w:divBdr>
    </w:div>
    <w:div w:id="1420368975">
      <w:bodyDiv w:val="1"/>
      <w:marLeft w:val="0"/>
      <w:marRight w:val="0"/>
      <w:marTop w:val="0"/>
      <w:marBottom w:val="0"/>
      <w:divBdr>
        <w:top w:val="none" w:sz="0" w:space="0" w:color="auto"/>
        <w:left w:val="none" w:sz="0" w:space="0" w:color="auto"/>
        <w:bottom w:val="none" w:sz="0" w:space="0" w:color="auto"/>
        <w:right w:val="none" w:sz="0" w:space="0" w:color="auto"/>
      </w:divBdr>
      <w:divsChild>
        <w:div w:id="1795515721">
          <w:marLeft w:val="1387"/>
          <w:marRight w:val="1387"/>
          <w:marTop w:val="0"/>
          <w:marBottom w:val="0"/>
          <w:divBdr>
            <w:top w:val="none" w:sz="0" w:space="0" w:color="auto"/>
            <w:left w:val="none" w:sz="0" w:space="0" w:color="auto"/>
            <w:bottom w:val="none" w:sz="0" w:space="0" w:color="auto"/>
            <w:right w:val="none" w:sz="0" w:space="0" w:color="auto"/>
          </w:divBdr>
        </w:div>
      </w:divsChild>
    </w:div>
    <w:div w:id="1420718079">
      <w:bodyDiv w:val="1"/>
      <w:marLeft w:val="0"/>
      <w:marRight w:val="0"/>
      <w:marTop w:val="0"/>
      <w:marBottom w:val="0"/>
      <w:divBdr>
        <w:top w:val="none" w:sz="0" w:space="0" w:color="auto"/>
        <w:left w:val="none" w:sz="0" w:space="0" w:color="auto"/>
        <w:bottom w:val="none" w:sz="0" w:space="0" w:color="auto"/>
        <w:right w:val="none" w:sz="0" w:space="0" w:color="auto"/>
      </w:divBdr>
    </w:div>
    <w:div w:id="1424687592">
      <w:bodyDiv w:val="1"/>
      <w:marLeft w:val="0"/>
      <w:marRight w:val="0"/>
      <w:marTop w:val="0"/>
      <w:marBottom w:val="0"/>
      <w:divBdr>
        <w:top w:val="none" w:sz="0" w:space="0" w:color="auto"/>
        <w:left w:val="none" w:sz="0" w:space="0" w:color="auto"/>
        <w:bottom w:val="none" w:sz="0" w:space="0" w:color="auto"/>
        <w:right w:val="none" w:sz="0" w:space="0" w:color="auto"/>
      </w:divBdr>
    </w:div>
    <w:div w:id="1427992335">
      <w:bodyDiv w:val="1"/>
      <w:marLeft w:val="0"/>
      <w:marRight w:val="0"/>
      <w:marTop w:val="0"/>
      <w:marBottom w:val="0"/>
      <w:divBdr>
        <w:top w:val="none" w:sz="0" w:space="0" w:color="auto"/>
        <w:left w:val="none" w:sz="0" w:space="0" w:color="auto"/>
        <w:bottom w:val="none" w:sz="0" w:space="0" w:color="auto"/>
        <w:right w:val="none" w:sz="0" w:space="0" w:color="auto"/>
      </w:divBdr>
    </w:div>
    <w:div w:id="1430931109">
      <w:bodyDiv w:val="1"/>
      <w:marLeft w:val="0"/>
      <w:marRight w:val="0"/>
      <w:marTop w:val="0"/>
      <w:marBottom w:val="0"/>
      <w:divBdr>
        <w:top w:val="none" w:sz="0" w:space="0" w:color="auto"/>
        <w:left w:val="none" w:sz="0" w:space="0" w:color="auto"/>
        <w:bottom w:val="none" w:sz="0" w:space="0" w:color="auto"/>
        <w:right w:val="none" w:sz="0" w:space="0" w:color="auto"/>
      </w:divBdr>
    </w:div>
    <w:div w:id="1433479428">
      <w:bodyDiv w:val="1"/>
      <w:marLeft w:val="0"/>
      <w:marRight w:val="0"/>
      <w:marTop w:val="0"/>
      <w:marBottom w:val="0"/>
      <w:divBdr>
        <w:top w:val="none" w:sz="0" w:space="0" w:color="auto"/>
        <w:left w:val="none" w:sz="0" w:space="0" w:color="auto"/>
        <w:bottom w:val="none" w:sz="0" w:space="0" w:color="auto"/>
        <w:right w:val="none" w:sz="0" w:space="0" w:color="auto"/>
      </w:divBdr>
    </w:div>
    <w:div w:id="1437753077">
      <w:bodyDiv w:val="1"/>
      <w:marLeft w:val="0"/>
      <w:marRight w:val="0"/>
      <w:marTop w:val="0"/>
      <w:marBottom w:val="0"/>
      <w:divBdr>
        <w:top w:val="none" w:sz="0" w:space="0" w:color="auto"/>
        <w:left w:val="none" w:sz="0" w:space="0" w:color="auto"/>
        <w:bottom w:val="none" w:sz="0" w:space="0" w:color="auto"/>
        <w:right w:val="none" w:sz="0" w:space="0" w:color="auto"/>
      </w:divBdr>
      <w:divsChild>
        <w:div w:id="451633329">
          <w:marLeft w:val="547"/>
          <w:marRight w:val="0"/>
          <w:marTop w:val="96"/>
          <w:marBottom w:val="0"/>
          <w:divBdr>
            <w:top w:val="none" w:sz="0" w:space="0" w:color="auto"/>
            <w:left w:val="none" w:sz="0" w:space="0" w:color="auto"/>
            <w:bottom w:val="none" w:sz="0" w:space="0" w:color="auto"/>
            <w:right w:val="none" w:sz="0" w:space="0" w:color="auto"/>
          </w:divBdr>
        </w:div>
        <w:div w:id="507672302">
          <w:marLeft w:val="547"/>
          <w:marRight w:val="0"/>
          <w:marTop w:val="96"/>
          <w:marBottom w:val="0"/>
          <w:divBdr>
            <w:top w:val="none" w:sz="0" w:space="0" w:color="auto"/>
            <w:left w:val="none" w:sz="0" w:space="0" w:color="auto"/>
            <w:bottom w:val="none" w:sz="0" w:space="0" w:color="auto"/>
            <w:right w:val="none" w:sz="0" w:space="0" w:color="auto"/>
          </w:divBdr>
        </w:div>
        <w:div w:id="626202775">
          <w:marLeft w:val="547"/>
          <w:marRight w:val="0"/>
          <w:marTop w:val="96"/>
          <w:marBottom w:val="0"/>
          <w:divBdr>
            <w:top w:val="none" w:sz="0" w:space="0" w:color="auto"/>
            <w:left w:val="none" w:sz="0" w:space="0" w:color="auto"/>
            <w:bottom w:val="none" w:sz="0" w:space="0" w:color="auto"/>
            <w:right w:val="none" w:sz="0" w:space="0" w:color="auto"/>
          </w:divBdr>
        </w:div>
        <w:div w:id="651956430">
          <w:marLeft w:val="547"/>
          <w:marRight w:val="0"/>
          <w:marTop w:val="96"/>
          <w:marBottom w:val="0"/>
          <w:divBdr>
            <w:top w:val="none" w:sz="0" w:space="0" w:color="auto"/>
            <w:left w:val="none" w:sz="0" w:space="0" w:color="auto"/>
            <w:bottom w:val="none" w:sz="0" w:space="0" w:color="auto"/>
            <w:right w:val="none" w:sz="0" w:space="0" w:color="auto"/>
          </w:divBdr>
        </w:div>
        <w:div w:id="821237184">
          <w:marLeft w:val="547"/>
          <w:marRight w:val="0"/>
          <w:marTop w:val="96"/>
          <w:marBottom w:val="0"/>
          <w:divBdr>
            <w:top w:val="none" w:sz="0" w:space="0" w:color="auto"/>
            <w:left w:val="none" w:sz="0" w:space="0" w:color="auto"/>
            <w:bottom w:val="none" w:sz="0" w:space="0" w:color="auto"/>
            <w:right w:val="none" w:sz="0" w:space="0" w:color="auto"/>
          </w:divBdr>
        </w:div>
        <w:div w:id="2117022072">
          <w:marLeft w:val="547"/>
          <w:marRight w:val="0"/>
          <w:marTop w:val="96"/>
          <w:marBottom w:val="0"/>
          <w:divBdr>
            <w:top w:val="none" w:sz="0" w:space="0" w:color="auto"/>
            <w:left w:val="none" w:sz="0" w:space="0" w:color="auto"/>
            <w:bottom w:val="none" w:sz="0" w:space="0" w:color="auto"/>
            <w:right w:val="none" w:sz="0" w:space="0" w:color="auto"/>
          </w:divBdr>
        </w:div>
      </w:divsChild>
    </w:div>
    <w:div w:id="1442798296">
      <w:bodyDiv w:val="1"/>
      <w:marLeft w:val="0"/>
      <w:marRight w:val="0"/>
      <w:marTop w:val="0"/>
      <w:marBottom w:val="0"/>
      <w:divBdr>
        <w:top w:val="none" w:sz="0" w:space="0" w:color="auto"/>
        <w:left w:val="none" w:sz="0" w:space="0" w:color="auto"/>
        <w:bottom w:val="none" w:sz="0" w:space="0" w:color="auto"/>
        <w:right w:val="none" w:sz="0" w:space="0" w:color="auto"/>
      </w:divBdr>
    </w:div>
    <w:div w:id="1444962410">
      <w:bodyDiv w:val="1"/>
      <w:marLeft w:val="0"/>
      <w:marRight w:val="0"/>
      <w:marTop w:val="0"/>
      <w:marBottom w:val="0"/>
      <w:divBdr>
        <w:top w:val="none" w:sz="0" w:space="0" w:color="auto"/>
        <w:left w:val="none" w:sz="0" w:space="0" w:color="auto"/>
        <w:bottom w:val="none" w:sz="0" w:space="0" w:color="auto"/>
        <w:right w:val="none" w:sz="0" w:space="0" w:color="auto"/>
      </w:divBdr>
    </w:div>
    <w:div w:id="1446652922">
      <w:bodyDiv w:val="1"/>
      <w:marLeft w:val="0"/>
      <w:marRight w:val="0"/>
      <w:marTop w:val="0"/>
      <w:marBottom w:val="0"/>
      <w:divBdr>
        <w:top w:val="none" w:sz="0" w:space="0" w:color="auto"/>
        <w:left w:val="none" w:sz="0" w:space="0" w:color="auto"/>
        <w:bottom w:val="none" w:sz="0" w:space="0" w:color="auto"/>
        <w:right w:val="none" w:sz="0" w:space="0" w:color="auto"/>
      </w:divBdr>
    </w:div>
    <w:div w:id="1451701224">
      <w:bodyDiv w:val="1"/>
      <w:marLeft w:val="0"/>
      <w:marRight w:val="0"/>
      <w:marTop w:val="0"/>
      <w:marBottom w:val="0"/>
      <w:divBdr>
        <w:top w:val="none" w:sz="0" w:space="0" w:color="auto"/>
        <w:left w:val="none" w:sz="0" w:space="0" w:color="auto"/>
        <w:bottom w:val="none" w:sz="0" w:space="0" w:color="auto"/>
        <w:right w:val="none" w:sz="0" w:space="0" w:color="auto"/>
      </w:divBdr>
    </w:div>
    <w:div w:id="1455176163">
      <w:bodyDiv w:val="1"/>
      <w:marLeft w:val="0"/>
      <w:marRight w:val="0"/>
      <w:marTop w:val="0"/>
      <w:marBottom w:val="0"/>
      <w:divBdr>
        <w:top w:val="none" w:sz="0" w:space="0" w:color="auto"/>
        <w:left w:val="none" w:sz="0" w:space="0" w:color="auto"/>
        <w:bottom w:val="none" w:sz="0" w:space="0" w:color="auto"/>
        <w:right w:val="none" w:sz="0" w:space="0" w:color="auto"/>
      </w:divBdr>
      <w:divsChild>
        <w:div w:id="222914860">
          <w:marLeft w:val="-2400"/>
          <w:marRight w:val="-480"/>
          <w:marTop w:val="0"/>
          <w:marBottom w:val="0"/>
          <w:divBdr>
            <w:top w:val="none" w:sz="0" w:space="0" w:color="auto"/>
            <w:left w:val="none" w:sz="0" w:space="0" w:color="auto"/>
            <w:bottom w:val="none" w:sz="0" w:space="0" w:color="auto"/>
            <w:right w:val="none" w:sz="0" w:space="0" w:color="auto"/>
          </w:divBdr>
        </w:div>
        <w:div w:id="522784581">
          <w:marLeft w:val="-2400"/>
          <w:marRight w:val="-480"/>
          <w:marTop w:val="0"/>
          <w:marBottom w:val="0"/>
          <w:divBdr>
            <w:top w:val="none" w:sz="0" w:space="0" w:color="auto"/>
            <w:left w:val="none" w:sz="0" w:space="0" w:color="auto"/>
            <w:bottom w:val="none" w:sz="0" w:space="0" w:color="auto"/>
            <w:right w:val="none" w:sz="0" w:space="0" w:color="auto"/>
          </w:divBdr>
        </w:div>
        <w:div w:id="536544910">
          <w:marLeft w:val="-2400"/>
          <w:marRight w:val="-480"/>
          <w:marTop w:val="0"/>
          <w:marBottom w:val="0"/>
          <w:divBdr>
            <w:top w:val="none" w:sz="0" w:space="0" w:color="auto"/>
            <w:left w:val="none" w:sz="0" w:space="0" w:color="auto"/>
            <w:bottom w:val="none" w:sz="0" w:space="0" w:color="auto"/>
            <w:right w:val="none" w:sz="0" w:space="0" w:color="auto"/>
          </w:divBdr>
        </w:div>
        <w:div w:id="578103646">
          <w:marLeft w:val="-2400"/>
          <w:marRight w:val="-480"/>
          <w:marTop w:val="0"/>
          <w:marBottom w:val="0"/>
          <w:divBdr>
            <w:top w:val="none" w:sz="0" w:space="0" w:color="auto"/>
            <w:left w:val="none" w:sz="0" w:space="0" w:color="auto"/>
            <w:bottom w:val="none" w:sz="0" w:space="0" w:color="auto"/>
            <w:right w:val="none" w:sz="0" w:space="0" w:color="auto"/>
          </w:divBdr>
        </w:div>
        <w:div w:id="663316268">
          <w:marLeft w:val="-2400"/>
          <w:marRight w:val="-480"/>
          <w:marTop w:val="0"/>
          <w:marBottom w:val="0"/>
          <w:divBdr>
            <w:top w:val="none" w:sz="0" w:space="0" w:color="auto"/>
            <w:left w:val="none" w:sz="0" w:space="0" w:color="auto"/>
            <w:bottom w:val="none" w:sz="0" w:space="0" w:color="auto"/>
            <w:right w:val="none" w:sz="0" w:space="0" w:color="auto"/>
          </w:divBdr>
        </w:div>
        <w:div w:id="665590116">
          <w:marLeft w:val="-2400"/>
          <w:marRight w:val="-480"/>
          <w:marTop w:val="0"/>
          <w:marBottom w:val="0"/>
          <w:divBdr>
            <w:top w:val="none" w:sz="0" w:space="0" w:color="auto"/>
            <w:left w:val="none" w:sz="0" w:space="0" w:color="auto"/>
            <w:bottom w:val="none" w:sz="0" w:space="0" w:color="auto"/>
            <w:right w:val="none" w:sz="0" w:space="0" w:color="auto"/>
          </w:divBdr>
        </w:div>
        <w:div w:id="935552692">
          <w:marLeft w:val="-2400"/>
          <w:marRight w:val="-480"/>
          <w:marTop w:val="0"/>
          <w:marBottom w:val="0"/>
          <w:divBdr>
            <w:top w:val="none" w:sz="0" w:space="0" w:color="auto"/>
            <w:left w:val="none" w:sz="0" w:space="0" w:color="auto"/>
            <w:bottom w:val="none" w:sz="0" w:space="0" w:color="auto"/>
            <w:right w:val="none" w:sz="0" w:space="0" w:color="auto"/>
          </w:divBdr>
        </w:div>
        <w:div w:id="1120997548">
          <w:marLeft w:val="-2400"/>
          <w:marRight w:val="-480"/>
          <w:marTop w:val="0"/>
          <w:marBottom w:val="0"/>
          <w:divBdr>
            <w:top w:val="none" w:sz="0" w:space="0" w:color="auto"/>
            <w:left w:val="none" w:sz="0" w:space="0" w:color="auto"/>
            <w:bottom w:val="none" w:sz="0" w:space="0" w:color="auto"/>
            <w:right w:val="none" w:sz="0" w:space="0" w:color="auto"/>
          </w:divBdr>
        </w:div>
        <w:div w:id="1554199976">
          <w:marLeft w:val="-2400"/>
          <w:marRight w:val="-480"/>
          <w:marTop w:val="0"/>
          <w:marBottom w:val="0"/>
          <w:divBdr>
            <w:top w:val="none" w:sz="0" w:space="0" w:color="auto"/>
            <w:left w:val="none" w:sz="0" w:space="0" w:color="auto"/>
            <w:bottom w:val="none" w:sz="0" w:space="0" w:color="auto"/>
            <w:right w:val="none" w:sz="0" w:space="0" w:color="auto"/>
          </w:divBdr>
        </w:div>
        <w:div w:id="1944872762">
          <w:marLeft w:val="-2400"/>
          <w:marRight w:val="-480"/>
          <w:marTop w:val="0"/>
          <w:marBottom w:val="0"/>
          <w:divBdr>
            <w:top w:val="none" w:sz="0" w:space="0" w:color="auto"/>
            <w:left w:val="none" w:sz="0" w:space="0" w:color="auto"/>
            <w:bottom w:val="none" w:sz="0" w:space="0" w:color="auto"/>
            <w:right w:val="none" w:sz="0" w:space="0" w:color="auto"/>
          </w:divBdr>
        </w:div>
      </w:divsChild>
    </w:div>
    <w:div w:id="1462067186">
      <w:bodyDiv w:val="1"/>
      <w:marLeft w:val="0"/>
      <w:marRight w:val="0"/>
      <w:marTop w:val="0"/>
      <w:marBottom w:val="0"/>
      <w:divBdr>
        <w:top w:val="none" w:sz="0" w:space="0" w:color="auto"/>
        <w:left w:val="none" w:sz="0" w:space="0" w:color="auto"/>
        <w:bottom w:val="none" w:sz="0" w:space="0" w:color="auto"/>
        <w:right w:val="none" w:sz="0" w:space="0" w:color="auto"/>
      </w:divBdr>
    </w:div>
    <w:div w:id="1464958829">
      <w:bodyDiv w:val="1"/>
      <w:marLeft w:val="0"/>
      <w:marRight w:val="0"/>
      <w:marTop w:val="0"/>
      <w:marBottom w:val="0"/>
      <w:divBdr>
        <w:top w:val="none" w:sz="0" w:space="0" w:color="auto"/>
        <w:left w:val="none" w:sz="0" w:space="0" w:color="auto"/>
        <w:bottom w:val="none" w:sz="0" w:space="0" w:color="auto"/>
        <w:right w:val="none" w:sz="0" w:space="0" w:color="auto"/>
      </w:divBdr>
    </w:div>
    <w:div w:id="1465931801">
      <w:bodyDiv w:val="1"/>
      <w:marLeft w:val="0"/>
      <w:marRight w:val="0"/>
      <w:marTop w:val="0"/>
      <w:marBottom w:val="0"/>
      <w:divBdr>
        <w:top w:val="none" w:sz="0" w:space="0" w:color="auto"/>
        <w:left w:val="none" w:sz="0" w:space="0" w:color="auto"/>
        <w:bottom w:val="none" w:sz="0" w:space="0" w:color="auto"/>
        <w:right w:val="none" w:sz="0" w:space="0" w:color="auto"/>
      </w:divBdr>
    </w:div>
    <w:div w:id="1467160198">
      <w:bodyDiv w:val="1"/>
      <w:marLeft w:val="0"/>
      <w:marRight w:val="0"/>
      <w:marTop w:val="0"/>
      <w:marBottom w:val="0"/>
      <w:divBdr>
        <w:top w:val="none" w:sz="0" w:space="0" w:color="auto"/>
        <w:left w:val="none" w:sz="0" w:space="0" w:color="auto"/>
        <w:bottom w:val="none" w:sz="0" w:space="0" w:color="auto"/>
        <w:right w:val="none" w:sz="0" w:space="0" w:color="auto"/>
      </w:divBdr>
    </w:div>
    <w:div w:id="1472861967">
      <w:bodyDiv w:val="1"/>
      <w:marLeft w:val="0"/>
      <w:marRight w:val="0"/>
      <w:marTop w:val="0"/>
      <w:marBottom w:val="0"/>
      <w:divBdr>
        <w:top w:val="none" w:sz="0" w:space="0" w:color="auto"/>
        <w:left w:val="none" w:sz="0" w:space="0" w:color="auto"/>
        <w:bottom w:val="none" w:sz="0" w:space="0" w:color="auto"/>
        <w:right w:val="none" w:sz="0" w:space="0" w:color="auto"/>
      </w:divBdr>
    </w:div>
    <w:div w:id="1474131821">
      <w:bodyDiv w:val="1"/>
      <w:marLeft w:val="0"/>
      <w:marRight w:val="0"/>
      <w:marTop w:val="0"/>
      <w:marBottom w:val="0"/>
      <w:divBdr>
        <w:top w:val="none" w:sz="0" w:space="0" w:color="auto"/>
        <w:left w:val="none" w:sz="0" w:space="0" w:color="auto"/>
        <w:bottom w:val="none" w:sz="0" w:space="0" w:color="auto"/>
        <w:right w:val="none" w:sz="0" w:space="0" w:color="auto"/>
      </w:divBdr>
    </w:div>
    <w:div w:id="1475832639">
      <w:bodyDiv w:val="1"/>
      <w:marLeft w:val="0"/>
      <w:marRight w:val="0"/>
      <w:marTop w:val="0"/>
      <w:marBottom w:val="0"/>
      <w:divBdr>
        <w:top w:val="none" w:sz="0" w:space="0" w:color="auto"/>
        <w:left w:val="none" w:sz="0" w:space="0" w:color="auto"/>
        <w:bottom w:val="none" w:sz="0" w:space="0" w:color="auto"/>
        <w:right w:val="none" w:sz="0" w:space="0" w:color="auto"/>
      </w:divBdr>
    </w:div>
    <w:div w:id="1477645956">
      <w:bodyDiv w:val="1"/>
      <w:marLeft w:val="0"/>
      <w:marRight w:val="0"/>
      <w:marTop w:val="0"/>
      <w:marBottom w:val="0"/>
      <w:divBdr>
        <w:top w:val="none" w:sz="0" w:space="0" w:color="auto"/>
        <w:left w:val="none" w:sz="0" w:space="0" w:color="auto"/>
        <w:bottom w:val="none" w:sz="0" w:space="0" w:color="auto"/>
        <w:right w:val="none" w:sz="0" w:space="0" w:color="auto"/>
      </w:divBdr>
    </w:div>
    <w:div w:id="1479225276">
      <w:bodyDiv w:val="1"/>
      <w:marLeft w:val="0"/>
      <w:marRight w:val="0"/>
      <w:marTop w:val="0"/>
      <w:marBottom w:val="0"/>
      <w:divBdr>
        <w:top w:val="none" w:sz="0" w:space="0" w:color="auto"/>
        <w:left w:val="none" w:sz="0" w:space="0" w:color="auto"/>
        <w:bottom w:val="none" w:sz="0" w:space="0" w:color="auto"/>
        <w:right w:val="none" w:sz="0" w:space="0" w:color="auto"/>
      </w:divBdr>
    </w:div>
    <w:div w:id="1481921466">
      <w:bodyDiv w:val="1"/>
      <w:marLeft w:val="0"/>
      <w:marRight w:val="0"/>
      <w:marTop w:val="0"/>
      <w:marBottom w:val="0"/>
      <w:divBdr>
        <w:top w:val="none" w:sz="0" w:space="0" w:color="auto"/>
        <w:left w:val="none" w:sz="0" w:space="0" w:color="auto"/>
        <w:bottom w:val="none" w:sz="0" w:space="0" w:color="auto"/>
        <w:right w:val="none" w:sz="0" w:space="0" w:color="auto"/>
      </w:divBdr>
    </w:div>
    <w:div w:id="1484733256">
      <w:bodyDiv w:val="1"/>
      <w:marLeft w:val="0"/>
      <w:marRight w:val="0"/>
      <w:marTop w:val="0"/>
      <w:marBottom w:val="0"/>
      <w:divBdr>
        <w:top w:val="none" w:sz="0" w:space="0" w:color="auto"/>
        <w:left w:val="none" w:sz="0" w:space="0" w:color="auto"/>
        <w:bottom w:val="none" w:sz="0" w:space="0" w:color="auto"/>
        <w:right w:val="none" w:sz="0" w:space="0" w:color="auto"/>
      </w:divBdr>
      <w:divsChild>
        <w:div w:id="1173951275">
          <w:marLeft w:val="1387"/>
          <w:marRight w:val="1387"/>
          <w:marTop w:val="0"/>
          <w:marBottom w:val="0"/>
          <w:divBdr>
            <w:top w:val="none" w:sz="0" w:space="0" w:color="auto"/>
            <w:left w:val="none" w:sz="0" w:space="0" w:color="auto"/>
            <w:bottom w:val="none" w:sz="0" w:space="0" w:color="auto"/>
            <w:right w:val="none" w:sz="0" w:space="0" w:color="auto"/>
          </w:divBdr>
        </w:div>
      </w:divsChild>
    </w:div>
    <w:div w:id="1485783198">
      <w:bodyDiv w:val="1"/>
      <w:marLeft w:val="0"/>
      <w:marRight w:val="0"/>
      <w:marTop w:val="0"/>
      <w:marBottom w:val="0"/>
      <w:divBdr>
        <w:top w:val="none" w:sz="0" w:space="0" w:color="auto"/>
        <w:left w:val="none" w:sz="0" w:space="0" w:color="auto"/>
        <w:bottom w:val="none" w:sz="0" w:space="0" w:color="auto"/>
        <w:right w:val="none" w:sz="0" w:space="0" w:color="auto"/>
      </w:divBdr>
    </w:div>
    <w:div w:id="1486119263">
      <w:bodyDiv w:val="1"/>
      <w:marLeft w:val="0"/>
      <w:marRight w:val="0"/>
      <w:marTop w:val="0"/>
      <w:marBottom w:val="0"/>
      <w:divBdr>
        <w:top w:val="none" w:sz="0" w:space="0" w:color="auto"/>
        <w:left w:val="none" w:sz="0" w:space="0" w:color="auto"/>
        <w:bottom w:val="none" w:sz="0" w:space="0" w:color="auto"/>
        <w:right w:val="none" w:sz="0" w:space="0" w:color="auto"/>
      </w:divBdr>
    </w:div>
    <w:div w:id="1490705646">
      <w:bodyDiv w:val="1"/>
      <w:marLeft w:val="0"/>
      <w:marRight w:val="0"/>
      <w:marTop w:val="0"/>
      <w:marBottom w:val="0"/>
      <w:divBdr>
        <w:top w:val="none" w:sz="0" w:space="0" w:color="auto"/>
        <w:left w:val="none" w:sz="0" w:space="0" w:color="auto"/>
        <w:bottom w:val="none" w:sz="0" w:space="0" w:color="auto"/>
        <w:right w:val="none" w:sz="0" w:space="0" w:color="auto"/>
      </w:divBdr>
    </w:div>
    <w:div w:id="1491824118">
      <w:bodyDiv w:val="1"/>
      <w:marLeft w:val="0"/>
      <w:marRight w:val="0"/>
      <w:marTop w:val="0"/>
      <w:marBottom w:val="0"/>
      <w:divBdr>
        <w:top w:val="none" w:sz="0" w:space="0" w:color="auto"/>
        <w:left w:val="none" w:sz="0" w:space="0" w:color="auto"/>
        <w:bottom w:val="none" w:sz="0" w:space="0" w:color="auto"/>
        <w:right w:val="none" w:sz="0" w:space="0" w:color="auto"/>
      </w:divBdr>
    </w:div>
    <w:div w:id="1496187317">
      <w:bodyDiv w:val="1"/>
      <w:marLeft w:val="0"/>
      <w:marRight w:val="0"/>
      <w:marTop w:val="0"/>
      <w:marBottom w:val="0"/>
      <w:divBdr>
        <w:top w:val="none" w:sz="0" w:space="0" w:color="auto"/>
        <w:left w:val="none" w:sz="0" w:space="0" w:color="auto"/>
        <w:bottom w:val="none" w:sz="0" w:space="0" w:color="auto"/>
        <w:right w:val="none" w:sz="0" w:space="0" w:color="auto"/>
      </w:divBdr>
    </w:div>
    <w:div w:id="1503466085">
      <w:bodyDiv w:val="1"/>
      <w:marLeft w:val="0"/>
      <w:marRight w:val="0"/>
      <w:marTop w:val="0"/>
      <w:marBottom w:val="0"/>
      <w:divBdr>
        <w:top w:val="none" w:sz="0" w:space="0" w:color="auto"/>
        <w:left w:val="none" w:sz="0" w:space="0" w:color="auto"/>
        <w:bottom w:val="none" w:sz="0" w:space="0" w:color="auto"/>
        <w:right w:val="none" w:sz="0" w:space="0" w:color="auto"/>
      </w:divBdr>
      <w:divsChild>
        <w:div w:id="259411475">
          <w:marLeft w:val="547"/>
          <w:marRight w:val="0"/>
          <w:marTop w:val="0"/>
          <w:marBottom w:val="0"/>
          <w:divBdr>
            <w:top w:val="none" w:sz="0" w:space="0" w:color="auto"/>
            <w:left w:val="none" w:sz="0" w:space="0" w:color="auto"/>
            <w:bottom w:val="none" w:sz="0" w:space="0" w:color="auto"/>
            <w:right w:val="none" w:sz="0" w:space="0" w:color="auto"/>
          </w:divBdr>
        </w:div>
      </w:divsChild>
    </w:div>
    <w:div w:id="1504130065">
      <w:bodyDiv w:val="1"/>
      <w:marLeft w:val="0"/>
      <w:marRight w:val="0"/>
      <w:marTop w:val="0"/>
      <w:marBottom w:val="0"/>
      <w:divBdr>
        <w:top w:val="none" w:sz="0" w:space="0" w:color="auto"/>
        <w:left w:val="none" w:sz="0" w:space="0" w:color="auto"/>
        <w:bottom w:val="none" w:sz="0" w:space="0" w:color="auto"/>
        <w:right w:val="none" w:sz="0" w:space="0" w:color="auto"/>
      </w:divBdr>
    </w:div>
    <w:div w:id="1508255125">
      <w:bodyDiv w:val="1"/>
      <w:marLeft w:val="0"/>
      <w:marRight w:val="0"/>
      <w:marTop w:val="0"/>
      <w:marBottom w:val="0"/>
      <w:divBdr>
        <w:top w:val="none" w:sz="0" w:space="0" w:color="auto"/>
        <w:left w:val="none" w:sz="0" w:space="0" w:color="auto"/>
        <w:bottom w:val="none" w:sz="0" w:space="0" w:color="auto"/>
        <w:right w:val="none" w:sz="0" w:space="0" w:color="auto"/>
      </w:divBdr>
      <w:divsChild>
        <w:div w:id="312174358">
          <w:marLeft w:val="0"/>
          <w:marRight w:val="0"/>
          <w:marTop w:val="0"/>
          <w:marBottom w:val="225"/>
          <w:divBdr>
            <w:top w:val="none" w:sz="0" w:space="0" w:color="auto"/>
            <w:left w:val="none" w:sz="0" w:space="0" w:color="auto"/>
            <w:bottom w:val="none" w:sz="0" w:space="0" w:color="auto"/>
            <w:right w:val="none" w:sz="0" w:space="0" w:color="auto"/>
          </w:divBdr>
        </w:div>
        <w:div w:id="1582182294">
          <w:marLeft w:val="0"/>
          <w:marRight w:val="0"/>
          <w:marTop w:val="0"/>
          <w:marBottom w:val="225"/>
          <w:divBdr>
            <w:top w:val="none" w:sz="0" w:space="0" w:color="auto"/>
            <w:left w:val="none" w:sz="0" w:space="0" w:color="auto"/>
            <w:bottom w:val="none" w:sz="0" w:space="0" w:color="auto"/>
            <w:right w:val="none" w:sz="0" w:space="0" w:color="auto"/>
          </w:divBdr>
        </w:div>
      </w:divsChild>
    </w:div>
    <w:div w:id="1508713633">
      <w:bodyDiv w:val="1"/>
      <w:marLeft w:val="0"/>
      <w:marRight w:val="0"/>
      <w:marTop w:val="0"/>
      <w:marBottom w:val="0"/>
      <w:divBdr>
        <w:top w:val="none" w:sz="0" w:space="0" w:color="auto"/>
        <w:left w:val="none" w:sz="0" w:space="0" w:color="auto"/>
        <w:bottom w:val="none" w:sz="0" w:space="0" w:color="auto"/>
        <w:right w:val="none" w:sz="0" w:space="0" w:color="auto"/>
      </w:divBdr>
    </w:div>
    <w:div w:id="1516460113">
      <w:bodyDiv w:val="1"/>
      <w:marLeft w:val="0"/>
      <w:marRight w:val="0"/>
      <w:marTop w:val="0"/>
      <w:marBottom w:val="0"/>
      <w:divBdr>
        <w:top w:val="none" w:sz="0" w:space="0" w:color="auto"/>
        <w:left w:val="none" w:sz="0" w:space="0" w:color="auto"/>
        <w:bottom w:val="none" w:sz="0" w:space="0" w:color="auto"/>
        <w:right w:val="none" w:sz="0" w:space="0" w:color="auto"/>
      </w:divBdr>
    </w:div>
    <w:div w:id="1520704379">
      <w:bodyDiv w:val="1"/>
      <w:marLeft w:val="0"/>
      <w:marRight w:val="0"/>
      <w:marTop w:val="0"/>
      <w:marBottom w:val="0"/>
      <w:divBdr>
        <w:top w:val="none" w:sz="0" w:space="0" w:color="auto"/>
        <w:left w:val="none" w:sz="0" w:space="0" w:color="auto"/>
        <w:bottom w:val="none" w:sz="0" w:space="0" w:color="auto"/>
        <w:right w:val="none" w:sz="0" w:space="0" w:color="auto"/>
      </w:divBdr>
    </w:div>
    <w:div w:id="1533180316">
      <w:bodyDiv w:val="1"/>
      <w:marLeft w:val="0"/>
      <w:marRight w:val="0"/>
      <w:marTop w:val="0"/>
      <w:marBottom w:val="0"/>
      <w:divBdr>
        <w:top w:val="none" w:sz="0" w:space="0" w:color="auto"/>
        <w:left w:val="none" w:sz="0" w:space="0" w:color="auto"/>
        <w:bottom w:val="none" w:sz="0" w:space="0" w:color="auto"/>
        <w:right w:val="none" w:sz="0" w:space="0" w:color="auto"/>
      </w:divBdr>
      <w:divsChild>
        <w:div w:id="140388462">
          <w:marLeft w:val="0"/>
          <w:marRight w:val="0"/>
          <w:marTop w:val="0"/>
          <w:marBottom w:val="0"/>
          <w:divBdr>
            <w:top w:val="none" w:sz="0" w:space="0" w:color="auto"/>
            <w:left w:val="none" w:sz="0" w:space="0" w:color="auto"/>
            <w:bottom w:val="none" w:sz="0" w:space="0" w:color="auto"/>
            <w:right w:val="none" w:sz="0" w:space="0" w:color="auto"/>
          </w:divBdr>
        </w:div>
        <w:div w:id="205725382">
          <w:marLeft w:val="0"/>
          <w:marRight w:val="0"/>
          <w:marTop w:val="0"/>
          <w:marBottom w:val="0"/>
          <w:divBdr>
            <w:top w:val="none" w:sz="0" w:space="0" w:color="auto"/>
            <w:left w:val="none" w:sz="0" w:space="0" w:color="auto"/>
            <w:bottom w:val="none" w:sz="0" w:space="0" w:color="auto"/>
            <w:right w:val="none" w:sz="0" w:space="0" w:color="auto"/>
          </w:divBdr>
        </w:div>
        <w:div w:id="503251240">
          <w:marLeft w:val="0"/>
          <w:marRight w:val="0"/>
          <w:marTop w:val="0"/>
          <w:marBottom w:val="0"/>
          <w:divBdr>
            <w:top w:val="none" w:sz="0" w:space="0" w:color="auto"/>
            <w:left w:val="none" w:sz="0" w:space="0" w:color="auto"/>
            <w:bottom w:val="none" w:sz="0" w:space="0" w:color="auto"/>
            <w:right w:val="none" w:sz="0" w:space="0" w:color="auto"/>
          </w:divBdr>
        </w:div>
        <w:div w:id="891697986">
          <w:marLeft w:val="0"/>
          <w:marRight w:val="0"/>
          <w:marTop w:val="0"/>
          <w:marBottom w:val="0"/>
          <w:divBdr>
            <w:top w:val="none" w:sz="0" w:space="0" w:color="auto"/>
            <w:left w:val="none" w:sz="0" w:space="0" w:color="auto"/>
            <w:bottom w:val="none" w:sz="0" w:space="0" w:color="auto"/>
            <w:right w:val="none" w:sz="0" w:space="0" w:color="auto"/>
          </w:divBdr>
        </w:div>
        <w:div w:id="993800806">
          <w:marLeft w:val="0"/>
          <w:marRight w:val="0"/>
          <w:marTop w:val="0"/>
          <w:marBottom w:val="0"/>
          <w:divBdr>
            <w:top w:val="none" w:sz="0" w:space="0" w:color="auto"/>
            <w:left w:val="none" w:sz="0" w:space="0" w:color="auto"/>
            <w:bottom w:val="none" w:sz="0" w:space="0" w:color="auto"/>
            <w:right w:val="none" w:sz="0" w:space="0" w:color="auto"/>
          </w:divBdr>
        </w:div>
        <w:div w:id="1007638231">
          <w:marLeft w:val="0"/>
          <w:marRight w:val="0"/>
          <w:marTop w:val="0"/>
          <w:marBottom w:val="0"/>
          <w:divBdr>
            <w:top w:val="none" w:sz="0" w:space="0" w:color="auto"/>
            <w:left w:val="none" w:sz="0" w:space="0" w:color="auto"/>
            <w:bottom w:val="none" w:sz="0" w:space="0" w:color="auto"/>
            <w:right w:val="none" w:sz="0" w:space="0" w:color="auto"/>
          </w:divBdr>
        </w:div>
        <w:div w:id="1514680961">
          <w:marLeft w:val="0"/>
          <w:marRight w:val="0"/>
          <w:marTop w:val="0"/>
          <w:marBottom w:val="0"/>
          <w:divBdr>
            <w:top w:val="none" w:sz="0" w:space="0" w:color="auto"/>
            <w:left w:val="none" w:sz="0" w:space="0" w:color="auto"/>
            <w:bottom w:val="none" w:sz="0" w:space="0" w:color="auto"/>
            <w:right w:val="none" w:sz="0" w:space="0" w:color="auto"/>
          </w:divBdr>
        </w:div>
        <w:div w:id="1517036471">
          <w:marLeft w:val="0"/>
          <w:marRight w:val="0"/>
          <w:marTop w:val="0"/>
          <w:marBottom w:val="0"/>
          <w:divBdr>
            <w:top w:val="none" w:sz="0" w:space="0" w:color="auto"/>
            <w:left w:val="none" w:sz="0" w:space="0" w:color="auto"/>
            <w:bottom w:val="none" w:sz="0" w:space="0" w:color="auto"/>
            <w:right w:val="none" w:sz="0" w:space="0" w:color="auto"/>
          </w:divBdr>
        </w:div>
        <w:div w:id="1753314414">
          <w:marLeft w:val="0"/>
          <w:marRight w:val="0"/>
          <w:marTop w:val="0"/>
          <w:marBottom w:val="0"/>
          <w:divBdr>
            <w:top w:val="none" w:sz="0" w:space="0" w:color="auto"/>
            <w:left w:val="none" w:sz="0" w:space="0" w:color="auto"/>
            <w:bottom w:val="none" w:sz="0" w:space="0" w:color="auto"/>
            <w:right w:val="none" w:sz="0" w:space="0" w:color="auto"/>
          </w:divBdr>
        </w:div>
        <w:div w:id="2022707656">
          <w:marLeft w:val="0"/>
          <w:marRight w:val="0"/>
          <w:marTop w:val="0"/>
          <w:marBottom w:val="0"/>
          <w:divBdr>
            <w:top w:val="none" w:sz="0" w:space="0" w:color="auto"/>
            <w:left w:val="none" w:sz="0" w:space="0" w:color="auto"/>
            <w:bottom w:val="none" w:sz="0" w:space="0" w:color="auto"/>
            <w:right w:val="none" w:sz="0" w:space="0" w:color="auto"/>
          </w:divBdr>
        </w:div>
      </w:divsChild>
    </w:div>
    <w:div w:id="1540581381">
      <w:bodyDiv w:val="1"/>
      <w:marLeft w:val="0"/>
      <w:marRight w:val="0"/>
      <w:marTop w:val="0"/>
      <w:marBottom w:val="0"/>
      <w:divBdr>
        <w:top w:val="none" w:sz="0" w:space="0" w:color="auto"/>
        <w:left w:val="none" w:sz="0" w:space="0" w:color="auto"/>
        <w:bottom w:val="none" w:sz="0" w:space="0" w:color="auto"/>
        <w:right w:val="none" w:sz="0" w:space="0" w:color="auto"/>
      </w:divBdr>
    </w:div>
    <w:div w:id="1542745835">
      <w:bodyDiv w:val="1"/>
      <w:marLeft w:val="0"/>
      <w:marRight w:val="0"/>
      <w:marTop w:val="0"/>
      <w:marBottom w:val="0"/>
      <w:divBdr>
        <w:top w:val="none" w:sz="0" w:space="0" w:color="auto"/>
        <w:left w:val="none" w:sz="0" w:space="0" w:color="auto"/>
        <w:bottom w:val="none" w:sz="0" w:space="0" w:color="auto"/>
        <w:right w:val="none" w:sz="0" w:space="0" w:color="auto"/>
      </w:divBdr>
    </w:div>
    <w:div w:id="1548223699">
      <w:bodyDiv w:val="1"/>
      <w:marLeft w:val="0"/>
      <w:marRight w:val="0"/>
      <w:marTop w:val="0"/>
      <w:marBottom w:val="0"/>
      <w:divBdr>
        <w:top w:val="none" w:sz="0" w:space="0" w:color="auto"/>
        <w:left w:val="none" w:sz="0" w:space="0" w:color="auto"/>
        <w:bottom w:val="none" w:sz="0" w:space="0" w:color="auto"/>
        <w:right w:val="none" w:sz="0" w:space="0" w:color="auto"/>
      </w:divBdr>
    </w:div>
    <w:div w:id="1550189416">
      <w:bodyDiv w:val="1"/>
      <w:marLeft w:val="0"/>
      <w:marRight w:val="0"/>
      <w:marTop w:val="0"/>
      <w:marBottom w:val="0"/>
      <w:divBdr>
        <w:top w:val="none" w:sz="0" w:space="0" w:color="auto"/>
        <w:left w:val="none" w:sz="0" w:space="0" w:color="auto"/>
        <w:bottom w:val="none" w:sz="0" w:space="0" w:color="auto"/>
        <w:right w:val="none" w:sz="0" w:space="0" w:color="auto"/>
      </w:divBdr>
    </w:div>
    <w:div w:id="1552226398">
      <w:bodyDiv w:val="1"/>
      <w:marLeft w:val="0"/>
      <w:marRight w:val="0"/>
      <w:marTop w:val="0"/>
      <w:marBottom w:val="0"/>
      <w:divBdr>
        <w:top w:val="none" w:sz="0" w:space="0" w:color="auto"/>
        <w:left w:val="none" w:sz="0" w:space="0" w:color="auto"/>
        <w:bottom w:val="none" w:sz="0" w:space="0" w:color="auto"/>
        <w:right w:val="none" w:sz="0" w:space="0" w:color="auto"/>
      </w:divBdr>
    </w:div>
    <w:div w:id="1552615852">
      <w:bodyDiv w:val="1"/>
      <w:marLeft w:val="0"/>
      <w:marRight w:val="0"/>
      <w:marTop w:val="0"/>
      <w:marBottom w:val="0"/>
      <w:divBdr>
        <w:top w:val="none" w:sz="0" w:space="0" w:color="auto"/>
        <w:left w:val="none" w:sz="0" w:space="0" w:color="auto"/>
        <w:bottom w:val="none" w:sz="0" w:space="0" w:color="auto"/>
        <w:right w:val="none" w:sz="0" w:space="0" w:color="auto"/>
      </w:divBdr>
      <w:divsChild>
        <w:div w:id="1106341925">
          <w:marLeft w:val="547"/>
          <w:marRight w:val="0"/>
          <w:marTop w:val="115"/>
          <w:marBottom w:val="0"/>
          <w:divBdr>
            <w:top w:val="none" w:sz="0" w:space="0" w:color="auto"/>
            <w:left w:val="none" w:sz="0" w:space="0" w:color="auto"/>
            <w:bottom w:val="none" w:sz="0" w:space="0" w:color="auto"/>
            <w:right w:val="none" w:sz="0" w:space="0" w:color="auto"/>
          </w:divBdr>
        </w:div>
      </w:divsChild>
    </w:div>
    <w:div w:id="1558005688">
      <w:bodyDiv w:val="1"/>
      <w:marLeft w:val="0"/>
      <w:marRight w:val="0"/>
      <w:marTop w:val="0"/>
      <w:marBottom w:val="0"/>
      <w:divBdr>
        <w:top w:val="none" w:sz="0" w:space="0" w:color="auto"/>
        <w:left w:val="none" w:sz="0" w:space="0" w:color="auto"/>
        <w:bottom w:val="none" w:sz="0" w:space="0" w:color="auto"/>
        <w:right w:val="none" w:sz="0" w:space="0" w:color="auto"/>
      </w:divBdr>
    </w:div>
    <w:div w:id="1559702339">
      <w:bodyDiv w:val="1"/>
      <w:marLeft w:val="0"/>
      <w:marRight w:val="0"/>
      <w:marTop w:val="0"/>
      <w:marBottom w:val="0"/>
      <w:divBdr>
        <w:top w:val="none" w:sz="0" w:space="0" w:color="auto"/>
        <w:left w:val="none" w:sz="0" w:space="0" w:color="auto"/>
        <w:bottom w:val="none" w:sz="0" w:space="0" w:color="auto"/>
        <w:right w:val="none" w:sz="0" w:space="0" w:color="auto"/>
      </w:divBdr>
    </w:div>
    <w:div w:id="1562792443">
      <w:bodyDiv w:val="1"/>
      <w:marLeft w:val="0"/>
      <w:marRight w:val="0"/>
      <w:marTop w:val="0"/>
      <w:marBottom w:val="0"/>
      <w:divBdr>
        <w:top w:val="none" w:sz="0" w:space="0" w:color="auto"/>
        <w:left w:val="none" w:sz="0" w:space="0" w:color="auto"/>
        <w:bottom w:val="none" w:sz="0" w:space="0" w:color="auto"/>
        <w:right w:val="none" w:sz="0" w:space="0" w:color="auto"/>
      </w:divBdr>
    </w:div>
    <w:div w:id="1564871293">
      <w:bodyDiv w:val="1"/>
      <w:marLeft w:val="0"/>
      <w:marRight w:val="0"/>
      <w:marTop w:val="0"/>
      <w:marBottom w:val="0"/>
      <w:divBdr>
        <w:top w:val="none" w:sz="0" w:space="0" w:color="auto"/>
        <w:left w:val="none" w:sz="0" w:space="0" w:color="auto"/>
        <w:bottom w:val="none" w:sz="0" w:space="0" w:color="auto"/>
        <w:right w:val="none" w:sz="0" w:space="0" w:color="auto"/>
      </w:divBdr>
    </w:div>
    <w:div w:id="1567178836">
      <w:bodyDiv w:val="1"/>
      <w:marLeft w:val="0"/>
      <w:marRight w:val="0"/>
      <w:marTop w:val="0"/>
      <w:marBottom w:val="0"/>
      <w:divBdr>
        <w:top w:val="none" w:sz="0" w:space="0" w:color="auto"/>
        <w:left w:val="none" w:sz="0" w:space="0" w:color="auto"/>
        <w:bottom w:val="none" w:sz="0" w:space="0" w:color="auto"/>
        <w:right w:val="none" w:sz="0" w:space="0" w:color="auto"/>
      </w:divBdr>
    </w:div>
    <w:div w:id="1568997629">
      <w:bodyDiv w:val="1"/>
      <w:marLeft w:val="0"/>
      <w:marRight w:val="0"/>
      <w:marTop w:val="0"/>
      <w:marBottom w:val="0"/>
      <w:divBdr>
        <w:top w:val="none" w:sz="0" w:space="0" w:color="auto"/>
        <w:left w:val="none" w:sz="0" w:space="0" w:color="auto"/>
        <w:bottom w:val="none" w:sz="0" w:space="0" w:color="auto"/>
        <w:right w:val="none" w:sz="0" w:space="0" w:color="auto"/>
      </w:divBdr>
    </w:div>
    <w:div w:id="1569995141">
      <w:bodyDiv w:val="1"/>
      <w:marLeft w:val="0"/>
      <w:marRight w:val="0"/>
      <w:marTop w:val="0"/>
      <w:marBottom w:val="0"/>
      <w:divBdr>
        <w:top w:val="none" w:sz="0" w:space="0" w:color="auto"/>
        <w:left w:val="none" w:sz="0" w:space="0" w:color="auto"/>
        <w:bottom w:val="none" w:sz="0" w:space="0" w:color="auto"/>
        <w:right w:val="none" w:sz="0" w:space="0" w:color="auto"/>
      </w:divBdr>
    </w:div>
    <w:div w:id="1571307148">
      <w:bodyDiv w:val="1"/>
      <w:marLeft w:val="0"/>
      <w:marRight w:val="0"/>
      <w:marTop w:val="0"/>
      <w:marBottom w:val="0"/>
      <w:divBdr>
        <w:top w:val="none" w:sz="0" w:space="0" w:color="auto"/>
        <w:left w:val="none" w:sz="0" w:space="0" w:color="auto"/>
        <w:bottom w:val="none" w:sz="0" w:space="0" w:color="auto"/>
        <w:right w:val="none" w:sz="0" w:space="0" w:color="auto"/>
      </w:divBdr>
    </w:div>
    <w:div w:id="1572887278">
      <w:bodyDiv w:val="1"/>
      <w:marLeft w:val="0"/>
      <w:marRight w:val="0"/>
      <w:marTop w:val="0"/>
      <w:marBottom w:val="0"/>
      <w:divBdr>
        <w:top w:val="none" w:sz="0" w:space="0" w:color="auto"/>
        <w:left w:val="none" w:sz="0" w:space="0" w:color="auto"/>
        <w:bottom w:val="none" w:sz="0" w:space="0" w:color="auto"/>
        <w:right w:val="none" w:sz="0" w:space="0" w:color="auto"/>
      </w:divBdr>
    </w:div>
    <w:div w:id="1573196557">
      <w:bodyDiv w:val="1"/>
      <w:marLeft w:val="0"/>
      <w:marRight w:val="0"/>
      <w:marTop w:val="0"/>
      <w:marBottom w:val="0"/>
      <w:divBdr>
        <w:top w:val="none" w:sz="0" w:space="0" w:color="auto"/>
        <w:left w:val="none" w:sz="0" w:space="0" w:color="auto"/>
        <w:bottom w:val="none" w:sz="0" w:space="0" w:color="auto"/>
        <w:right w:val="none" w:sz="0" w:space="0" w:color="auto"/>
      </w:divBdr>
    </w:div>
    <w:div w:id="1576622211">
      <w:bodyDiv w:val="1"/>
      <w:marLeft w:val="0"/>
      <w:marRight w:val="0"/>
      <w:marTop w:val="0"/>
      <w:marBottom w:val="0"/>
      <w:divBdr>
        <w:top w:val="none" w:sz="0" w:space="0" w:color="auto"/>
        <w:left w:val="none" w:sz="0" w:space="0" w:color="auto"/>
        <w:bottom w:val="none" w:sz="0" w:space="0" w:color="auto"/>
        <w:right w:val="none" w:sz="0" w:space="0" w:color="auto"/>
      </w:divBdr>
    </w:div>
    <w:div w:id="1586916094">
      <w:bodyDiv w:val="1"/>
      <w:marLeft w:val="0"/>
      <w:marRight w:val="0"/>
      <w:marTop w:val="0"/>
      <w:marBottom w:val="0"/>
      <w:divBdr>
        <w:top w:val="none" w:sz="0" w:space="0" w:color="auto"/>
        <w:left w:val="none" w:sz="0" w:space="0" w:color="auto"/>
        <w:bottom w:val="none" w:sz="0" w:space="0" w:color="auto"/>
        <w:right w:val="none" w:sz="0" w:space="0" w:color="auto"/>
      </w:divBdr>
      <w:divsChild>
        <w:div w:id="716660294">
          <w:marLeft w:val="0"/>
          <w:marRight w:val="0"/>
          <w:marTop w:val="0"/>
          <w:marBottom w:val="0"/>
          <w:divBdr>
            <w:top w:val="none" w:sz="0" w:space="0" w:color="auto"/>
            <w:left w:val="none" w:sz="0" w:space="0" w:color="auto"/>
            <w:bottom w:val="none" w:sz="0" w:space="0" w:color="auto"/>
            <w:right w:val="none" w:sz="0" w:space="0" w:color="auto"/>
          </w:divBdr>
        </w:div>
        <w:div w:id="743113851">
          <w:marLeft w:val="0"/>
          <w:marRight w:val="0"/>
          <w:marTop w:val="0"/>
          <w:marBottom w:val="0"/>
          <w:divBdr>
            <w:top w:val="none" w:sz="0" w:space="0" w:color="auto"/>
            <w:left w:val="none" w:sz="0" w:space="0" w:color="auto"/>
            <w:bottom w:val="none" w:sz="0" w:space="0" w:color="auto"/>
            <w:right w:val="none" w:sz="0" w:space="0" w:color="auto"/>
          </w:divBdr>
        </w:div>
        <w:div w:id="1043604517">
          <w:marLeft w:val="0"/>
          <w:marRight w:val="0"/>
          <w:marTop w:val="0"/>
          <w:marBottom w:val="0"/>
          <w:divBdr>
            <w:top w:val="none" w:sz="0" w:space="0" w:color="auto"/>
            <w:left w:val="none" w:sz="0" w:space="0" w:color="auto"/>
            <w:bottom w:val="none" w:sz="0" w:space="0" w:color="auto"/>
            <w:right w:val="none" w:sz="0" w:space="0" w:color="auto"/>
          </w:divBdr>
        </w:div>
      </w:divsChild>
    </w:div>
    <w:div w:id="1590117799">
      <w:bodyDiv w:val="1"/>
      <w:marLeft w:val="0"/>
      <w:marRight w:val="0"/>
      <w:marTop w:val="0"/>
      <w:marBottom w:val="0"/>
      <w:divBdr>
        <w:top w:val="none" w:sz="0" w:space="0" w:color="auto"/>
        <w:left w:val="none" w:sz="0" w:space="0" w:color="auto"/>
        <w:bottom w:val="none" w:sz="0" w:space="0" w:color="auto"/>
        <w:right w:val="none" w:sz="0" w:space="0" w:color="auto"/>
      </w:divBdr>
    </w:div>
    <w:div w:id="1590194459">
      <w:bodyDiv w:val="1"/>
      <w:marLeft w:val="0"/>
      <w:marRight w:val="0"/>
      <w:marTop w:val="0"/>
      <w:marBottom w:val="0"/>
      <w:divBdr>
        <w:top w:val="none" w:sz="0" w:space="0" w:color="auto"/>
        <w:left w:val="none" w:sz="0" w:space="0" w:color="auto"/>
        <w:bottom w:val="none" w:sz="0" w:space="0" w:color="auto"/>
        <w:right w:val="none" w:sz="0" w:space="0" w:color="auto"/>
      </w:divBdr>
    </w:div>
    <w:div w:id="1593271668">
      <w:bodyDiv w:val="1"/>
      <w:marLeft w:val="0"/>
      <w:marRight w:val="0"/>
      <w:marTop w:val="0"/>
      <w:marBottom w:val="0"/>
      <w:divBdr>
        <w:top w:val="none" w:sz="0" w:space="0" w:color="auto"/>
        <w:left w:val="none" w:sz="0" w:space="0" w:color="auto"/>
        <w:bottom w:val="none" w:sz="0" w:space="0" w:color="auto"/>
        <w:right w:val="none" w:sz="0" w:space="0" w:color="auto"/>
      </w:divBdr>
    </w:div>
    <w:div w:id="1596741641">
      <w:bodyDiv w:val="1"/>
      <w:marLeft w:val="0"/>
      <w:marRight w:val="0"/>
      <w:marTop w:val="0"/>
      <w:marBottom w:val="0"/>
      <w:divBdr>
        <w:top w:val="none" w:sz="0" w:space="0" w:color="auto"/>
        <w:left w:val="none" w:sz="0" w:space="0" w:color="auto"/>
        <w:bottom w:val="none" w:sz="0" w:space="0" w:color="auto"/>
        <w:right w:val="none" w:sz="0" w:space="0" w:color="auto"/>
      </w:divBdr>
    </w:div>
    <w:div w:id="1601794523">
      <w:bodyDiv w:val="1"/>
      <w:marLeft w:val="0"/>
      <w:marRight w:val="0"/>
      <w:marTop w:val="0"/>
      <w:marBottom w:val="0"/>
      <w:divBdr>
        <w:top w:val="none" w:sz="0" w:space="0" w:color="auto"/>
        <w:left w:val="none" w:sz="0" w:space="0" w:color="auto"/>
        <w:bottom w:val="none" w:sz="0" w:space="0" w:color="auto"/>
        <w:right w:val="none" w:sz="0" w:space="0" w:color="auto"/>
      </w:divBdr>
    </w:div>
    <w:div w:id="1604921495">
      <w:bodyDiv w:val="1"/>
      <w:marLeft w:val="0"/>
      <w:marRight w:val="0"/>
      <w:marTop w:val="0"/>
      <w:marBottom w:val="0"/>
      <w:divBdr>
        <w:top w:val="none" w:sz="0" w:space="0" w:color="auto"/>
        <w:left w:val="none" w:sz="0" w:space="0" w:color="auto"/>
        <w:bottom w:val="none" w:sz="0" w:space="0" w:color="auto"/>
        <w:right w:val="none" w:sz="0" w:space="0" w:color="auto"/>
      </w:divBdr>
    </w:div>
    <w:div w:id="1605265518">
      <w:bodyDiv w:val="1"/>
      <w:marLeft w:val="0"/>
      <w:marRight w:val="0"/>
      <w:marTop w:val="0"/>
      <w:marBottom w:val="0"/>
      <w:divBdr>
        <w:top w:val="none" w:sz="0" w:space="0" w:color="auto"/>
        <w:left w:val="none" w:sz="0" w:space="0" w:color="auto"/>
        <w:bottom w:val="none" w:sz="0" w:space="0" w:color="auto"/>
        <w:right w:val="none" w:sz="0" w:space="0" w:color="auto"/>
      </w:divBdr>
    </w:div>
    <w:div w:id="1609892036">
      <w:bodyDiv w:val="1"/>
      <w:marLeft w:val="0"/>
      <w:marRight w:val="0"/>
      <w:marTop w:val="0"/>
      <w:marBottom w:val="0"/>
      <w:divBdr>
        <w:top w:val="none" w:sz="0" w:space="0" w:color="auto"/>
        <w:left w:val="none" w:sz="0" w:space="0" w:color="auto"/>
        <w:bottom w:val="none" w:sz="0" w:space="0" w:color="auto"/>
        <w:right w:val="none" w:sz="0" w:space="0" w:color="auto"/>
      </w:divBdr>
    </w:div>
    <w:div w:id="1610115066">
      <w:bodyDiv w:val="1"/>
      <w:marLeft w:val="0"/>
      <w:marRight w:val="0"/>
      <w:marTop w:val="0"/>
      <w:marBottom w:val="0"/>
      <w:divBdr>
        <w:top w:val="none" w:sz="0" w:space="0" w:color="auto"/>
        <w:left w:val="none" w:sz="0" w:space="0" w:color="auto"/>
        <w:bottom w:val="none" w:sz="0" w:space="0" w:color="auto"/>
        <w:right w:val="none" w:sz="0" w:space="0" w:color="auto"/>
      </w:divBdr>
    </w:div>
    <w:div w:id="1616132606">
      <w:bodyDiv w:val="1"/>
      <w:marLeft w:val="0"/>
      <w:marRight w:val="0"/>
      <w:marTop w:val="0"/>
      <w:marBottom w:val="0"/>
      <w:divBdr>
        <w:top w:val="none" w:sz="0" w:space="0" w:color="auto"/>
        <w:left w:val="none" w:sz="0" w:space="0" w:color="auto"/>
        <w:bottom w:val="none" w:sz="0" w:space="0" w:color="auto"/>
        <w:right w:val="none" w:sz="0" w:space="0" w:color="auto"/>
      </w:divBdr>
    </w:div>
    <w:div w:id="1620794889">
      <w:bodyDiv w:val="1"/>
      <w:marLeft w:val="0"/>
      <w:marRight w:val="0"/>
      <w:marTop w:val="0"/>
      <w:marBottom w:val="0"/>
      <w:divBdr>
        <w:top w:val="none" w:sz="0" w:space="0" w:color="auto"/>
        <w:left w:val="none" w:sz="0" w:space="0" w:color="auto"/>
        <w:bottom w:val="none" w:sz="0" w:space="0" w:color="auto"/>
        <w:right w:val="none" w:sz="0" w:space="0" w:color="auto"/>
      </w:divBdr>
    </w:div>
    <w:div w:id="1623808808">
      <w:bodyDiv w:val="1"/>
      <w:marLeft w:val="0"/>
      <w:marRight w:val="0"/>
      <w:marTop w:val="0"/>
      <w:marBottom w:val="0"/>
      <w:divBdr>
        <w:top w:val="none" w:sz="0" w:space="0" w:color="auto"/>
        <w:left w:val="none" w:sz="0" w:space="0" w:color="auto"/>
        <w:bottom w:val="none" w:sz="0" w:space="0" w:color="auto"/>
        <w:right w:val="none" w:sz="0" w:space="0" w:color="auto"/>
      </w:divBdr>
    </w:div>
    <w:div w:id="1626889063">
      <w:bodyDiv w:val="1"/>
      <w:marLeft w:val="0"/>
      <w:marRight w:val="0"/>
      <w:marTop w:val="0"/>
      <w:marBottom w:val="0"/>
      <w:divBdr>
        <w:top w:val="none" w:sz="0" w:space="0" w:color="auto"/>
        <w:left w:val="none" w:sz="0" w:space="0" w:color="auto"/>
        <w:bottom w:val="none" w:sz="0" w:space="0" w:color="auto"/>
        <w:right w:val="none" w:sz="0" w:space="0" w:color="auto"/>
      </w:divBdr>
    </w:div>
    <w:div w:id="1627078252">
      <w:bodyDiv w:val="1"/>
      <w:marLeft w:val="0"/>
      <w:marRight w:val="0"/>
      <w:marTop w:val="0"/>
      <w:marBottom w:val="0"/>
      <w:divBdr>
        <w:top w:val="none" w:sz="0" w:space="0" w:color="auto"/>
        <w:left w:val="none" w:sz="0" w:space="0" w:color="auto"/>
        <w:bottom w:val="none" w:sz="0" w:space="0" w:color="auto"/>
        <w:right w:val="none" w:sz="0" w:space="0" w:color="auto"/>
      </w:divBdr>
    </w:div>
    <w:div w:id="1627200396">
      <w:bodyDiv w:val="1"/>
      <w:marLeft w:val="0"/>
      <w:marRight w:val="0"/>
      <w:marTop w:val="0"/>
      <w:marBottom w:val="0"/>
      <w:divBdr>
        <w:top w:val="none" w:sz="0" w:space="0" w:color="auto"/>
        <w:left w:val="none" w:sz="0" w:space="0" w:color="auto"/>
        <w:bottom w:val="none" w:sz="0" w:space="0" w:color="auto"/>
        <w:right w:val="none" w:sz="0" w:space="0" w:color="auto"/>
      </w:divBdr>
    </w:div>
    <w:div w:id="1632636805">
      <w:bodyDiv w:val="1"/>
      <w:marLeft w:val="0"/>
      <w:marRight w:val="0"/>
      <w:marTop w:val="0"/>
      <w:marBottom w:val="0"/>
      <w:divBdr>
        <w:top w:val="none" w:sz="0" w:space="0" w:color="auto"/>
        <w:left w:val="none" w:sz="0" w:space="0" w:color="auto"/>
        <w:bottom w:val="none" w:sz="0" w:space="0" w:color="auto"/>
        <w:right w:val="none" w:sz="0" w:space="0" w:color="auto"/>
      </w:divBdr>
    </w:div>
    <w:div w:id="1633635239">
      <w:bodyDiv w:val="1"/>
      <w:marLeft w:val="0"/>
      <w:marRight w:val="0"/>
      <w:marTop w:val="0"/>
      <w:marBottom w:val="0"/>
      <w:divBdr>
        <w:top w:val="none" w:sz="0" w:space="0" w:color="auto"/>
        <w:left w:val="none" w:sz="0" w:space="0" w:color="auto"/>
        <w:bottom w:val="none" w:sz="0" w:space="0" w:color="auto"/>
        <w:right w:val="none" w:sz="0" w:space="0" w:color="auto"/>
      </w:divBdr>
      <w:divsChild>
        <w:div w:id="75135021">
          <w:marLeft w:val="0"/>
          <w:marRight w:val="0"/>
          <w:marTop w:val="0"/>
          <w:marBottom w:val="0"/>
          <w:divBdr>
            <w:top w:val="none" w:sz="0" w:space="0" w:color="auto"/>
            <w:left w:val="none" w:sz="0" w:space="0" w:color="auto"/>
            <w:bottom w:val="none" w:sz="0" w:space="0" w:color="auto"/>
            <w:right w:val="none" w:sz="0" w:space="0" w:color="auto"/>
          </w:divBdr>
        </w:div>
        <w:div w:id="254945420">
          <w:marLeft w:val="0"/>
          <w:marRight w:val="0"/>
          <w:marTop w:val="0"/>
          <w:marBottom w:val="0"/>
          <w:divBdr>
            <w:top w:val="none" w:sz="0" w:space="0" w:color="auto"/>
            <w:left w:val="none" w:sz="0" w:space="0" w:color="auto"/>
            <w:bottom w:val="none" w:sz="0" w:space="0" w:color="auto"/>
            <w:right w:val="none" w:sz="0" w:space="0" w:color="auto"/>
          </w:divBdr>
        </w:div>
        <w:div w:id="467169599">
          <w:marLeft w:val="0"/>
          <w:marRight w:val="0"/>
          <w:marTop w:val="0"/>
          <w:marBottom w:val="0"/>
          <w:divBdr>
            <w:top w:val="none" w:sz="0" w:space="0" w:color="auto"/>
            <w:left w:val="none" w:sz="0" w:space="0" w:color="auto"/>
            <w:bottom w:val="none" w:sz="0" w:space="0" w:color="auto"/>
            <w:right w:val="none" w:sz="0" w:space="0" w:color="auto"/>
          </w:divBdr>
        </w:div>
        <w:div w:id="712533492">
          <w:marLeft w:val="0"/>
          <w:marRight w:val="0"/>
          <w:marTop w:val="0"/>
          <w:marBottom w:val="0"/>
          <w:divBdr>
            <w:top w:val="none" w:sz="0" w:space="0" w:color="auto"/>
            <w:left w:val="none" w:sz="0" w:space="0" w:color="auto"/>
            <w:bottom w:val="none" w:sz="0" w:space="0" w:color="auto"/>
            <w:right w:val="none" w:sz="0" w:space="0" w:color="auto"/>
          </w:divBdr>
        </w:div>
        <w:div w:id="722678962">
          <w:marLeft w:val="0"/>
          <w:marRight w:val="0"/>
          <w:marTop w:val="0"/>
          <w:marBottom w:val="0"/>
          <w:divBdr>
            <w:top w:val="none" w:sz="0" w:space="0" w:color="auto"/>
            <w:left w:val="none" w:sz="0" w:space="0" w:color="auto"/>
            <w:bottom w:val="none" w:sz="0" w:space="0" w:color="auto"/>
            <w:right w:val="none" w:sz="0" w:space="0" w:color="auto"/>
          </w:divBdr>
        </w:div>
        <w:div w:id="752551648">
          <w:marLeft w:val="0"/>
          <w:marRight w:val="0"/>
          <w:marTop w:val="0"/>
          <w:marBottom w:val="0"/>
          <w:divBdr>
            <w:top w:val="none" w:sz="0" w:space="0" w:color="auto"/>
            <w:left w:val="none" w:sz="0" w:space="0" w:color="auto"/>
            <w:bottom w:val="none" w:sz="0" w:space="0" w:color="auto"/>
            <w:right w:val="none" w:sz="0" w:space="0" w:color="auto"/>
          </w:divBdr>
        </w:div>
        <w:div w:id="1362974699">
          <w:marLeft w:val="0"/>
          <w:marRight w:val="0"/>
          <w:marTop w:val="0"/>
          <w:marBottom w:val="0"/>
          <w:divBdr>
            <w:top w:val="none" w:sz="0" w:space="0" w:color="auto"/>
            <w:left w:val="none" w:sz="0" w:space="0" w:color="auto"/>
            <w:bottom w:val="none" w:sz="0" w:space="0" w:color="auto"/>
            <w:right w:val="none" w:sz="0" w:space="0" w:color="auto"/>
          </w:divBdr>
        </w:div>
        <w:div w:id="2117213056">
          <w:marLeft w:val="0"/>
          <w:marRight w:val="0"/>
          <w:marTop w:val="0"/>
          <w:marBottom w:val="0"/>
          <w:divBdr>
            <w:top w:val="none" w:sz="0" w:space="0" w:color="auto"/>
            <w:left w:val="none" w:sz="0" w:space="0" w:color="auto"/>
            <w:bottom w:val="none" w:sz="0" w:space="0" w:color="auto"/>
            <w:right w:val="none" w:sz="0" w:space="0" w:color="auto"/>
          </w:divBdr>
        </w:div>
      </w:divsChild>
    </w:div>
    <w:div w:id="1635863195">
      <w:bodyDiv w:val="1"/>
      <w:marLeft w:val="0"/>
      <w:marRight w:val="0"/>
      <w:marTop w:val="0"/>
      <w:marBottom w:val="0"/>
      <w:divBdr>
        <w:top w:val="none" w:sz="0" w:space="0" w:color="auto"/>
        <w:left w:val="none" w:sz="0" w:space="0" w:color="auto"/>
        <w:bottom w:val="none" w:sz="0" w:space="0" w:color="auto"/>
        <w:right w:val="none" w:sz="0" w:space="0" w:color="auto"/>
      </w:divBdr>
    </w:div>
    <w:div w:id="1640263656">
      <w:bodyDiv w:val="1"/>
      <w:marLeft w:val="0"/>
      <w:marRight w:val="0"/>
      <w:marTop w:val="0"/>
      <w:marBottom w:val="0"/>
      <w:divBdr>
        <w:top w:val="none" w:sz="0" w:space="0" w:color="auto"/>
        <w:left w:val="none" w:sz="0" w:space="0" w:color="auto"/>
        <w:bottom w:val="none" w:sz="0" w:space="0" w:color="auto"/>
        <w:right w:val="none" w:sz="0" w:space="0" w:color="auto"/>
      </w:divBdr>
    </w:div>
    <w:div w:id="1641763829">
      <w:bodyDiv w:val="1"/>
      <w:marLeft w:val="0"/>
      <w:marRight w:val="0"/>
      <w:marTop w:val="0"/>
      <w:marBottom w:val="0"/>
      <w:divBdr>
        <w:top w:val="none" w:sz="0" w:space="0" w:color="auto"/>
        <w:left w:val="none" w:sz="0" w:space="0" w:color="auto"/>
        <w:bottom w:val="none" w:sz="0" w:space="0" w:color="auto"/>
        <w:right w:val="none" w:sz="0" w:space="0" w:color="auto"/>
      </w:divBdr>
    </w:div>
    <w:div w:id="1644894221">
      <w:bodyDiv w:val="1"/>
      <w:marLeft w:val="0"/>
      <w:marRight w:val="0"/>
      <w:marTop w:val="0"/>
      <w:marBottom w:val="0"/>
      <w:divBdr>
        <w:top w:val="none" w:sz="0" w:space="0" w:color="auto"/>
        <w:left w:val="none" w:sz="0" w:space="0" w:color="auto"/>
        <w:bottom w:val="none" w:sz="0" w:space="0" w:color="auto"/>
        <w:right w:val="none" w:sz="0" w:space="0" w:color="auto"/>
      </w:divBdr>
    </w:div>
    <w:div w:id="1644965736">
      <w:bodyDiv w:val="1"/>
      <w:marLeft w:val="0"/>
      <w:marRight w:val="0"/>
      <w:marTop w:val="0"/>
      <w:marBottom w:val="0"/>
      <w:divBdr>
        <w:top w:val="none" w:sz="0" w:space="0" w:color="auto"/>
        <w:left w:val="none" w:sz="0" w:space="0" w:color="auto"/>
        <w:bottom w:val="none" w:sz="0" w:space="0" w:color="auto"/>
        <w:right w:val="none" w:sz="0" w:space="0" w:color="auto"/>
      </w:divBdr>
    </w:div>
    <w:div w:id="1648629611">
      <w:bodyDiv w:val="1"/>
      <w:marLeft w:val="0"/>
      <w:marRight w:val="0"/>
      <w:marTop w:val="0"/>
      <w:marBottom w:val="0"/>
      <w:divBdr>
        <w:top w:val="none" w:sz="0" w:space="0" w:color="auto"/>
        <w:left w:val="none" w:sz="0" w:space="0" w:color="auto"/>
        <w:bottom w:val="none" w:sz="0" w:space="0" w:color="auto"/>
        <w:right w:val="none" w:sz="0" w:space="0" w:color="auto"/>
      </w:divBdr>
    </w:div>
    <w:div w:id="1652520515">
      <w:bodyDiv w:val="1"/>
      <w:marLeft w:val="0"/>
      <w:marRight w:val="0"/>
      <w:marTop w:val="0"/>
      <w:marBottom w:val="0"/>
      <w:divBdr>
        <w:top w:val="none" w:sz="0" w:space="0" w:color="auto"/>
        <w:left w:val="none" w:sz="0" w:space="0" w:color="auto"/>
        <w:bottom w:val="none" w:sz="0" w:space="0" w:color="auto"/>
        <w:right w:val="none" w:sz="0" w:space="0" w:color="auto"/>
      </w:divBdr>
    </w:div>
    <w:div w:id="1656106810">
      <w:bodyDiv w:val="1"/>
      <w:marLeft w:val="0"/>
      <w:marRight w:val="0"/>
      <w:marTop w:val="0"/>
      <w:marBottom w:val="0"/>
      <w:divBdr>
        <w:top w:val="none" w:sz="0" w:space="0" w:color="auto"/>
        <w:left w:val="none" w:sz="0" w:space="0" w:color="auto"/>
        <w:bottom w:val="none" w:sz="0" w:space="0" w:color="auto"/>
        <w:right w:val="none" w:sz="0" w:space="0" w:color="auto"/>
      </w:divBdr>
    </w:div>
    <w:div w:id="1662001858">
      <w:bodyDiv w:val="1"/>
      <w:marLeft w:val="0"/>
      <w:marRight w:val="0"/>
      <w:marTop w:val="0"/>
      <w:marBottom w:val="0"/>
      <w:divBdr>
        <w:top w:val="none" w:sz="0" w:space="0" w:color="auto"/>
        <w:left w:val="none" w:sz="0" w:space="0" w:color="auto"/>
        <w:bottom w:val="none" w:sz="0" w:space="0" w:color="auto"/>
        <w:right w:val="none" w:sz="0" w:space="0" w:color="auto"/>
      </w:divBdr>
    </w:div>
    <w:div w:id="1663697122">
      <w:bodyDiv w:val="1"/>
      <w:marLeft w:val="0"/>
      <w:marRight w:val="0"/>
      <w:marTop w:val="0"/>
      <w:marBottom w:val="0"/>
      <w:divBdr>
        <w:top w:val="none" w:sz="0" w:space="0" w:color="auto"/>
        <w:left w:val="none" w:sz="0" w:space="0" w:color="auto"/>
        <w:bottom w:val="none" w:sz="0" w:space="0" w:color="auto"/>
        <w:right w:val="none" w:sz="0" w:space="0" w:color="auto"/>
      </w:divBdr>
    </w:div>
    <w:div w:id="1669283537">
      <w:bodyDiv w:val="1"/>
      <w:marLeft w:val="0"/>
      <w:marRight w:val="0"/>
      <w:marTop w:val="0"/>
      <w:marBottom w:val="0"/>
      <w:divBdr>
        <w:top w:val="none" w:sz="0" w:space="0" w:color="auto"/>
        <w:left w:val="none" w:sz="0" w:space="0" w:color="auto"/>
        <w:bottom w:val="none" w:sz="0" w:space="0" w:color="auto"/>
        <w:right w:val="none" w:sz="0" w:space="0" w:color="auto"/>
      </w:divBdr>
    </w:div>
    <w:div w:id="1669937786">
      <w:bodyDiv w:val="1"/>
      <w:marLeft w:val="0"/>
      <w:marRight w:val="0"/>
      <w:marTop w:val="0"/>
      <w:marBottom w:val="0"/>
      <w:divBdr>
        <w:top w:val="none" w:sz="0" w:space="0" w:color="auto"/>
        <w:left w:val="none" w:sz="0" w:space="0" w:color="auto"/>
        <w:bottom w:val="none" w:sz="0" w:space="0" w:color="auto"/>
        <w:right w:val="none" w:sz="0" w:space="0" w:color="auto"/>
      </w:divBdr>
    </w:div>
    <w:div w:id="1676030431">
      <w:bodyDiv w:val="1"/>
      <w:marLeft w:val="0"/>
      <w:marRight w:val="0"/>
      <w:marTop w:val="0"/>
      <w:marBottom w:val="0"/>
      <w:divBdr>
        <w:top w:val="none" w:sz="0" w:space="0" w:color="auto"/>
        <w:left w:val="none" w:sz="0" w:space="0" w:color="auto"/>
        <w:bottom w:val="none" w:sz="0" w:space="0" w:color="auto"/>
        <w:right w:val="none" w:sz="0" w:space="0" w:color="auto"/>
      </w:divBdr>
      <w:divsChild>
        <w:div w:id="2015181585">
          <w:marLeft w:val="0"/>
          <w:marRight w:val="0"/>
          <w:marTop w:val="0"/>
          <w:marBottom w:val="0"/>
          <w:divBdr>
            <w:top w:val="none" w:sz="0" w:space="0" w:color="auto"/>
            <w:left w:val="none" w:sz="0" w:space="0" w:color="auto"/>
            <w:bottom w:val="none" w:sz="0" w:space="0" w:color="auto"/>
            <w:right w:val="none" w:sz="0" w:space="0" w:color="auto"/>
          </w:divBdr>
        </w:div>
      </w:divsChild>
    </w:div>
    <w:div w:id="1678312714">
      <w:bodyDiv w:val="1"/>
      <w:marLeft w:val="0"/>
      <w:marRight w:val="0"/>
      <w:marTop w:val="0"/>
      <w:marBottom w:val="0"/>
      <w:divBdr>
        <w:top w:val="none" w:sz="0" w:space="0" w:color="auto"/>
        <w:left w:val="none" w:sz="0" w:space="0" w:color="auto"/>
        <w:bottom w:val="none" w:sz="0" w:space="0" w:color="auto"/>
        <w:right w:val="none" w:sz="0" w:space="0" w:color="auto"/>
      </w:divBdr>
      <w:divsChild>
        <w:div w:id="291060753">
          <w:marLeft w:val="547"/>
          <w:marRight w:val="0"/>
          <w:marTop w:val="0"/>
          <w:marBottom w:val="0"/>
          <w:divBdr>
            <w:top w:val="none" w:sz="0" w:space="0" w:color="auto"/>
            <w:left w:val="none" w:sz="0" w:space="0" w:color="auto"/>
            <w:bottom w:val="none" w:sz="0" w:space="0" w:color="auto"/>
            <w:right w:val="none" w:sz="0" w:space="0" w:color="auto"/>
          </w:divBdr>
        </w:div>
      </w:divsChild>
    </w:div>
    <w:div w:id="1681815155">
      <w:bodyDiv w:val="1"/>
      <w:marLeft w:val="0"/>
      <w:marRight w:val="0"/>
      <w:marTop w:val="0"/>
      <w:marBottom w:val="0"/>
      <w:divBdr>
        <w:top w:val="none" w:sz="0" w:space="0" w:color="auto"/>
        <w:left w:val="none" w:sz="0" w:space="0" w:color="auto"/>
        <w:bottom w:val="none" w:sz="0" w:space="0" w:color="auto"/>
        <w:right w:val="none" w:sz="0" w:space="0" w:color="auto"/>
      </w:divBdr>
    </w:div>
    <w:div w:id="1683124829">
      <w:bodyDiv w:val="1"/>
      <w:marLeft w:val="0"/>
      <w:marRight w:val="0"/>
      <w:marTop w:val="0"/>
      <w:marBottom w:val="0"/>
      <w:divBdr>
        <w:top w:val="none" w:sz="0" w:space="0" w:color="auto"/>
        <w:left w:val="none" w:sz="0" w:space="0" w:color="auto"/>
        <w:bottom w:val="none" w:sz="0" w:space="0" w:color="auto"/>
        <w:right w:val="none" w:sz="0" w:space="0" w:color="auto"/>
      </w:divBdr>
      <w:divsChild>
        <w:div w:id="440497932">
          <w:marLeft w:val="547"/>
          <w:marRight w:val="0"/>
          <w:marTop w:val="0"/>
          <w:marBottom w:val="0"/>
          <w:divBdr>
            <w:top w:val="none" w:sz="0" w:space="0" w:color="auto"/>
            <w:left w:val="none" w:sz="0" w:space="0" w:color="auto"/>
            <w:bottom w:val="none" w:sz="0" w:space="0" w:color="auto"/>
            <w:right w:val="none" w:sz="0" w:space="0" w:color="auto"/>
          </w:divBdr>
        </w:div>
        <w:div w:id="604657469">
          <w:marLeft w:val="547"/>
          <w:marRight w:val="0"/>
          <w:marTop w:val="0"/>
          <w:marBottom w:val="0"/>
          <w:divBdr>
            <w:top w:val="none" w:sz="0" w:space="0" w:color="auto"/>
            <w:left w:val="none" w:sz="0" w:space="0" w:color="auto"/>
            <w:bottom w:val="none" w:sz="0" w:space="0" w:color="auto"/>
            <w:right w:val="none" w:sz="0" w:space="0" w:color="auto"/>
          </w:divBdr>
        </w:div>
        <w:div w:id="996961580">
          <w:marLeft w:val="547"/>
          <w:marRight w:val="0"/>
          <w:marTop w:val="0"/>
          <w:marBottom w:val="0"/>
          <w:divBdr>
            <w:top w:val="none" w:sz="0" w:space="0" w:color="auto"/>
            <w:left w:val="none" w:sz="0" w:space="0" w:color="auto"/>
            <w:bottom w:val="none" w:sz="0" w:space="0" w:color="auto"/>
            <w:right w:val="none" w:sz="0" w:space="0" w:color="auto"/>
          </w:divBdr>
        </w:div>
        <w:div w:id="1478644257">
          <w:marLeft w:val="547"/>
          <w:marRight w:val="0"/>
          <w:marTop w:val="0"/>
          <w:marBottom w:val="0"/>
          <w:divBdr>
            <w:top w:val="none" w:sz="0" w:space="0" w:color="auto"/>
            <w:left w:val="none" w:sz="0" w:space="0" w:color="auto"/>
            <w:bottom w:val="none" w:sz="0" w:space="0" w:color="auto"/>
            <w:right w:val="none" w:sz="0" w:space="0" w:color="auto"/>
          </w:divBdr>
        </w:div>
      </w:divsChild>
    </w:div>
    <w:div w:id="1685743022">
      <w:bodyDiv w:val="1"/>
      <w:marLeft w:val="0"/>
      <w:marRight w:val="0"/>
      <w:marTop w:val="0"/>
      <w:marBottom w:val="0"/>
      <w:divBdr>
        <w:top w:val="none" w:sz="0" w:space="0" w:color="auto"/>
        <w:left w:val="none" w:sz="0" w:space="0" w:color="auto"/>
        <w:bottom w:val="none" w:sz="0" w:space="0" w:color="auto"/>
        <w:right w:val="none" w:sz="0" w:space="0" w:color="auto"/>
      </w:divBdr>
    </w:div>
    <w:div w:id="1687367712">
      <w:bodyDiv w:val="1"/>
      <w:marLeft w:val="0"/>
      <w:marRight w:val="0"/>
      <w:marTop w:val="0"/>
      <w:marBottom w:val="0"/>
      <w:divBdr>
        <w:top w:val="none" w:sz="0" w:space="0" w:color="auto"/>
        <w:left w:val="none" w:sz="0" w:space="0" w:color="auto"/>
        <w:bottom w:val="none" w:sz="0" w:space="0" w:color="auto"/>
        <w:right w:val="none" w:sz="0" w:space="0" w:color="auto"/>
      </w:divBdr>
      <w:divsChild>
        <w:div w:id="174808134">
          <w:marLeft w:val="0"/>
          <w:marRight w:val="0"/>
          <w:marTop w:val="0"/>
          <w:marBottom w:val="225"/>
          <w:divBdr>
            <w:top w:val="none" w:sz="0" w:space="0" w:color="auto"/>
            <w:left w:val="none" w:sz="0" w:space="0" w:color="auto"/>
            <w:bottom w:val="none" w:sz="0" w:space="0" w:color="auto"/>
            <w:right w:val="none" w:sz="0" w:space="0" w:color="auto"/>
          </w:divBdr>
        </w:div>
        <w:div w:id="235362056">
          <w:marLeft w:val="0"/>
          <w:marRight w:val="0"/>
          <w:marTop w:val="0"/>
          <w:marBottom w:val="225"/>
          <w:divBdr>
            <w:top w:val="none" w:sz="0" w:space="0" w:color="auto"/>
            <w:left w:val="none" w:sz="0" w:space="0" w:color="auto"/>
            <w:bottom w:val="none" w:sz="0" w:space="0" w:color="auto"/>
            <w:right w:val="none" w:sz="0" w:space="0" w:color="auto"/>
          </w:divBdr>
        </w:div>
      </w:divsChild>
    </w:div>
    <w:div w:id="1705012937">
      <w:bodyDiv w:val="1"/>
      <w:marLeft w:val="0"/>
      <w:marRight w:val="0"/>
      <w:marTop w:val="0"/>
      <w:marBottom w:val="0"/>
      <w:divBdr>
        <w:top w:val="none" w:sz="0" w:space="0" w:color="auto"/>
        <w:left w:val="none" w:sz="0" w:space="0" w:color="auto"/>
        <w:bottom w:val="none" w:sz="0" w:space="0" w:color="auto"/>
        <w:right w:val="none" w:sz="0" w:space="0" w:color="auto"/>
      </w:divBdr>
    </w:div>
    <w:div w:id="1708333765">
      <w:bodyDiv w:val="1"/>
      <w:marLeft w:val="0"/>
      <w:marRight w:val="0"/>
      <w:marTop w:val="0"/>
      <w:marBottom w:val="0"/>
      <w:divBdr>
        <w:top w:val="none" w:sz="0" w:space="0" w:color="auto"/>
        <w:left w:val="none" w:sz="0" w:space="0" w:color="auto"/>
        <w:bottom w:val="none" w:sz="0" w:space="0" w:color="auto"/>
        <w:right w:val="none" w:sz="0" w:space="0" w:color="auto"/>
      </w:divBdr>
      <w:divsChild>
        <w:div w:id="121506407">
          <w:marLeft w:val="0"/>
          <w:marRight w:val="0"/>
          <w:marTop w:val="0"/>
          <w:marBottom w:val="225"/>
          <w:divBdr>
            <w:top w:val="none" w:sz="0" w:space="0" w:color="auto"/>
            <w:left w:val="none" w:sz="0" w:space="0" w:color="auto"/>
            <w:bottom w:val="none" w:sz="0" w:space="0" w:color="auto"/>
            <w:right w:val="none" w:sz="0" w:space="0" w:color="auto"/>
          </w:divBdr>
        </w:div>
        <w:div w:id="676732659">
          <w:marLeft w:val="0"/>
          <w:marRight w:val="0"/>
          <w:marTop w:val="0"/>
          <w:marBottom w:val="225"/>
          <w:divBdr>
            <w:top w:val="none" w:sz="0" w:space="0" w:color="auto"/>
            <w:left w:val="none" w:sz="0" w:space="0" w:color="auto"/>
            <w:bottom w:val="none" w:sz="0" w:space="0" w:color="auto"/>
            <w:right w:val="none" w:sz="0" w:space="0" w:color="auto"/>
          </w:divBdr>
        </w:div>
      </w:divsChild>
    </w:div>
    <w:div w:id="1709455722">
      <w:bodyDiv w:val="1"/>
      <w:marLeft w:val="0"/>
      <w:marRight w:val="0"/>
      <w:marTop w:val="0"/>
      <w:marBottom w:val="0"/>
      <w:divBdr>
        <w:top w:val="none" w:sz="0" w:space="0" w:color="auto"/>
        <w:left w:val="none" w:sz="0" w:space="0" w:color="auto"/>
        <w:bottom w:val="none" w:sz="0" w:space="0" w:color="auto"/>
        <w:right w:val="none" w:sz="0" w:space="0" w:color="auto"/>
      </w:divBdr>
      <w:divsChild>
        <w:div w:id="156653910">
          <w:marLeft w:val="0"/>
          <w:marRight w:val="0"/>
          <w:marTop w:val="0"/>
          <w:marBottom w:val="0"/>
          <w:divBdr>
            <w:top w:val="none" w:sz="0" w:space="0" w:color="auto"/>
            <w:left w:val="none" w:sz="0" w:space="0" w:color="auto"/>
            <w:bottom w:val="none" w:sz="0" w:space="0" w:color="auto"/>
            <w:right w:val="none" w:sz="0" w:space="0" w:color="auto"/>
          </w:divBdr>
        </w:div>
      </w:divsChild>
    </w:div>
    <w:div w:id="1713848948">
      <w:bodyDiv w:val="1"/>
      <w:marLeft w:val="0"/>
      <w:marRight w:val="0"/>
      <w:marTop w:val="0"/>
      <w:marBottom w:val="0"/>
      <w:divBdr>
        <w:top w:val="none" w:sz="0" w:space="0" w:color="auto"/>
        <w:left w:val="none" w:sz="0" w:space="0" w:color="auto"/>
        <w:bottom w:val="none" w:sz="0" w:space="0" w:color="auto"/>
        <w:right w:val="none" w:sz="0" w:space="0" w:color="auto"/>
      </w:divBdr>
    </w:div>
    <w:div w:id="1716082782">
      <w:bodyDiv w:val="1"/>
      <w:marLeft w:val="0"/>
      <w:marRight w:val="0"/>
      <w:marTop w:val="0"/>
      <w:marBottom w:val="0"/>
      <w:divBdr>
        <w:top w:val="none" w:sz="0" w:space="0" w:color="auto"/>
        <w:left w:val="none" w:sz="0" w:space="0" w:color="auto"/>
        <w:bottom w:val="none" w:sz="0" w:space="0" w:color="auto"/>
        <w:right w:val="none" w:sz="0" w:space="0" w:color="auto"/>
      </w:divBdr>
    </w:div>
    <w:div w:id="1719277101">
      <w:bodyDiv w:val="1"/>
      <w:marLeft w:val="0"/>
      <w:marRight w:val="0"/>
      <w:marTop w:val="0"/>
      <w:marBottom w:val="0"/>
      <w:divBdr>
        <w:top w:val="none" w:sz="0" w:space="0" w:color="auto"/>
        <w:left w:val="none" w:sz="0" w:space="0" w:color="auto"/>
        <w:bottom w:val="none" w:sz="0" w:space="0" w:color="auto"/>
        <w:right w:val="none" w:sz="0" w:space="0" w:color="auto"/>
      </w:divBdr>
    </w:div>
    <w:div w:id="1723096963">
      <w:bodyDiv w:val="1"/>
      <w:marLeft w:val="0"/>
      <w:marRight w:val="0"/>
      <w:marTop w:val="0"/>
      <w:marBottom w:val="0"/>
      <w:divBdr>
        <w:top w:val="none" w:sz="0" w:space="0" w:color="auto"/>
        <w:left w:val="none" w:sz="0" w:space="0" w:color="auto"/>
        <w:bottom w:val="none" w:sz="0" w:space="0" w:color="auto"/>
        <w:right w:val="none" w:sz="0" w:space="0" w:color="auto"/>
      </w:divBdr>
      <w:divsChild>
        <w:div w:id="1348142790">
          <w:marLeft w:val="0"/>
          <w:marRight w:val="0"/>
          <w:marTop w:val="0"/>
          <w:marBottom w:val="0"/>
          <w:divBdr>
            <w:top w:val="none" w:sz="0" w:space="0" w:color="auto"/>
            <w:left w:val="none" w:sz="0" w:space="0" w:color="auto"/>
            <w:bottom w:val="none" w:sz="0" w:space="0" w:color="auto"/>
            <w:right w:val="none" w:sz="0" w:space="0" w:color="auto"/>
          </w:divBdr>
        </w:div>
      </w:divsChild>
    </w:div>
    <w:div w:id="1729180476">
      <w:bodyDiv w:val="1"/>
      <w:marLeft w:val="0"/>
      <w:marRight w:val="0"/>
      <w:marTop w:val="0"/>
      <w:marBottom w:val="0"/>
      <w:divBdr>
        <w:top w:val="none" w:sz="0" w:space="0" w:color="auto"/>
        <w:left w:val="none" w:sz="0" w:space="0" w:color="auto"/>
        <w:bottom w:val="none" w:sz="0" w:space="0" w:color="auto"/>
        <w:right w:val="none" w:sz="0" w:space="0" w:color="auto"/>
      </w:divBdr>
    </w:div>
    <w:div w:id="1736589080">
      <w:bodyDiv w:val="1"/>
      <w:marLeft w:val="0"/>
      <w:marRight w:val="0"/>
      <w:marTop w:val="0"/>
      <w:marBottom w:val="0"/>
      <w:divBdr>
        <w:top w:val="none" w:sz="0" w:space="0" w:color="auto"/>
        <w:left w:val="none" w:sz="0" w:space="0" w:color="auto"/>
        <w:bottom w:val="none" w:sz="0" w:space="0" w:color="auto"/>
        <w:right w:val="none" w:sz="0" w:space="0" w:color="auto"/>
      </w:divBdr>
      <w:divsChild>
        <w:div w:id="559247010">
          <w:marLeft w:val="547"/>
          <w:marRight w:val="0"/>
          <w:marTop w:val="0"/>
          <w:marBottom w:val="0"/>
          <w:divBdr>
            <w:top w:val="none" w:sz="0" w:space="0" w:color="auto"/>
            <w:left w:val="none" w:sz="0" w:space="0" w:color="auto"/>
            <w:bottom w:val="none" w:sz="0" w:space="0" w:color="auto"/>
            <w:right w:val="none" w:sz="0" w:space="0" w:color="auto"/>
          </w:divBdr>
        </w:div>
      </w:divsChild>
    </w:div>
    <w:div w:id="1740324135">
      <w:bodyDiv w:val="1"/>
      <w:marLeft w:val="0"/>
      <w:marRight w:val="0"/>
      <w:marTop w:val="0"/>
      <w:marBottom w:val="0"/>
      <w:divBdr>
        <w:top w:val="none" w:sz="0" w:space="0" w:color="auto"/>
        <w:left w:val="none" w:sz="0" w:space="0" w:color="auto"/>
        <w:bottom w:val="none" w:sz="0" w:space="0" w:color="auto"/>
        <w:right w:val="none" w:sz="0" w:space="0" w:color="auto"/>
      </w:divBdr>
    </w:div>
    <w:div w:id="1746027230">
      <w:bodyDiv w:val="1"/>
      <w:marLeft w:val="0"/>
      <w:marRight w:val="0"/>
      <w:marTop w:val="0"/>
      <w:marBottom w:val="0"/>
      <w:divBdr>
        <w:top w:val="none" w:sz="0" w:space="0" w:color="auto"/>
        <w:left w:val="none" w:sz="0" w:space="0" w:color="auto"/>
        <w:bottom w:val="none" w:sz="0" w:space="0" w:color="auto"/>
        <w:right w:val="none" w:sz="0" w:space="0" w:color="auto"/>
      </w:divBdr>
    </w:div>
    <w:div w:id="1752770304">
      <w:bodyDiv w:val="1"/>
      <w:marLeft w:val="0"/>
      <w:marRight w:val="0"/>
      <w:marTop w:val="0"/>
      <w:marBottom w:val="0"/>
      <w:divBdr>
        <w:top w:val="none" w:sz="0" w:space="0" w:color="auto"/>
        <w:left w:val="none" w:sz="0" w:space="0" w:color="auto"/>
        <w:bottom w:val="none" w:sz="0" w:space="0" w:color="auto"/>
        <w:right w:val="none" w:sz="0" w:space="0" w:color="auto"/>
      </w:divBdr>
    </w:div>
    <w:div w:id="1764648321">
      <w:bodyDiv w:val="1"/>
      <w:marLeft w:val="0"/>
      <w:marRight w:val="0"/>
      <w:marTop w:val="0"/>
      <w:marBottom w:val="0"/>
      <w:divBdr>
        <w:top w:val="none" w:sz="0" w:space="0" w:color="auto"/>
        <w:left w:val="none" w:sz="0" w:space="0" w:color="auto"/>
        <w:bottom w:val="none" w:sz="0" w:space="0" w:color="auto"/>
        <w:right w:val="none" w:sz="0" w:space="0" w:color="auto"/>
      </w:divBdr>
    </w:div>
    <w:div w:id="1765299124">
      <w:bodyDiv w:val="1"/>
      <w:marLeft w:val="0"/>
      <w:marRight w:val="0"/>
      <w:marTop w:val="0"/>
      <w:marBottom w:val="0"/>
      <w:divBdr>
        <w:top w:val="none" w:sz="0" w:space="0" w:color="auto"/>
        <w:left w:val="none" w:sz="0" w:space="0" w:color="auto"/>
        <w:bottom w:val="none" w:sz="0" w:space="0" w:color="auto"/>
        <w:right w:val="none" w:sz="0" w:space="0" w:color="auto"/>
      </w:divBdr>
    </w:div>
    <w:div w:id="1766152336">
      <w:bodyDiv w:val="1"/>
      <w:marLeft w:val="0"/>
      <w:marRight w:val="0"/>
      <w:marTop w:val="0"/>
      <w:marBottom w:val="0"/>
      <w:divBdr>
        <w:top w:val="none" w:sz="0" w:space="0" w:color="auto"/>
        <w:left w:val="none" w:sz="0" w:space="0" w:color="auto"/>
        <w:bottom w:val="none" w:sz="0" w:space="0" w:color="auto"/>
        <w:right w:val="none" w:sz="0" w:space="0" w:color="auto"/>
      </w:divBdr>
    </w:div>
    <w:div w:id="1770203038">
      <w:bodyDiv w:val="1"/>
      <w:marLeft w:val="0"/>
      <w:marRight w:val="0"/>
      <w:marTop w:val="0"/>
      <w:marBottom w:val="0"/>
      <w:divBdr>
        <w:top w:val="none" w:sz="0" w:space="0" w:color="auto"/>
        <w:left w:val="none" w:sz="0" w:space="0" w:color="auto"/>
        <w:bottom w:val="none" w:sz="0" w:space="0" w:color="auto"/>
        <w:right w:val="none" w:sz="0" w:space="0" w:color="auto"/>
      </w:divBdr>
    </w:div>
    <w:div w:id="1782605030">
      <w:bodyDiv w:val="1"/>
      <w:marLeft w:val="0"/>
      <w:marRight w:val="0"/>
      <w:marTop w:val="0"/>
      <w:marBottom w:val="0"/>
      <w:divBdr>
        <w:top w:val="none" w:sz="0" w:space="0" w:color="auto"/>
        <w:left w:val="none" w:sz="0" w:space="0" w:color="auto"/>
        <w:bottom w:val="none" w:sz="0" w:space="0" w:color="auto"/>
        <w:right w:val="none" w:sz="0" w:space="0" w:color="auto"/>
      </w:divBdr>
      <w:divsChild>
        <w:div w:id="720058321">
          <w:marLeft w:val="0"/>
          <w:marRight w:val="0"/>
          <w:marTop w:val="0"/>
          <w:marBottom w:val="0"/>
          <w:divBdr>
            <w:top w:val="none" w:sz="0" w:space="0" w:color="auto"/>
            <w:left w:val="none" w:sz="0" w:space="0" w:color="auto"/>
            <w:bottom w:val="none" w:sz="0" w:space="0" w:color="auto"/>
            <w:right w:val="none" w:sz="0" w:space="0" w:color="auto"/>
          </w:divBdr>
        </w:div>
      </w:divsChild>
    </w:div>
    <w:div w:id="1786848437">
      <w:bodyDiv w:val="1"/>
      <w:marLeft w:val="0"/>
      <w:marRight w:val="0"/>
      <w:marTop w:val="0"/>
      <w:marBottom w:val="0"/>
      <w:divBdr>
        <w:top w:val="none" w:sz="0" w:space="0" w:color="auto"/>
        <w:left w:val="none" w:sz="0" w:space="0" w:color="auto"/>
        <w:bottom w:val="none" w:sz="0" w:space="0" w:color="auto"/>
        <w:right w:val="none" w:sz="0" w:space="0" w:color="auto"/>
      </w:divBdr>
    </w:div>
    <w:div w:id="1797066036">
      <w:bodyDiv w:val="1"/>
      <w:marLeft w:val="0"/>
      <w:marRight w:val="0"/>
      <w:marTop w:val="0"/>
      <w:marBottom w:val="0"/>
      <w:divBdr>
        <w:top w:val="none" w:sz="0" w:space="0" w:color="auto"/>
        <w:left w:val="none" w:sz="0" w:space="0" w:color="auto"/>
        <w:bottom w:val="none" w:sz="0" w:space="0" w:color="auto"/>
        <w:right w:val="none" w:sz="0" w:space="0" w:color="auto"/>
      </w:divBdr>
    </w:div>
    <w:div w:id="1800495246">
      <w:bodyDiv w:val="1"/>
      <w:marLeft w:val="0"/>
      <w:marRight w:val="0"/>
      <w:marTop w:val="0"/>
      <w:marBottom w:val="0"/>
      <w:divBdr>
        <w:top w:val="none" w:sz="0" w:space="0" w:color="auto"/>
        <w:left w:val="none" w:sz="0" w:space="0" w:color="auto"/>
        <w:bottom w:val="none" w:sz="0" w:space="0" w:color="auto"/>
        <w:right w:val="none" w:sz="0" w:space="0" w:color="auto"/>
      </w:divBdr>
    </w:div>
    <w:div w:id="1802071992">
      <w:bodyDiv w:val="1"/>
      <w:marLeft w:val="0"/>
      <w:marRight w:val="0"/>
      <w:marTop w:val="0"/>
      <w:marBottom w:val="0"/>
      <w:divBdr>
        <w:top w:val="none" w:sz="0" w:space="0" w:color="auto"/>
        <w:left w:val="none" w:sz="0" w:space="0" w:color="auto"/>
        <w:bottom w:val="none" w:sz="0" w:space="0" w:color="auto"/>
        <w:right w:val="none" w:sz="0" w:space="0" w:color="auto"/>
      </w:divBdr>
      <w:divsChild>
        <w:div w:id="1757938574">
          <w:marLeft w:val="547"/>
          <w:marRight w:val="0"/>
          <w:marTop w:val="96"/>
          <w:marBottom w:val="0"/>
          <w:divBdr>
            <w:top w:val="none" w:sz="0" w:space="0" w:color="auto"/>
            <w:left w:val="none" w:sz="0" w:space="0" w:color="auto"/>
            <w:bottom w:val="none" w:sz="0" w:space="0" w:color="auto"/>
            <w:right w:val="none" w:sz="0" w:space="0" w:color="auto"/>
          </w:divBdr>
        </w:div>
      </w:divsChild>
    </w:div>
    <w:div w:id="1802725508">
      <w:bodyDiv w:val="1"/>
      <w:marLeft w:val="0"/>
      <w:marRight w:val="0"/>
      <w:marTop w:val="0"/>
      <w:marBottom w:val="0"/>
      <w:divBdr>
        <w:top w:val="none" w:sz="0" w:space="0" w:color="auto"/>
        <w:left w:val="none" w:sz="0" w:space="0" w:color="auto"/>
        <w:bottom w:val="none" w:sz="0" w:space="0" w:color="auto"/>
        <w:right w:val="none" w:sz="0" w:space="0" w:color="auto"/>
      </w:divBdr>
      <w:divsChild>
        <w:div w:id="279997150">
          <w:marLeft w:val="547"/>
          <w:marRight w:val="0"/>
          <w:marTop w:val="0"/>
          <w:marBottom w:val="0"/>
          <w:divBdr>
            <w:top w:val="none" w:sz="0" w:space="0" w:color="auto"/>
            <w:left w:val="none" w:sz="0" w:space="0" w:color="auto"/>
            <w:bottom w:val="none" w:sz="0" w:space="0" w:color="auto"/>
            <w:right w:val="none" w:sz="0" w:space="0" w:color="auto"/>
          </w:divBdr>
        </w:div>
        <w:div w:id="1307079364">
          <w:marLeft w:val="547"/>
          <w:marRight w:val="0"/>
          <w:marTop w:val="0"/>
          <w:marBottom w:val="0"/>
          <w:divBdr>
            <w:top w:val="none" w:sz="0" w:space="0" w:color="auto"/>
            <w:left w:val="none" w:sz="0" w:space="0" w:color="auto"/>
            <w:bottom w:val="none" w:sz="0" w:space="0" w:color="auto"/>
            <w:right w:val="none" w:sz="0" w:space="0" w:color="auto"/>
          </w:divBdr>
        </w:div>
        <w:div w:id="1453090739">
          <w:marLeft w:val="547"/>
          <w:marRight w:val="0"/>
          <w:marTop w:val="0"/>
          <w:marBottom w:val="0"/>
          <w:divBdr>
            <w:top w:val="none" w:sz="0" w:space="0" w:color="auto"/>
            <w:left w:val="none" w:sz="0" w:space="0" w:color="auto"/>
            <w:bottom w:val="none" w:sz="0" w:space="0" w:color="auto"/>
            <w:right w:val="none" w:sz="0" w:space="0" w:color="auto"/>
          </w:divBdr>
        </w:div>
        <w:div w:id="1628928721">
          <w:marLeft w:val="547"/>
          <w:marRight w:val="0"/>
          <w:marTop w:val="0"/>
          <w:marBottom w:val="0"/>
          <w:divBdr>
            <w:top w:val="none" w:sz="0" w:space="0" w:color="auto"/>
            <w:left w:val="none" w:sz="0" w:space="0" w:color="auto"/>
            <w:bottom w:val="none" w:sz="0" w:space="0" w:color="auto"/>
            <w:right w:val="none" w:sz="0" w:space="0" w:color="auto"/>
          </w:divBdr>
        </w:div>
      </w:divsChild>
    </w:div>
    <w:div w:id="1806242202">
      <w:bodyDiv w:val="1"/>
      <w:marLeft w:val="0"/>
      <w:marRight w:val="0"/>
      <w:marTop w:val="0"/>
      <w:marBottom w:val="0"/>
      <w:divBdr>
        <w:top w:val="none" w:sz="0" w:space="0" w:color="auto"/>
        <w:left w:val="none" w:sz="0" w:space="0" w:color="auto"/>
        <w:bottom w:val="none" w:sz="0" w:space="0" w:color="auto"/>
        <w:right w:val="none" w:sz="0" w:space="0" w:color="auto"/>
      </w:divBdr>
    </w:div>
    <w:div w:id="1809469929">
      <w:bodyDiv w:val="1"/>
      <w:marLeft w:val="0"/>
      <w:marRight w:val="0"/>
      <w:marTop w:val="0"/>
      <w:marBottom w:val="0"/>
      <w:divBdr>
        <w:top w:val="none" w:sz="0" w:space="0" w:color="auto"/>
        <w:left w:val="none" w:sz="0" w:space="0" w:color="auto"/>
        <w:bottom w:val="none" w:sz="0" w:space="0" w:color="auto"/>
        <w:right w:val="none" w:sz="0" w:space="0" w:color="auto"/>
      </w:divBdr>
    </w:div>
    <w:div w:id="1810171327">
      <w:bodyDiv w:val="1"/>
      <w:marLeft w:val="0"/>
      <w:marRight w:val="0"/>
      <w:marTop w:val="0"/>
      <w:marBottom w:val="0"/>
      <w:divBdr>
        <w:top w:val="none" w:sz="0" w:space="0" w:color="auto"/>
        <w:left w:val="none" w:sz="0" w:space="0" w:color="auto"/>
        <w:bottom w:val="none" w:sz="0" w:space="0" w:color="auto"/>
        <w:right w:val="none" w:sz="0" w:space="0" w:color="auto"/>
      </w:divBdr>
      <w:divsChild>
        <w:div w:id="764765219">
          <w:marLeft w:val="547"/>
          <w:marRight w:val="0"/>
          <w:marTop w:val="0"/>
          <w:marBottom w:val="0"/>
          <w:divBdr>
            <w:top w:val="none" w:sz="0" w:space="0" w:color="auto"/>
            <w:left w:val="none" w:sz="0" w:space="0" w:color="auto"/>
            <w:bottom w:val="none" w:sz="0" w:space="0" w:color="auto"/>
            <w:right w:val="none" w:sz="0" w:space="0" w:color="auto"/>
          </w:divBdr>
        </w:div>
        <w:div w:id="1270552557">
          <w:marLeft w:val="547"/>
          <w:marRight w:val="0"/>
          <w:marTop w:val="0"/>
          <w:marBottom w:val="0"/>
          <w:divBdr>
            <w:top w:val="none" w:sz="0" w:space="0" w:color="auto"/>
            <w:left w:val="none" w:sz="0" w:space="0" w:color="auto"/>
            <w:bottom w:val="none" w:sz="0" w:space="0" w:color="auto"/>
            <w:right w:val="none" w:sz="0" w:space="0" w:color="auto"/>
          </w:divBdr>
        </w:div>
        <w:div w:id="1679189075">
          <w:marLeft w:val="547"/>
          <w:marRight w:val="0"/>
          <w:marTop w:val="0"/>
          <w:marBottom w:val="0"/>
          <w:divBdr>
            <w:top w:val="none" w:sz="0" w:space="0" w:color="auto"/>
            <w:left w:val="none" w:sz="0" w:space="0" w:color="auto"/>
            <w:bottom w:val="none" w:sz="0" w:space="0" w:color="auto"/>
            <w:right w:val="none" w:sz="0" w:space="0" w:color="auto"/>
          </w:divBdr>
        </w:div>
        <w:div w:id="1775713031">
          <w:marLeft w:val="547"/>
          <w:marRight w:val="0"/>
          <w:marTop w:val="0"/>
          <w:marBottom w:val="0"/>
          <w:divBdr>
            <w:top w:val="none" w:sz="0" w:space="0" w:color="auto"/>
            <w:left w:val="none" w:sz="0" w:space="0" w:color="auto"/>
            <w:bottom w:val="none" w:sz="0" w:space="0" w:color="auto"/>
            <w:right w:val="none" w:sz="0" w:space="0" w:color="auto"/>
          </w:divBdr>
        </w:div>
      </w:divsChild>
    </w:div>
    <w:div w:id="1811821129">
      <w:bodyDiv w:val="1"/>
      <w:marLeft w:val="0"/>
      <w:marRight w:val="0"/>
      <w:marTop w:val="0"/>
      <w:marBottom w:val="0"/>
      <w:divBdr>
        <w:top w:val="none" w:sz="0" w:space="0" w:color="auto"/>
        <w:left w:val="none" w:sz="0" w:space="0" w:color="auto"/>
        <w:bottom w:val="none" w:sz="0" w:space="0" w:color="auto"/>
        <w:right w:val="none" w:sz="0" w:space="0" w:color="auto"/>
      </w:divBdr>
    </w:div>
    <w:div w:id="1816336516">
      <w:bodyDiv w:val="1"/>
      <w:marLeft w:val="0"/>
      <w:marRight w:val="0"/>
      <w:marTop w:val="0"/>
      <w:marBottom w:val="0"/>
      <w:divBdr>
        <w:top w:val="none" w:sz="0" w:space="0" w:color="auto"/>
        <w:left w:val="none" w:sz="0" w:space="0" w:color="auto"/>
        <w:bottom w:val="none" w:sz="0" w:space="0" w:color="auto"/>
        <w:right w:val="none" w:sz="0" w:space="0" w:color="auto"/>
      </w:divBdr>
    </w:div>
    <w:div w:id="1816483205">
      <w:bodyDiv w:val="1"/>
      <w:marLeft w:val="0"/>
      <w:marRight w:val="0"/>
      <w:marTop w:val="0"/>
      <w:marBottom w:val="0"/>
      <w:divBdr>
        <w:top w:val="none" w:sz="0" w:space="0" w:color="auto"/>
        <w:left w:val="none" w:sz="0" w:space="0" w:color="auto"/>
        <w:bottom w:val="none" w:sz="0" w:space="0" w:color="auto"/>
        <w:right w:val="none" w:sz="0" w:space="0" w:color="auto"/>
      </w:divBdr>
    </w:div>
    <w:div w:id="1818839027">
      <w:bodyDiv w:val="1"/>
      <w:marLeft w:val="0"/>
      <w:marRight w:val="0"/>
      <w:marTop w:val="0"/>
      <w:marBottom w:val="0"/>
      <w:divBdr>
        <w:top w:val="none" w:sz="0" w:space="0" w:color="auto"/>
        <w:left w:val="none" w:sz="0" w:space="0" w:color="auto"/>
        <w:bottom w:val="none" w:sz="0" w:space="0" w:color="auto"/>
        <w:right w:val="none" w:sz="0" w:space="0" w:color="auto"/>
      </w:divBdr>
    </w:div>
    <w:div w:id="1824001934">
      <w:bodyDiv w:val="1"/>
      <w:marLeft w:val="0"/>
      <w:marRight w:val="0"/>
      <w:marTop w:val="0"/>
      <w:marBottom w:val="0"/>
      <w:divBdr>
        <w:top w:val="none" w:sz="0" w:space="0" w:color="auto"/>
        <w:left w:val="none" w:sz="0" w:space="0" w:color="auto"/>
        <w:bottom w:val="none" w:sz="0" w:space="0" w:color="auto"/>
        <w:right w:val="none" w:sz="0" w:space="0" w:color="auto"/>
      </w:divBdr>
    </w:div>
    <w:div w:id="1837960106">
      <w:bodyDiv w:val="1"/>
      <w:marLeft w:val="0"/>
      <w:marRight w:val="0"/>
      <w:marTop w:val="0"/>
      <w:marBottom w:val="0"/>
      <w:divBdr>
        <w:top w:val="none" w:sz="0" w:space="0" w:color="auto"/>
        <w:left w:val="none" w:sz="0" w:space="0" w:color="auto"/>
        <w:bottom w:val="none" w:sz="0" w:space="0" w:color="auto"/>
        <w:right w:val="none" w:sz="0" w:space="0" w:color="auto"/>
      </w:divBdr>
      <w:divsChild>
        <w:div w:id="1156844935">
          <w:marLeft w:val="0"/>
          <w:marRight w:val="0"/>
          <w:marTop w:val="0"/>
          <w:marBottom w:val="0"/>
          <w:divBdr>
            <w:top w:val="none" w:sz="0" w:space="0" w:color="auto"/>
            <w:left w:val="none" w:sz="0" w:space="0" w:color="auto"/>
            <w:bottom w:val="none" w:sz="0" w:space="0" w:color="auto"/>
            <w:right w:val="none" w:sz="0" w:space="0" w:color="auto"/>
          </w:divBdr>
          <w:divsChild>
            <w:div w:id="2087265251">
              <w:marLeft w:val="0"/>
              <w:marRight w:val="0"/>
              <w:marTop w:val="0"/>
              <w:marBottom w:val="0"/>
              <w:divBdr>
                <w:top w:val="none" w:sz="0" w:space="0" w:color="auto"/>
                <w:left w:val="none" w:sz="0" w:space="0" w:color="auto"/>
                <w:bottom w:val="none" w:sz="0" w:space="0" w:color="auto"/>
                <w:right w:val="none" w:sz="0" w:space="0" w:color="auto"/>
              </w:divBdr>
              <w:divsChild>
                <w:div w:id="1279072211">
                  <w:marLeft w:val="0"/>
                  <w:marRight w:val="0"/>
                  <w:marTop w:val="0"/>
                  <w:marBottom w:val="0"/>
                  <w:divBdr>
                    <w:top w:val="none" w:sz="0" w:space="0" w:color="auto"/>
                    <w:left w:val="none" w:sz="0" w:space="0" w:color="auto"/>
                    <w:bottom w:val="none" w:sz="0" w:space="0" w:color="auto"/>
                    <w:right w:val="none" w:sz="0" w:space="0" w:color="auto"/>
                  </w:divBdr>
                  <w:divsChild>
                    <w:div w:id="1141843452">
                      <w:marLeft w:val="0"/>
                      <w:marRight w:val="0"/>
                      <w:marTop w:val="0"/>
                      <w:marBottom w:val="0"/>
                      <w:divBdr>
                        <w:top w:val="none" w:sz="0" w:space="0" w:color="auto"/>
                        <w:left w:val="none" w:sz="0" w:space="0" w:color="auto"/>
                        <w:bottom w:val="none" w:sz="0" w:space="0" w:color="auto"/>
                        <w:right w:val="none" w:sz="0" w:space="0" w:color="auto"/>
                      </w:divBdr>
                      <w:divsChild>
                        <w:div w:id="1746956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1897994">
          <w:marLeft w:val="0"/>
          <w:marRight w:val="0"/>
          <w:marTop w:val="0"/>
          <w:marBottom w:val="0"/>
          <w:divBdr>
            <w:top w:val="none" w:sz="0" w:space="0" w:color="auto"/>
            <w:left w:val="none" w:sz="0" w:space="0" w:color="auto"/>
            <w:bottom w:val="none" w:sz="0" w:space="0" w:color="auto"/>
            <w:right w:val="none" w:sz="0" w:space="0" w:color="auto"/>
          </w:divBdr>
          <w:divsChild>
            <w:div w:id="1353845826">
              <w:marLeft w:val="0"/>
              <w:marRight w:val="0"/>
              <w:marTop w:val="0"/>
              <w:marBottom w:val="0"/>
              <w:divBdr>
                <w:top w:val="none" w:sz="0" w:space="0" w:color="auto"/>
                <w:left w:val="none" w:sz="0" w:space="0" w:color="auto"/>
                <w:bottom w:val="none" w:sz="0" w:space="0" w:color="auto"/>
                <w:right w:val="none" w:sz="0" w:space="0" w:color="auto"/>
              </w:divBdr>
              <w:divsChild>
                <w:div w:id="1527789874">
                  <w:marLeft w:val="0"/>
                  <w:marRight w:val="0"/>
                  <w:marTop w:val="0"/>
                  <w:marBottom w:val="0"/>
                  <w:divBdr>
                    <w:top w:val="none" w:sz="0" w:space="0" w:color="auto"/>
                    <w:left w:val="none" w:sz="0" w:space="0" w:color="auto"/>
                    <w:bottom w:val="none" w:sz="0" w:space="0" w:color="auto"/>
                    <w:right w:val="none" w:sz="0" w:space="0" w:color="auto"/>
                  </w:divBdr>
                  <w:divsChild>
                    <w:div w:id="1383754221">
                      <w:marLeft w:val="0"/>
                      <w:marRight w:val="0"/>
                      <w:marTop w:val="0"/>
                      <w:marBottom w:val="0"/>
                      <w:divBdr>
                        <w:top w:val="none" w:sz="0" w:space="0" w:color="auto"/>
                        <w:left w:val="none" w:sz="0" w:space="0" w:color="auto"/>
                        <w:bottom w:val="none" w:sz="0" w:space="0" w:color="auto"/>
                        <w:right w:val="none" w:sz="0" w:space="0" w:color="auto"/>
                      </w:divBdr>
                      <w:divsChild>
                        <w:div w:id="69811420">
                          <w:marLeft w:val="0"/>
                          <w:marRight w:val="0"/>
                          <w:marTop w:val="0"/>
                          <w:marBottom w:val="0"/>
                          <w:divBdr>
                            <w:top w:val="none" w:sz="0" w:space="0" w:color="auto"/>
                            <w:left w:val="none" w:sz="0" w:space="0" w:color="auto"/>
                            <w:bottom w:val="none" w:sz="0" w:space="0" w:color="auto"/>
                            <w:right w:val="none" w:sz="0" w:space="0" w:color="auto"/>
                          </w:divBdr>
                          <w:divsChild>
                            <w:div w:id="597566386">
                              <w:marLeft w:val="0"/>
                              <w:marRight w:val="300"/>
                              <w:marTop w:val="180"/>
                              <w:marBottom w:val="0"/>
                              <w:divBdr>
                                <w:top w:val="none" w:sz="0" w:space="0" w:color="auto"/>
                                <w:left w:val="none" w:sz="0" w:space="0" w:color="auto"/>
                                <w:bottom w:val="none" w:sz="0" w:space="0" w:color="auto"/>
                                <w:right w:val="none" w:sz="0" w:space="0" w:color="auto"/>
                              </w:divBdr>
                              <w:divsChild>
                                <w:div w:id="209867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658020">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sChild>
            </w:div>
          </w:divsChild>
        </w:div>
      </w:divsChild>
    </w:div>
    <w:div w:id="1840733095">
      <w:bodyDiv w:val="1"/>
      <w:marLeft w:val="0"/>
      <w:marRight w:val="0"/>
      <w:marTop w:val="0"/>
      <w:marBottom w:val="0"/>
      <w:divBdr>
        <w:top w:val="none" w:sz="0" w:space="0" w:color="auto"/>
        <w:left w:val="none" w:sz="0" w:space="0" w:color="auto"/>
        <w:bottom w:val="none" w:sz="0" w:space="0" w:color="auto"/>
        <w:right w:val="none" w:sz="0" w:space="0" w:color="auto"/>
      </w:divBdr>
    </w:div>
    <w:div w:id="1841849672">
      <w:bodyDiv w:val="1"/>
      <w:marLeft w:val="0"/>
      <w:marRight w:val="0"/>
      <w:marTop w:val="0"/>
      <w:marBottom w:val="0"/>
      <w:divBdr>
        <w:top w:val="none" w:sz="0" w:space="0" w:color="auto"/>
        <w:left w:val="none" w:sz="0" w:space="0" w:color="auto"/>
        <w:bottom w:val="none" w:sz="0" w:space="0" w:color="auto"/>
        <w:right w:val="none" w:sz="0" w:space="0" w:color="auto"/>
      </w:divBdr>
    </w:div>
    <w:div w:id="1845709522">
      <w:bodyDiv w:val="1"/>
      <w:marLeft w:val="0"/>
      <w:marRight w:val="0"/>
      <w:marTop w:val="0"/>
      <w:marBottom w:val="0"/>
      <w:divBdr>
        <w:top w:val="none" w:sz="0" w:space="0" w:color="auto"/>
        <w:left w:val="none" w:sz="0" w:space="0" w:color="auto"/>
        <w:bottom w:val="none" w:sz="0" w:space="0" w:color="auto"/>
        <w:right w:val="none" w:sz="0" w:space="0" w:color="auto"/>
      </w:divBdr>
    </w:div>
    <w:div w:id="1845853735">
      <w:bodyDiv w:val="1"/>
      <w:marLeft w:val="0"/>
      <w:marRight w:val="0"/>
      <w:marTop w:val="0"/>
      <w:marBottom w:val="0"/>
      <w:divBdr>
        <w:top w:val="none" w:sz="0" w:space="0" w:color="auto"/>
        <w:left w:val="none" w:sz="0" w:space="0" w:color="auto"/>
        <w:bottom w:val="none" w:sz="0" w:space="0" w:color="auto"/>
        <w:right w:val="none" w:sz="0" w:space="0" w:color="auto"/>
      </w:divBdr>
    </w:div>
    <w:div w:id="1846164298">
      <w:bodyDiv w:val="1"/>
      <w:marLeft w:val="0"/>
      <w:marRight w:val="0"/>
      <w:marTop w:val="0"/>
      <w:marBottom w:val="0"/>
      <w:divBdr>
        <w:top w:val="none" w:sz="0" w:space="0" w:color="auto"/>
        <w:left w:val="none" w:sz="0" w:space="0" w:color="auto"/>
        <w:bottom w:val="none" w:sz="0" w:space="0" w:color="auto"/>
        <w:right w:val="none" w:sz="0" w:space="0" w:color="auto"/>
      </w:divBdr>
    </w:div>
    <w:div w:id="1855921691">
      <w:bodyDiv w:val="1"/>
      <w:marLeft w:val="0"/>
      <w:marRight w:val="0"/>
      <w:marTop w:val="0"/>
      <w:marBottom w:val="0"/>
      <w:divBdr>
        <w:top w:val="none" w:sz="0" w:space="0" w:color="auto"/>
        <w:left w:val="none" w:sz="0" w:space="0" w:color="auto"/>
        <w:bottom w:val="none" w:sz="0" w:space="0" w:color="auto"/>
        <w:right w:val="none" w:sz="0" w:space="0" w:color="auto"/>
      </w:divBdr>
    </w:div>
    <w:div w:id="1859469830">
      <w:bodyDiv w:val="1"/>
      <w:marLeft w:val="0"/>
      <w:marRight w:val="0"/>
      <w:marTop w:val="0"/>
      <w:marBottom w:val="0"/>
      <w:divBdr>
        <w:top w:val="none" w:sz="0" w:space="0" w:color="auto"/>
        <w:left w:val="none" w:sz="0" w:space="0" w:color="auto"/>
        <w:bottom w:val="none" w:sz="0" w:space="0" w:color="auto"/>
        <w:right w:val="none" w:sz="0" w:space="0" w:color="auto"/>
      </w:divBdr>
      <w:divsChild>
        <w:div w:id="134837249">
          <w:marLeft w:val="547"/>
          <w:marRight w:val="0"/>
          <w:marTop w:val="0"/>
          <w:marBottom w:val="0"/>
          <w:divBdr>
            <w:top w:val="none" w:sz="0" w:space="0" w:color="auto"/>
            <w:left w:val="none" w:sz="0" w:space="0" w:color="auto"/>
            <w:bottom w:val="none" w:sz="0" w:space="0" w:color="auto"/>
            <w:right w:val="none" w:sz="0" w:space="0" w:color="auto"/>
          </w:divBdr>
        </w:div>
        <w:div w:id="506751049">
          <w:marLeft w:val="547"/>
          <w:marRight w:val="0"/>
          <w:marTop w:val="0"/>
          <w:marBottom w:val="0"/>
          <w:divBdr>
            <w:top w:val="none" w:sz="0" w:space="0" w:color="auto"/>
            <w:left w:val="none" w:sz="0" w:space="0" w:color="auto"/>
            <w:bottom w:val="none" w:sz="0" w:space="0" w:color="auto"/>
            <w:right w:val="none" w:sz="0" w:space="0" w:color="auto"/>
          </w:divBdr>
        </w:div>
        <w:div w:id="1258441864">
          <w:marLeft w:val="547"/>
          <w:marRight w:val="0"/>
          <w:marTop w:val="0"/>
          <w:marBottom w:val="0"/>
          <w:divBdr>
            <w:top w:val="none" w:sz="0" w:space="0" w:color="auto"/>
            <w:left w:val="none" w:sz="0" w:space="0" w:color="auto"/>
            <w:bottom w:val="none" w:sz="0" w:space="0" w:color="auto"/>
            <w:right w:val="none" w:sz="0" w:space="0" w:color="auto"/>
          </w:divBdr>
        </w:div>
        <w:div w:id="1500274728">
          <w:marLeft w:val="547"/>
          <w:marRight w:val="0"/>
          <w:marTop w:val="0"/>
          <w:marBottom w:val="0"/>
          <w:divBdr>
            <w:top w:val="none" w:sz="0" w:space="0" w:color="auto"/>
            <w:left w:val="none" w:sz="0" w:space="0" w:color="auto"/>
            <w:bottom w:val="none" w:sz="0" w:space="0" w:color="auto"/>
            <w:right w:val="none" w:sz="0" w:space="0" w:color="auto"/>
          </w:divBdr>
        </w:div>
      </w:divsChild>
    </w:div>
    <w:div w:id="1862620929">
      <w:bodyDiv w:val="1"/>
      <w:marLeft w:val="0"/>
      <w:marRight w:val="0"/>
      <w:marTop w:val="0"/>
      <w:marBottom w:val="0"/>
      <w:divBdr>
        <w:top w:val="none" w:sz="0" w:space="0" w:color="auto"/>
        <w:left w:val="none" w:sz="0" w:space="0" w:color="auto"/>
        <w:bottom w:val="none" w:sz="0" w:space="0" w:color="auto"/>
        <w:right w:val="none" w:sz="0" w:space="0" w:color="auto"/>
      </w:divBdr>
    </w:div>
    <w:div w:id="1864131348">
      <w:bodyDiv w:val="1"/>
      <w:marLeft w:val="0"/>
      <w:marRight w:val="0"/>
      <w:marTop w:val="0"/>
      <w:marBottom w:val="0"/>
      <w:divBdr>
        <w:top w:val="none" w:sz="0" w:space="0" w:color="auto"/>
        <w:left w:val="none" w:sz="0" w:space="0" w:color="auto"/>
        <w:bottom w:val="none" w:sz="0" w:space="0" w:color="auto"/>
        <w:right w:val="none" w:sz="0" w:space="0" w:color="auto"/>
      </w:divBdr>
      <w:divsChild>
        <w:div w:id="490484929">
          <w:marLeft w:val="0"/>
          <w:marRight w:val="0"/>
          <w:marTop w:val="0"/>
          <w:marBottom w:val="225"/>
          <w:divBdr>
            <w:top w:val="none" w:sz="0" w:space="0" w:color="auto"/>
            <w:left w:val="none" w:sz="0" w:space="0" w:color="auto"/>
            <w:bottom w:val="none" w:sz="0" w:space="0" w:color="auto"/>
            <w:right w:val="none" w:sz="0" w:space="0" w:color="auto"/>
          </w:divBdr>
        </w:div>
        <w:div w:id="2075931555">
          <w:marLeft w:val="0"/>
          <w:marRight w:val="0"/>
          <w:marTop w:val="0"/>
          <w:marBottom w:val="225"/>
          <w:divBdr>
            <w:top w:val="none" w:sz="0" w:space="0" w:color="auto"/>
            <w:left w:val="none" w:sz="0" w:space="0" w:color="auto"/>
            <w:bottom w:val="none" w:sz="0" w:space="0" w:color="auto"/>
            <w:right w:val="none" w:sz="0" w:space="0" w:color="auto"/>
          </w:divBdr>
        </w:div>
      </w:divsChild>
    </w:div>
    <w:div w:id="1874346255">
      <w:bodyDiv w:val="1"/>
      <w:marLeft w:val="0"/>
      <w:marRight w:val="0"/>
      <w:marTop w:val="0"/>
      <w:marBottom w:val="0"/>
      <w:divBdr>
        <w:top w:val="none" w:sz="0" w:space="0" w:color="auto"/>
        <w:left w:val="none" w:sz="0" w:space="0" w:color="auto"/>
        <w:bottom w:val="none" w:sz="0" w:space="0" w:color="auto"/>
        <w:right w:val="none" w:sz="0" w:space="0" w:color="auto"/>
      </w:divBdr>
    </w:div>
    <w:div w:id="1877426772">
      <w:bodyDiv w:val="1"/>
      <w:marLeft w:val="0"/>
      <w:marRight w:val="0"/>
      <w:marTop w:val="0"/>
      <w:marBottom w:val="0"/>
      <w:divBdr>
        <w:top w:val="none" w:sz="0" w:space="0" w:color="auto"/>
        <w:left w:val="none" w:sz="0" w:space="0" w:color="auto"/>
        <w:bottom w:val="none" w:sz="0" w:space="0" w:color="auto"/>
        <w:right w:val="none" w:sz="0" w:space="0" w:color="auto"/>
      </w:divBdr>
      <w:divsChild>
        <w:div w:id="569729946">
          <w:marLeft w:val="0"/>
          <w:marRight w:val="0"/>
          <w:marTop w:val="0"/>
          <w:marBottom w:val="0"/>
          <w:divBdr>
            <w:top w:val="none" w:sz="0" w:space="0" w:color="auto"/>
            <w:left w:val="none" w:sz="0" w:space="0" w:color="auto"/>
            <w:bottom w:val="none" w:sz="0" w:space="0" w:color="auto"/>
            <w:right w:val="none" w:sz="0" w:space="0" w:color="auto"/>
          </w:divBdr>
        </w:div>
        <w:div w:id="1000616425">
          <w:marLeft w:val="0"/>
          <w:marRight w:val="0"/>
          <w:marTop w:val="0"/>
          <w:marBottom w:val="0"/>
          <w:divBdr>
            <w:top w:val="none" w:sz="0" w:space="0" w:color="auto"/>
            <w:left w:val="none" w:sz="0" w:space="0" w:color="auto"/>
            <w:bottom w:val="none" w:sz="0" w:space="0" w:color="auto"/>
            <w:right w:val="none" w:sz="0" w:space="0" w:color="auto"/>
          </w:divBdr>
        </w:div>
        <w:div w:id="1200973093">
          <w:marLeft w:val="0"/>
          <w:marRight w:val="0"/>
          <w:marTop w:val="0"/>
          <w:marBottom w:val="0"/>
          <w:divBdr>
            <w:top w:val="none" w:sz="0" w:space="0" w:color="auto"/>
            <w:left w:val="none" w:sz="0" w:space="0" w:color="auto"/>
            <w:bottom w:val="none" w:sz="0" w:space="0" w:color="auto"/>
            <w:right w:val="none" w:sz="0" w:space="0" w:color="auto"/>
          </w:divBdr>
        </w:div>
      </w:divsChild>
    </w:div>
    <w:div w:id="1879122698">
      <w:bodyDiv w:val="1"/>
      <w:marLeft w:val="0"/>
      <w:marRight w:val="0"/>
      <w:marTop w:val="0"/>
      <w:marBottom w:val="0"/>
      <w:divBdr>
        <w:top w:val="none" w:sz="0" w:space="0" w:color="auto"/>
        <w:left w:val="none" w:sz="0" w:space="0" w:color="auto"/>
        <w:bottom w:val="none" w:sz="0" w:space="0" w:color="auto"/>
        <w:right w:val="none" w:sz="0" w:space="0" w:color="auto"/>
      </w:divBdr>
    </w:div>
    <w:div w:id="1879538433">
      <w:bodyDiv w:val="1"/>
      <w:marLeft w:val="0"/>
      <w:marRight w:val="0"/>
      <w:marTop w:val="0"/>
      <w:marBottom w:val="0"/>
      <w:divBdr>
        <w:top w:val="none" w:sz="0" w:space="0" w:color="auto"/>
        <w:left w:val="none" w:sz="0" w:space="0" w:color="auto"/>
        <w:bottom w:val="none" w:sz="0" w:space="0" w:color="auto"/>
        <w:right w:val="none" w:sz="0" w:space="0" w:color="auto"/>
      </w:divBdr>
    </w:div>
    <w:div w:id="1881749233">
      <w:bodyDiv w:val="1"/>
      <w:marLeft w:val="0"/>
      <w:marRight w:val="0"/>
      <w:marTop w:val="0"/>
      <w:marBottom w:val="0"/>
      <w:divBdr>
        <w:top w:val="none" w:sz="0" w:space="0" w:color="auto"/>
        <w:left w:val="none" w:sz="0" w:space="0" w:color="auto"/>
        <w:bottom w:val="none" w:sz="0" w:space="0" w:color="auto"/>
        <w:right w:val="none" w:sz="0" w:space="0" w:color="auto"/>
      </w:divBdr>
    </w:div>
    <w:div w:id="1884824725">
      <w:bodyDiv w:val="1"/>
      <w:marLeft w:val="0"/>
      <w:marRight w:val="0"/>
      <w:marTop w:val="0"/>
      <w:marBottom w:val="0"/>
      <w:divBdr>
        <w:top w:val="none" w:sz="0" w:space="0" w:color="auto"/>
        <w:left w:val="none" w:sz="0" w:space="0" w:color="auto"/>
        <w:bottom w:val="none" w:sz="0" w:space="0" w:color="auto"/>
        <w:right w:val="none" w:sz="0" w:space="0" w:color="auto"/>
      </w:divBdr>
    </w:div>
    <w:div w:id="1887448165">
      <w:bodyDiv w:val="1"/>
      <w:marLeft w:val="0"/>
      <w:marRight w:val="0"/>
      <w:marTop w:val="0"/>
      <w:marBottom w:val="0"/>
      <w:divBdr>
        <w:top w:val="none" w:sz="0" w:space="0" w:color="auto"/>
        <w:left w:val="none" w:sz="0" w:space="0" w:color="auto"/>
        <w:bottom w:val="none" w:sz="0" w:space="0" w:color="auto"/>
        <w:right w:val="none" w:sz="0" w:space="0" w:color="auto"/>
      </w:divBdr>
    </w:div>
    <w:div w:id="1891452890">
      <w:bodyDiv w:val="1"/>
      <w:marLeft w:val="0"/>
      <w:marRight w:val="0"/>
      <w:marTop w:val="0"/>
      <w:marBottom w:val="0"/>
      <w:divBdr>
        <w:top w:val="none" w:sz="0" w:space="0" w:color="auto"/>
        <w:left w:val="none" w:sz="0" w:space="0" w:color="auto"/>
        <w:bottom w:val="none" w:sz="0" w:space="0" w:color="auto"/>
        <w:right w:val="none" w:sz="0" w:space="0" w:color="auto"/>
      </w:divBdr>
    </w:div>
    <w:div w:id="1895653096">
      <w:bodyDiv w:val="1"/>
      <w:marLeft w:val="0"/>
      <w:marRight w:val="0"/>
      <w:marTop w:val="0"/>
      <w:marBottom w:val="0"/>
      <w:divBdr>
        <w:top w:val="none" w:sz="0" w:space="0" w:color="auto"/>
        <w:left w:val="none" w:sz="0" w:space="0" w:color="auto"/>
        <w:bottom w:val="none" w:sz="0" w:space="0" w:color="auto"/>
        <w:right w:val="none" w:sz="0" w:space="0" w:color="auto"/>
      </w:divBdr>
    </w:div>
    <w:div w:id="1899243486">
      <w:bodyDiv w:val="1"/>
      <w:marLeft w:val="0"/>
      <w:marRight w:val="0"/>
      <w:marTop w:val="0"/>
      <w:marBottom w:val="0"/>
      <w:divBdr>
        <w:top w:val="none" w:sz="0" w:space="0" w:color="auto"/>
        <w:left w:val="none" w:sz="0" w:space="0" w:color="auto"/>
        <w:bottom w:val="none" w:sz="0" w:space="0" w:color="auto"/>
        <w:right w:val="none" w:sz="0" w:space="0" w:color="auto"/>
      </w:divBdr>
    </w:div>
    <w:div w:id="1899630973">
      <w:bodyDiv w:val="1"/>
      <w:marLeft w:val="0"/>
      <w:marRight w:val="0"/>
      <w:marTop w:val="0"/>
      <w:marBottom w:val="0"/>
      <w:divBdr>
        <w:top w:val="none" w:sz="0" w:space="0" w:color="auto"/>
        <w:left w:val="none" w:sz="0" w:space="0" w:color="auto"/>
        <w:bottom w:val="none" w:sz="0" w:space="0" w:color="auto"/>
        <w:right w:val="none" w:sz="0" w:space="0" w:color="auto"/>
      </w:divBdr>
    </w:div>
    <w:div w:id="1900900287">
      <w:bodyDiv w:val="1"/>
      <w:marLeft w:val="0"/>
      <w:marRight w:val="0"/>
      <w:marTop w:val="0"/>
      <w:marBottom w:val="0"/>
      <w:divBdr>
        <w:top w:val="none" w:sz="0" w:space="0" w:color="auto"/>
        <w:left w:val="none" w:sz="0" w:space="0" w:color="auto"/>
        <w:bottom w:val="none" w:sz="0" w:space="0" w:color="auto"/>
        <w:right w:val="none" w:sz="0" w:space="0" w:color="auto"/>
      </w:divBdr>
      <w:divsChild>
        <w:div w:id="1218399891">
          <w:marLeft w:val="0"/>
          <w:marRight w:val="0"/>
          <w:marTop w:val="0"/>
          <w:marBottom w:val="225"/>
          <w:divBdr>
            <w:top w:val="none" w:sz="0" w:space="0" w:color="auto"/>
            <w:left w:val="none" w:sz="0" w:space="0" w:color="auto"/>
            <w:bottom w:val="none" w:sz="0" w:space="0" w:color="auto"/>
            <w:right w:val="none" w:sz="0" w:space="0" w:color="auto"/>
          </w:divBdr>
        </w:div>
        <w:div w:id="2015262411">
          <w:marLeft w:val="0"/>
          <w:marRight w:val="0"/>
          <w:marTop w:val="0"/>
          <w:marBottom w:val="225"/>
          <w:divBdr>
            <w:top w:val="none" w:sz="0" w:space="0" w:color="auto"/>
            <w:left w:val="none" w:sz="0" w:space="0" w:color="auto"/>
            <w:bottom w:val="none" w:sz="0" w:space="0" w:color="auto"/>
            <w:right w:val="none" w:sz="0" w:space="0" w:color="auto"/>
          </w:divBdr>
        </w:div>
      </w:divsChild>
    </w:div>
    <w:div w:id="1902205393">
      <w:bodyDiv w:val="1"/>
      <w:marLeft w:val="0"/>
      <w:marRight w:val="0"/>
      <w:marTop w:val="0"/>
      <w:marBottom w:val="0"/>
      <w:divBdr>
        <w:top w:val="none" w:sz="0" w:space="0" w:color="auto"/>
        <w:left w:val="none" w:sz="0" w:space="0" w:color="auto"/>
        <w:bottom w:val="none" w:sz="0" w:space="0" w:color="auto"/>
        <w:right w:val="none" w:sz="0" w:space="0" w:color="auto"/>
      </w:divBdr>
      <w:divsChild>
        <w:div w:id="1170950075">
          <w:marLeft w:val="547"/>
          <w:marRight w:val="0"/>
          <w:marTop w:val="0"/>
          <w:marBottom w:val="0"/>
          <w:divBdr>
            <w:top w:val="none" w:sz="0" w:space="0" w:color="auto"/>
            <w:left w:val="none" w:sz="0" w:space="0" w:color="auto"/>
            <w:bottom w:val="none" w:sz="0" w:space="0" w:color="auto"/>
            <w:right w:val="none" w:sz="0" w:space="0" w:color="auto"/>
          </w:divBdr>
        </w:div>
      </w:divsChild>
    </w:div>
    <w:div w:id="1904556696">
      <w:bodyDiv w:val="1"/>
      <w:marLeft w:val="0"/>
      <w:marRight w:val="0"/>
      <w:marTop w:val="0"/>
      <w:marBottom w:val="0"/>
      <w:divBdr>
        <w:top w:val="none" w:sz="0" w:space="0" w:color="auto"/>
        <w:left w:val="none" w:sz="0" w:space="0" w:color="auto"/>
        <w:bottom w:val="none" w:sz="0" w:space="0" w:color="auto"/>
        <w:right w:val="none" w:sz="0" w:space="0" w:color="auto"/>
      </w:divBdr>
      <w:divsChild>
        <w:div w:id="230232745">
          <w:marLeft w:val="0"/>
          <w:marRight w:val="0"/>
          <w:marTop w:val="0"/>
          <w:marBottom w:val="0"/>
          <w:divBdr>
            <w:top w:val="none" w:sz="0" w:space="0" w:color="auto"/>
            <w:left w:val="none" w:sz="0" w:space="0" w:color="auto"/>
            <w:bottom w:val="none" w:sz="0" w:space="0" w:color="auto"/>
            <w:right w:val="none" w:sz="0" w:space="0" w:color="auto"/>
          </w:divBdr>
        </w:div>
        <w:div w:id="236867366">
          <w:marLeft w:val="0"/>
          <w:marRight w:val="0"/>
          <w:marTop w:val="0"/>
          <w:marBottom w:val="0"/>
          <w:divBdr>
            <w:top w:val="none" w:sz="0" w:space="0" w:color="auto"/>
            <w:left w:val="none" w:sz="0" w:space="0" w:color="auto"/>
            <w:bottom w:val="none" w:sz="0" w:space="0" w:color="auto"/>
            <w:right w:val="none" w:sz="0" w:space="0" w:color="auto"/>
          </w:divBdr>
        </w:div>
        <w:div w:id="277109974">
          <w:marLeft w:val="0"/>
          <w:marRight w:val="0"/>
          <w:marTop w:val="0"/>
          <w:marBottom w:val="0"/>
          <w:divBdr>
            <w:top w:val="none" w:sz="0" w:space="0" w:color="auto"/>
            <w:left w:val="none" w:sz="0" w:space="0" w:color="auto"/>
            <w:bottom w:val="none" w:sz="0" w:space="0" w:color="auto"/>
            <w:right w:val="none" w:sz="0" w:space="0" w:color="auto"/>
          </w:divBdr>
        </w:div>
        <w:div w:id="304434913">
          <w:marLeft w:val="0"/>
          <w:marRight w:val="0"/>
          <w:marTop w:val="0"/>
          <w:marBottom w:val="0"/>
          <w:divBdr>
            <w:top w:val="none" w:sz="0" w:space="0" w:color="auto"/>
            <w:left w:val="none" w:sz="0" w:space="0" w:color="auto"/>
            <w:bottom w:val="none" w:sz="0" w:space="0" w:color="auto"/>
            <w:right w:val="none" w:sz="0" w:space="0" w:color="auto"/>
          </w:divBdr>
        </w:div>
        <w:div w:id="337930718">
          <w:marLeft w:val="0"/>
          <w:marRight w:val="0"/>
          <w:marTop w:val="0"/>
          <w:marBottom w:val="0"/>
          <w:divBdr>
            <w:top w:val="none" w:sz="0" w:space="0" w:color="auto"/>
            <w:left w:val="none" w:sz="0" w:space="0" w:color="auto"/>
            <w:bottom w:val="none" w:sz="0" w:space="0" w:color="auto"/>
            <w:right w:val="none" w:sz="0" w:space="0" w:color="auto"/>
          </w:divBdr>
        </w:div>
        <w:div w:id="357203333">
          <w:marLeft w:val="0"/>
          <w:marRight w:val="0"/>
          <w:marTop w:val="0"/>
          <w:marBottom w:val="0"/>
          <w:divBdr>
            <w:top w:val="none" w:sz="0" w:space="0" w:color="auto"/>
            <w:left w:val="none" w:sz="0" w:space="0" w:color="auto"/>
            <w:bottom w:val="none" w:sz="0" w:space="0" w:color="auto"/>
            <w:right w:val="none" w:sz="0" w:space="0" w:color="auto"/>
          </w:divBdr>
        </w:div>
        <w:div w:id="392318247">
          <w:marLeft w:val="0"/>
          <w:marRight w:val="0"/>
          <w:marTop w:val="0"/>
          <w:marBottom w:val="0"/>
          <w:divBdr>
            <w:top w:val="none" w:sz="0" w:space="0" w:color="auto"/>
            <w:left w:val="none" w:sz="0" w:space="0" w:color="auto"/>
            <w:bottom w:val="none" w:sz="0" w:space="0" w:color="auto"/>
            <w:right w:val="none" w:sz="0" w:space="0" w:color="auto"/>
          </w:divBdr>
        </w:div>
        <w:div w:id="403989684">
          <w:marLeft w:val="0"/>
          <w:marRight w:val="0"/>
          <w:marTop w:val="0"/>
          <w:marBottom w:val="0"/>
          <w:divBdr>
            <w:top w:val="none" w:sz="0" w:space="0" w:color="auto"/>
            <w:left w:val="none" w:sz="0" w:space="0" w:color="auto"/>
            <w:bottom w:val="none" w:sz="0" w:space="0" w:color="auto"/>
            <w:right w:val="none" w:sz="0" w:space="0" w:color="auto"/>
          </w:divBdr>
        </w:div>
        <w:div w:id="446394434">
          <w:marLeft w:val="0"/>
          <w:marRight w:val="0"/>
          <w:marTop w:val="0"/>
          <w:marBottom w:val="0"/>
          <w:divBdr>
            <w:top w:val="none" w:sz="0" w:space="0" w:color="auto"/>
            <w:left w:val="none" w:sz="0" w:space="0" w:color="auto"/>
            <w:bottom w:val="none" w:sz="0" w:space="0" w:color="auto"/>
            <w:right w:val="none" w:sz="0" w:space="0" w:color="auto"/>
          </w:divBdr>
        </w:div>
        <w:div w:id="518127768">
          <w:marLeft w:val="0"/>
          <w:marRight w:val="0"/>
          <w:marTop w:val="0"/>
          <w:marBottom w:val="0"/>
          <w:divBdr>
            <w:top w:val="none" w:sz="0" w:space="0" w:color="auto"/>
            <w:left w:val="none" w:sz="0" w:space="0" w:color="auto"/>
            <w:bottom w:val="none" w:sz="0" w:space="0" w:color="auto"/>
            <w:right w:val="none" w:sz="0" w:space="0" w:color="auto"/>
          </w:divBdr>
        </w:div>
        <w:div w:id="761418783">
          <w:marLeft w:val="0"/>
          <w:marRight w:val="0"/>
          <w:marTop w:val="0"/>
          <w:marBottom w:val="0"/>
          <w:divBdr>
            <w:top w:val="none" w:sz="0" w:space="0" w:color="auto"/>
            <w:left w:val="none" w:sz="0" w:space="0" w:color="auto"/>
            <w:bottom w:val="none" w:sz="0" w:space="0" w:color="auto"/>
            <w:right w:val="none" w:sz="0" w:space="0" w:color="auto"/>
          </w:divBdr>
        </w:div>
        <w:div w:id="761531273">
          <w:marLeft w:val="0"/>
          <w:marRight w:val="0"/>
          <w:marTop w:val="0"/>
          <w:marBottom w:val="0"/>
          <w:divBdr>
            <w:top w:val="none" w:sz="0" w:space="0" w:color="auto"/>
            <w:left w:val="none" w:sz="0" w:space="0" w:color="auto"/>
            <w:bottom w:val="none" w:sz="0" w:space="0" w:color="auto"/>
            <w:right w:val="none" w:sz="0" w:space="0" w:color="auto"/>
          </w:divBdr>
        </w:div>
        <w:div w:id="815340386">
          <w:marLeft w:val="0"/>
          <w:marRight w:val="0"/>
          <w:marTop w:val="0"/>
          <w:marBottom w:val="0"/>
          <w:divBdr>
            <w:top w:val="none" w:sz="0" w:space="0" w:color="auto"/>
            <w:left w:val="none" w:sz="0" w:space="0" w:color="auto"/>
            <w:bottom w:val="none" w:sz="0" w:space="0" w:color="auto"/>
            <w:right w:val="none" w:sz="0" w:space="0" w:color="auto"/>
          </w:divBdr>
        </w:div>
        <w:div w:id="851919585">
          <w:marLeft w:val="0"/>
          <w:marRight w:val="0"/>
          <w:marTop w:val="0"/>
          <w:marBottom w:val="0"/>
          <w:divBdr>
            <w:top w:val="none" w:sz="0" w:space="0" w:color="auto"/>
            <w:left w:val="none" w:sz="0" w:space="0" w:color="auto"/>
            <w:bottom w:val="none" w:sz="0" w:space="0" w:color="auto"/>
            <w:right w:val="none" w:sz="0" w:space="0" w:color="auto"/>
          </w:divBdr>
        </w:div>
        <w:div w:id="1110318695">
          <w:marLeft w:val="0"/>
          <w:marRight w:val="0"/>
          <w:marTop w:val="0"/>
          <w:marBottom w:val="0"/>
          <w:divBdr>
            <w:top w:val="none" w:sz="0" w:space="0" w:color="auto"/>
            <w:left w:val="none" w:sz="0" w:space="0" w:color="auto"/>
            <w:bottom w:val="none" w:sz="0" w:space="0" w:color="auto"/>
            <w:right w:val="none" w:sz="0" w:space="0" w:color="auto"/>
          </w:divBdr>
        </w:div>
        <w:div w:id="1144666834">
          <w:marLeft w:val="0"/>
          <w:marRight w:val="0"/>
          <w:marTop w:val="0"/>
          <w:marBottom w:val="0"/>
          <w:divBdr>
            <w:top w:val="none" w:sz="0" w:space="0" w:color="auto"/>
            <w:left w:val="none" w:sz="0" w:space="0" w:color="auto"/>
            <w:bottom w:val="none" w:sz="0" w:space="0" w:color="auto"/>
            <w:right w:val="none" w:sz="0" w:space="0" w:color="auto"/>
          </w:divBdr>
        </w:div>
        <w:div w:id="1181043386">
          <w:marLeft w:val="0"/>
          <w:marRight w:val="0"/>
          <w:marTop w:val="0"/>
          <w:marBottom w:val="0"/>
          <w:divBdr>
            <w:top w:val="none" w:sz="0" w:space="0" w:color="auto"/>
            <w:left w:val="none" w:sz="0" w:space="0" w:color="auto"/>
            <w:bottom w:val="none" w:sz="0" w:space="0" w:color="auto"/>
            <w:right w:val="none" w:sz="0" w:space="0" w:color="auto"/>
          </w:divBdr>
        </w:div>
        <w:div w:id="1200508172">
          <w:marLeft w:val="0"/>
          <w:marRight w:val="0"/>
          <w:marTop w:val="0"/>
          <w:marBottom w:val="0"/>
          <w:divBdr>
            <w:top w:val="none" w:sz="0" w:space="0" w:color="auto"/>
            <w:left w:val="none" w:sz="0" w:space="0" w:color="auto"/>
            <w:bottom w:val="none" w:sz="0" w:space="0" w:color="auto"/>
            <w:right w:val="none" w:sz="0" w:space="0" w:color="auto"/>
          </w:divBdr>
        </w:div>
        <w:div w:id="1250119898">
          <w:marLeft w:val="0"/>
          <w:marRight w:val="0"/>
          <w:marTop w:val="0"/>
          <w:marBottom w:val="0"/>
          <w:divBdr>
            <w:top w:val="none" w:sz="0" w:space="0" w:color="auto"/>
            <w:left w:val="none" w:sz="0" w:space="0" w:color="auto"/>
            <w:bottom w:val="none" w:sz="0" w:space="0" w:color="auto"/>
            <w:right w:val="none" w:sz="0" w:space="0" w:color="auto"/>
          </w:divBdr>
        </w:div>
        <w:div w:id="1504468449">
          <w:marLeft w:val="0"/>
          <w:marRight w:val="0"/>
          <w:marTop w:val="0"/>
          <w:marBottom w:val="0"/>
          <w:divBdr>
            <w:top w:val="none" w:sz="0" w:space="0" w:color="auto"/>
            <w:left w:val="none" w:sz="0" w:space="0" w:color="auto"/>
            <w:bottom w:val="none" w:sz="0" w:space="0" w:color="auto"/>
            <w:right w:val="none" w:sz="0" w:space="0" w:color="auto"/>
          </w:divBdr>
        </w:div>
        <w:div w:id="1681007920">
          <w:marLeft w:val="0"/>
          <w:marRight w:val="0"/>
          <w:marTop w:val="0"/>
          <w:marBottom w:val="0"/>
          <w:divBdr>
            <w:top w:val="none" w:sz="0" w:space="0" w:color="auto"/>
            <w:left w:val="none" w:sz="0" w:space="0" w:color="auto"/>
            <w:bottom w:val="none" w:sz="0" w:space="0" w:color="auto"/>
            <w:right w:val="none" w:sz="0" w:space="0" w:color="auto"/>
          </w:divBdr>
        </w:div>
        <w:div w:id="1718242099">
          <w:marLeft w:val="0"/>
          <w:marRight w:val="0"/>
          <w:marTop w:val="0"/>
          <w:marBottom w:val="0"/>
          <w:divBdr>
            <w:top w:val="none" w:sz="0" w:space="0" w:color="auto"/>
            <w:left w:val="none" w:sz="0" w:space="0" w:color="auto"/>
            <w:bottom w:val="none" w:sz="0" w:space="0" w:color="auto"/>
            <w:right w:val="none" w:sz="0" w:space="0" w:color="auto"/>
          </w:divBdr>
        </w:div>
        <w:div w:id="1736010717">
          <w:marLeft w:val="0"/>
          <w:marRight w:val="0"/>
          <w:marTop w:val="0"/>
          <w:marBottom w:val="0"/>
          <w:divBdr>
            <w:top w:val="none" w:sz="0" w:space="0" w:color="auto"/>
            <w:left w:val="none" w:sz="0" w:space="0" w:color="auto"/>
            <w:bottom w:val="none" w:sz="0" w:space="0" w:color="auto"/>
            <w:right w:val="none" w:sz="0" w:space="0" w:color="auto"/>
          </w:divBdr>
        </w:div>
        <w:div w:id="1828739029">
          <w:marLeft w:val="0"/>
          <w:marRight w:val="0"/>
          <w:marTop w:val="0"/>
          <w:marBottom w:val="0"/>
          <w:divBdr>
            <w:top w:val="none" w:sz="0" w:space="0" w:color="auto"/>
            <w:left w:val="none" w:sz="0" w:space="0" w:color="auto"/>
            <w:bottom w:val="none" w:sz="0" w:space="0" w:color="auto"/>
            <w:right w:val="none" w:sz="0" w:space="0" w:color="auto"/>
          </w:divBdr>
        </w:div>
        <w:div w:id="1979456241">
          <w:marLeft w:val="0"/>
          <w:marRight w:val="0"/>
          <w:marTop w:val="0"/>
          <w:marBottom w:val="0"/>
          <w:divBdr>
            <w:top w:val="none" w:sz="0" w:space="0" w:color="auto"/>
            <w:left w:val="none" w:sz="0" w:space="0" w:color="auto"/>
            <w:bottom w:val="none" w:sz="0" w:space="0" w:color="auto"/>
            <w:right w:val="none" w:sz="0" w:space="0" w:color="auto"/>
          </w:divBdr>
        </w:div>
      </w:divsChild>
    </w:div>
    <w:div w:id="1916087718">
      <w:bodyDiv w:val="1"/>
      <w:marLeft w:val="0"/>
      <w:marRight w:val="0"/>
      <w:marTop w:val="0"/>
      <w:marBottom w:val="0"/>
      <w:divBdr>
        <w:top w:val="none" w:sz="0" w:space="0" w:color="auto"/>
        <w:left w:val="none" w:sz="0" w:space="0" w:color="auto"/>
        <w:bottom w:val="none" w:sz="0" w:space="0" w:color="auto"/>
        <w:right w:val="none" w:sz="0" w:space="0" w:color="auto"/>
      </w:divBdr>
      <w:divsChild>
        <w:div w:id="915437556">
          <w:marLeft w:val="547"/>
          <w:marRight w:val="0"/>
          <w:marTop w:val="0"/>
          <w:marBottom w:val="0"/>
          <w:divBdr>
            <w:top w:val="none" w:sz="0" w:space="0" w:color="auto"/>
            <w:left w:val="none" w:sz="0" w:space="0" w:color="auto"/>
            <w:bottom w:val="none" w:sz="0" w:space="0" w:color="auto"/>
            <w:right w:val="none" w:sz="0" w:space="0" w:color="auto"/>
          </w:divBdr>
        </w:div>
      </w:divsChild>
    </w:div>
    <w:div w:id="1917012150">
      <w:bodyDiv w:val="1"/>
      <w:marLeft w:val="0"/>
      <w:marRight w:val="0"/>
      <w:marTop w:val="0"/>
      <w:marBottom w:val="0"/>
      <w:divBdr>
        <w:top w:val="none" w:sz="0" w:space="0" w:color="auto"/>
        <w:left w:val="none" w:sz="0" w:space="0" w:color="auto"/>
        <w:bottom w:val="none" w:sz="0" w:space="0" w:color="auto"/>
        <w:right w:val="none" w:sz="0" w:space="0" w:color="auto"/>
      </w:divBdr>
    </w:div>
    <w:div w:id="1918399233">
      <w:bodyDiv w:val="1"/>
      <w:marLeft w:val="0"/>
      <w:marRight w:val="0"/>
      <w:marTop w:val="0"/>
      <w:marBottom w:val="0"/>
      <w:divBdr>
        <w:top w:val="none" w:sz="0" w:space="0" w:color="auto"/>
        <w:left w:val="none" w:sz="0" w:space="0" w:color="auto"/>
        <w:bottom w:val="none" w:sz="0" w:space="0" w:color="auto"/>
        <w:right w:val="none" w:sz="0" w:space="0" w:color="auto"/>
      </w:divBdr>
    </w:div>
    <w:div w:id="1920406592">
      <w:bodyDiv w:val="1"/>
      <w:marLeft w:val="0"/>
      <w:marRight w:val="0"/>
      <w:marTop w:val="0"/>
      <w:marBottom w:val="0"/>
      <w:divBdr>
        <w:top w:val="none" w:sz="0" w:space="0" w:color="auto"/>
        <w:left w:val="none" w:sz="0" w:space="0" w:color="auto"/>
        <w:bottom w:val="none" w:sz="0" w:space="0" w:color="auto"/>
        <w:right w:val="none" w:sz="0" w:space="0" w:color="auto"/>
      </w:divBdr>
    </w:div>
    <w:div w:id="1923755582">
      <w:bodyDiv w:val="1"/>
      <w:marLeft w:val="0"/>
      <w:marRight w:val="0"/>
      <w:marTop w:val="0"/>
      <w:marBottom w:val="0"/>
      <w:divBdr>
        <w:top w:val="none" w:sz="0" w:space="0" w:color="auto"/>
        <w:left w:val="none" w:sz="0" w:space="0" w:color="auto"/>
        <w:bottom w:val="none" w:sz="0" w:space="0" w:color="auto"/>
        <w:right w:val="none" w:sz="0" w:space="0" w:color="auto"/>
      </w:divBdr>
    </w:div>
    <w:div w:id="1923952642">
      <w:bodyDiv w:val="1"/>
      <w:marLeft w:val="0"/>
      <w:marRight w:val="0"/>
      <w:marTop w:val="0"/>
      <w:marBottom w:val="0"/>
      <w:divBdr>
        <w:top w:val="none" w:sz="0" w:space="0" w:color="auto"/>
        <w:left w:val="none" w:sz="0" w:space="0" w:color="auto"/>
        <w:bottom w:val="none" w:sz="0" w:space="0" w:color="auto"/>
        <w:right w:val="none" w:sz="0" w:space="0" w:color="auto"/>
      </w:divBdr>
    </w:div>
    <w:div w:id="1925646070">
      <w:bodyDiv w:val="1"/>
      <w:marLeft w:val="0"/>
      <w:marRight w:val="0"/>
      <w:marTop w:val="0"/>
      <w:marBottom w:val="0"/>
      <w:divBdr>
        <w:top w:val="none" w:sz="0" w:space="0" w:color="auto"/>
        <w:left w:val="none" w:sz="0" w:space="0" w:color="auto"/>
        <w:bottom w:val="none" w:sz="0" w:space="0" w:color="auto"/>
        <w:right w:val="none" w:sz="0" w:space="0" w:color="auto"/>
      </w:divBdr>
    </w:div>
    <w:div w:id="1945578768">
      <w:bodyDiv w:val="1"/>
      <w:marLeft w:val="0"/>
      <w:marRight w:val="0"/>
      <w:marTop w:val="0"/>
      <w:marBottom w:val="0"/>
      <w:divBdr>
        <w:top w:val="none" w:sz="0" w:space="0" w:color="auto"/>
        <w:left w:val="none" w:sz="0" w:space="0" w:color="auto"/>
        <w:bottom w:val="none" w:sz="0" w:space="0" w:color="auto"/>
        <w:right w:val="none" w:sz="0" w:space="0" w:color="auto"/>
      </w:divBdr>
    </w:div>
    <w:div w:id="1948736599">
      <w:bodyDiv w:val="1"/>
      <w:marLeft w:val="0"/>
      <w:marRight w:val="0"/>
      <w:marTop w:val="0"/>
      <w:marBottom w:val="0"/>
      <w:divBdr>
        <w:top w:val="none" w:sz="0" w:space="0" w:color="auto"/>
        <w:left w:val="none" w:sz="0" w:space="0" w:color="auto"/>
        <w:bottom w:val="none" w:sz="0" w:space="0" w:color="auto"/>
        <w:right w:val="none" w:sz="0" w:space="0" w:color="auto"/>
      </w:divBdr>
    </w:div>
    <w:div w:id="1949852992">
      <w:bodyDiv w:val="1"/>
      <w:marLeft w:val="0"/>
      <w:marRight w:val="0"/>
      <w:marTop w:val="0"/>
      <w:marBottom w:val="0"/>
      <w:divBdr>
        <w:top w:val="none" w:sz="0" w:space="0" w:color="auto"/>
        <w:left w:val="none" w:sz="0" w:space="0" w:color="auto"/>
        <w:bottom w:val="none" w:sz="0" w:space="0" w:color="auto"/>
        <w:right w:val="none" w:sz="0" w:space="0" w:color="auto"/>
      </w:divBdr>
    </w:div>
    <w:div w:id="1952009440">
      <w:bodyDiv w:val="1"/>
      <w:marLeft w:val="0"/>
      <w:marRight w:val="0"/>
      <w:marTop w:val="0"/>
      <w:marBottom w:val="0"/>
      <w:divBdr>
        <w:top w:val="none" w:sz="0" w:space="0" w:color="auto"/>
        <w:left w:val="none" w:sz="0" w:space="0" w:color="auto"/>
        <w:bottom w:val="none" w:sz="0" w:space="0" w:color="auto"/>
        <w:right w:val="none" w:sz="0" w:space="0" w:color="auto"/>
      </w:divBdr>
    </w:div>
    <w:div w:id="1957133803">
      <w:bodyDiv w:val="1"/>
      <w:marLeft w:val="0"/>
      <w:marRight w:val="0"/>
      <w:marTop w:val="0"/>
      <w:marBottom w:val="0"/>
      <w:divBdr>
        <w:top w:val="none" w:sz="0" w:space="0" w:color="auto"/>
        <w:left w:val="none" w:sz="0" w:space="0" w:color="auto"/>
        <w:bottom w:val="none" w:sz="0" w:space="0" w:color="auto"/>
        <w:right w:val="none" w:sz="0" w:space="0" w:color="auto"/>
      </w:divBdr>
    </w:div>
    <w:div w:id="1963996316">
      <w:bodyDiv w:val="1"/>
      <w:marLeft w:val="0"/>
      <w:marRight w:val="0"/>
      <w:marTop w:val="0"/>
      <w:marBottom w:val="0"/>
      <w:divBdr>
        <w:top w:val="none" w:sz="0" w:space="0" w:color="auto"/>
        <w:left w:val="none" w:sz="0" w:space="0" w:color="auto"/>
        <w:bottom w:val="none" w:sz="0" w:space="0" w:color="auto"/>
        <w:right w:val="none" w:sz="0" w:space="0" w:color="auto"/>
      </w:divBdr>
    </w:div>
    <w:div w:id="1964651202">
      <w:bodyDiv w:val="1"/>
      <w:marLeft w:val="0"/>
      <w:marRight w:val="0"/>
      <w:marTop w:val="0"/>
      <w:marBottom w:val="0"/>
      <w:divBdr>
        <w:top w:val="none" w:sz="0" w:space="0" w:color="auto"/>
        <w:left w:val="none" w:sz="0" w:space="0" w:color="auto"/>
        <w:bottom w:val="none" w:sz="0" w:space="0" w:color="auto"/>
        <w:right w:val="none" w:sz="0" w:space="0" w:color="auto"/>
      </w:divBdr>
    </w:div>
    <w:div w:id="1966080811">
      <w:bodyDiv w:val="1"/>
      <w:marLeft w:val="0"/>
      <w:marRight w:val="0"/>
      <w:marTop w:val="0"/>
      <w:marBottom w:val="0"/>
      <w:divBdr>
        <w:top w:val="none" w:sz="0" w:space="0" w:color="auto"/>
        <w:left w:val="none" w:sz="0" w:space="0" w:color="auto"/>
        <w:bottom w:val="none" w:sz="0" w:space="0" w:color="auto"/>
        <w:right w:val="none" w:sz="0" w:space="0" w:color="auto"/>
      </w:divBdr>
    </w:div>
    <w:div w:id="1967154203">
      <w:bodyDiv w:val="1"/>
      <w:marLeft w:val="0"/>
      <w:marRight w:val="0"/>
      <w:marTop w:val="0"/>
      <w:marBottom w:val="0"/>
      <w:divBdr>
        <w:top w:val="none" w:sz="0" w:space="0" w:color="auto"/>
        <w:left w:val="none" w:sz="0" w:space="0" w:color="auto"/>
        <w:bottom w:val="none" w:sz="0" w:space="0" w:color="auto"/>
        <w:right w:val="none" w:sz="0" w:space="0" w:color="auto"/>
      </w:divBdr>
    </w:div>
    <w:div w:id="1968657371">
      <w:bodyDiv w:val="1"/>
      <w:marLeft w:val="0"/>
      <w:marRight w:val="0"/>
      <w:marTop w:val="0"/>
      <w:marBottom w:val="0"/>
      <w:divBdr>
        <w:top w:val="none" w:sz="0" w:space="0" w:color="auto"/>
        <w:left w:val="none" w:sz="0" w:space="0" w:color="auto"/>
        <w:bottom w:val="none" w:sz="0" w:space="0" w:color="auto"/>
        <w:right w:val="none" w:sz="0" w:space="0" w:color="auto"/>
      </w:divBdr>
    </w:div>
    <w:div w:id="1968731230">
      <w:bodyDiv w:val="1"/>
      <w:marLeft w:val="0"/>
      <w:marRight w:val="0"/>
      <w:marTop w:val="0"/>
      <w:marBottom w:val="0"/>
      <w:divBdr>
        <w:top w:val="none" w:sz="0" w:space="0" w:color="auto"/>
        <w:left w:val="none" w:sz="0" w:space="0" w:color="auto"/>
        <w:bottom w:val="none" w:sz="0" w:space="0" w:color="auto"/>
        <w:right w:val="none" w:sz="0" w:space="0" w:color="auto"/>
      </w:divBdr>
    </w:div>
    <w:div w:id="1970358083">
      <w:bodyDiv w:val="1"/>
      <w:marLeft w:val="0"/>
      <w:marRight w:val="0"/>
      <w:marTop w:val="0"/>
      <w:marBottom w:val="0"/>
      <w:divBdr>
        <w:top w:val="none" w:sz="0" w:space="0" w:color="auto"/>
        <w:left w:val="none" w:sz="0" w:space="0" w:color="auto"/>
        <w:bottom w:val="none" w:sz="0" w:space="0" w:color="auto"/>
        <w:right w:val="none" w:sz="0" w:space="0" w:color="auto"/>
      </w:divBdr>
    </w:div>
    <w:div w:id="1971010710">
      <w:bodyDiv w:val="1"/>
      <w:marLeft w:val="0"/>
      <w:marRight w:val="0"/>
      <w:marTop w:val="0"/>
      <w:marBottom w:val="0"/>
      <w:divBdr>
        <w:top w:val="none" w:sz="0" w:space="0" w:color="auto"/>
        <w:left w:val="none" w:sz="0" w:space="0" w:color="auto"/>
        <w:bottom w:val="none" w:sz="0" w:space="0" w:color="auto"/>
        <w:right w:val="none" w:sz="0" w:space="0" w:color="auto"/>
      </w:divBdr>
    </w:div>
    <w:div w:id="1973703563">
      <w:bodyDiv w:val="1"/>
      <w:marLeft w:val="0"/>
      <w:marRight w:val="0"/>
      <w:marTop w:val="0"/>
      <w:marBottom w:val="0"/>
      <w:divBdr>
        <w:top w:val="none" w:sz="0" w:space="0" w:color="auto"/>
        <w:left w:val="none" w:sz="0" w:space="0" w:color="auto"/>
        <w:bottom w:val="none" w:sz="0" w:space="0" w:color="auto"/>
        <w:right w:val="none" w:sz="0" w:space="0" w:color="auto"/>
      </w:divBdr>
    </w:div>
    <w:div w:id="1983265407">
      <w:bodyDiv w:val="1"/>
      <w:marLeft w:val="0"/>
      <w:marRight w:val="0"/>
      <w:marTop w:val="0"/>
      <w:marBottom w:val="0"/>
      <w:divBdr>
        <w:top w:val="none" w:sz="0" w:space="0" w:color="auto"/>
        <w:left w:val="none" w:sz="0" w:space="0" w:color="auto"/>
        <w:bottom w:val="none" w:sz="0" w:space="0" w:color="auto"/>
        <w:right w:val="none" w:sz="0" w:space="0" w:color="auto"/>
      </w:divBdr>
    </w:div>
    <w:div w:id="1984000415">
      <w:bodyDiv w:val="1"/>
      <w:marLeft w:val="0"/>
      <w:marRight w:val="0"/>
      <w:marTop w:val="0"/>
      <w:marBottom w:val="0"/>
      <w:divBdr>
        <w:top w:val="none" w:sz="0" w:space="0" w:color="auto"/>
        <w:left w:val="none" w:sz="0" w:space="0" w:color="auto"/>
        <w:bottom w:val="none" w:sz="0" w:space="0" w:color="auto"/>
        <w:right w:val="none" w:sz="0" w:space="0" w:color="auto"/>
      </w:divBdr>
    </w:div>
    <w:div w:id="1986276781">
      <w:bodyDiv w:val="1"/>
      <w:marLeft w:val="0"/>
      <w:marRight w:val="0"/>
      <w:marTop w:val="0"/>
      <w:marBottom w:val="0"/>
      <w:divBdr>
        <w:top w:val="none" w:sz="0" w:space="0" w:color="auto"/>
        <w:left w:val="none" w:sz="0" w:space="0" w:color="auto"/>
        <w:bottom w:val="none" w:sz="0" w:space="0" w:color="auto"/>
        <w:right w:val="none" w:sz="0" w:space="0" w:color="auto"/>
      </w:divBdr>
    </w:div>
    <w:div w:id="1988821758">
      <w:bodyDiv w:val="1"/>
      <w:marLeft w:val="0"/>
      <w:marRight w:val="0"/>
      <w:marTop w:val="0"/>
      <w:marBottom w:val="0"/>
      <w:divBdr>
        <w:top w:val="none" w:sz="0" w:space="0" w:color="auto"/>
        <w:left w:val="none" w:sz="0" w:space="0" w:color="auto"/>
        <w:bottom w:val="none" w:sz="0" w:space="0" w:color="auto"/>
        <w:right w:val="none" w:sz="0" w:space="0" w:color="auto"/>
      </w:divBdr>
    </w:div>
    <w:div w:id="2001932142">
      <w:bodyDiv w:val="1"/>
      <w:marLeft w:val="0"/>
      <w:marRight w:val="0"/>
      <w:marTop w:val="0"/>
      <w:marBottom w:val="0"/>
      <w:divBdr>
        <w:top w:val="none" w:sz="0" w:space="0" w:color="auto"/>
        <w:left w:val="none" w:sz="0" w:space="0" w:color="auto"/>
        <w:bottom w:val="none" w:sz="0" w:space="0" w:color="auto"/>
        <w:right w:val="none" w:sz="0" w:space="0" w:color="auto"/>
      </w:divBdr>
    </w:div>
    <w:div w:id="2002155837">
      <w:bodyDiv w:val="1"/>
      <w:marLeft w:val="0"/>
      <w:marRight w:val="0"/>
      <w:marTop w:val="0"/>
      <w:marBottom w:val="0"/>
      <w:divBdr>
        <w:top w:val="none" w:sz="0" w:space="0" w:color="auto"/>
        <w:left w:val="none" w:sz="0" w:space="0" w:color="auto"/>
        <w:bottom w:val="none" w:sz="0" w:space="0" w:color="auto"/>
        <w:right w:val="none" w:sz="0" w:space="0" w:color="auto"/>
      </w:divBdr>
      <w:divsChild>
        <w:div w:id="221982677">
          <w:marLeft w:val="0"/>
          <w:marRight w:val="0"/>
          <w:marTop w:val="0"/>
          <w:marBottom w:val="0"/>
          <w:divBdr>
            <w:top w:val="none" w:sz="0" w:space="0" w:color="auto"/>
            <w:left w:val="none" w:sz="0" w:space="0" w:color="auto"/>
            <w:bottom w:val="none" w:sz="0" w:space="0" w:color="auto"/>
            <w:right w:val="none" w:sz="0" w:space="0" w:color="auto"/>
          </w:divBdr>
          <w:divsChild>
            <w:div w:id="1023900114">
              <w:marLeft w:val="0"/>
              <w:marRight w:val="0"/>
              <w:marTop w:val="0"/>
              <w:marBottom w:val="0"/>
              <w:divBdr>
                <w:top w:val="none" w:sz="0" w:space="0" w:color="auto"/>
                <w:left w:val="none" w:sz="0" w:space="0" w:color="auto"/>
                <w:bottom w:val="none" w:sz="0" w:space="0" w:color="auto"/>
                <w:right w:val="none" w:sz="0" w:space="0" w:color="auto"/>
              </w:divBdr>
              <w:divsChild>
                <w:div w:id="1447770661">
                  <w:marLeft w:val="0"/>
                  <w:marRight w:val="0"/>
                  <w:marTop w:val="0"/>
                  <w:marBottom w:val="0"/>
                  <w:divBdr>
                    <w:top w:val="none" w:sz="0" w:space="0" w:color="auto"/>
                    <w:left w:val="none" w:sz="0" w:space="0" w:color="auto"/>
                    <w:bottom w:val="none" w:sz="0" w:space="0" w:color="auto"/>
                    <w:right w:val="none" w:sz="0" w:space="0" w:color="auto"/>
                  </w:divBdr>
                  <w:divsChild>
                    <w:div w:id="475687068">
                      <w:marLeft w:val="0"/>
                      <w:marRight w:val="0"/>
                      <w:marTop w:val="0"/>
                      <w:marBottom w:val="0"/>
                      <w:divBdr>
                        <w:top w:val="none" w:sz="0" w:space="0" w:color="auto"/>
                        <w:left w:val="none" w:sz="0" w:space="0" w:color="auto"/>
                        <w:bottom w:val="none" w:sz="0" w:space="0" w:color="auto"/>
                        <w:right w:val="none" w:sz="0" w:space="0" w:color="auto"/>
                      </w:divBdr>
                      <w:divsChild>
                        <w:div w:id="695471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7897175">
      <w:bodyDiv w:val="1"/>
      <w:marLeft w:val="0"/>
      <w:marRight w:val="0"/>
      <w:marTop w:val="0"/>
      <w:marBottom w:val="0"/>
      <w:divBdr>
        <w:top w:val="none" w:sz="0" w:space="0" w:color="auto"/>
        <w:left w:val="none" w:sz="0" w:space="0" w:color="auto"/>
        <w:bottom w:val="none" w:sz="0" w:space="0" w:color="auto"/>
        <w:right w:val="none" w:sz="0" w:space="0" w:color="auto"/>
      </w:divBdr>
    </w:div>
    <w:div w:id="2011830576">
      <w:bodyDiv w:val="1"/>
      <w:marLeft w:val="0"/>
      <w:marRight w:val="0"/>
      <w:marTop w:val="0"/>
      <w:marBottom w:val="0"/>
      <w:divBdr>
        <w:top w:val="none" w:sz="0" w:space="0" w:color="auto"/>
        <w:left w:val="none" w:sz="0" w:space="0" w:color="auto"/>
        <w:bottom w:val="none" w:sz="0" w:space="0" w:color="auto"/>
        <w:right w:val="none" w:sz="0" w:space="0" w:color="auto"/>
      </w:divBdr>
    </w:div>
    <w:div w:id="2015837024">
      <w:bodyDiv w:val="1"/>
      <w:marLeft w:val="0"/>
      <w:marRight w:val="0"/>
      <w:marTop w:val="0"/>
      <w:marBottom w:val="0"/>
      <w:divBdr>
        <w:top w:val="none" w:sz="0" w:space="0" w:color="auto"/>
        <w:left w:val="none" w:sz="0" w:space="0" w:color="auto"/>
        <w:bottom w:val="none" w:sz="0" w:space="0" w:color="auto"/>
        <w:right w:val="none" w:sz="0" w:space="0" w:color="auto"/>
      </w:divBdr>
    </w:div>
    <w:div w:id="2016108477">
      <w:bodyDiv w:val="1"/>
      <w:marLeft w:val="0"/>
      <w:marRight w:val="0"/>
      <w:marTop w:val="0"/>
      <w:marBottom w:val="0"/>
      <w:divBdr>
        <w:top w:val="none" w:sz="0" w:space="0" w:color="auto"/>
        <w:left w:val="none" w:sz="0" w:space="0" w:color="auto"/>
        <w:bottom w:val="none" w:sz="0" w:space="0" w:color="auto"/>
        <w:right w:val="none" w:sz="0" w:space="0" w:color="auto"/>
      </w:divBdr>
    </w:div>
    <w:div w:id="2019842438">
      <w:bodyDiv w:val="1"/>
      <w:marLeft w:val="0"/>
      <w:marRight w:val="0"/>
      <w:marTop w:val="0"/>
      <w:marBottom w:val="0"/>
      <w:divBdr>
        <w:top w:val="none" w:sz="0" w:space="0" w:color="auto"/>
        <w:left w:val="none" w:sz="0" w:space="0" w:color="auto"/>
        <w:bottom w:val="none" w:sz="0" w:space="0" w:color="auto"/>
        <w:right w:val="none" w:sz="0" w:space="0" w:color="auto"/>
      </w:divBdr>
      <w:divsChild>
        <w:div w:id="214587878">
          <w:marLeft w:val="0"/>
          <w:marRight w:val="0"/>
          <w:marTop w:val="0"/>
          <w:marBottom w:val="225"/>
          <w:divBdr>
            <w:top w:val="none" w:sz="0" w:space="0" w:color="auto"/>
            <w:left w:val="none" w:sz="0" w:space="0" w:color="auto"/>
            <w:bottom w:val="none" w:sz="0" w:space="0" w:color="auto"/>
            <w:right w:val="none" w:sz="0" w:space="0" w:color="auto"/>
          </w:divBdr>
        </w:div>
        <w:div w:id="1904682393">
          <w:marLeft w:val="0"/>
          <w:marRight w:val="0"/>
          <w:marTop w:val="0"/>
          <w:marBottom w:val="225"/>
          <w:divBdr>
            <w:top w:val="none" w:sz="0" w:space="0" w:color="auto"/>
            <w:left w:val="none" w:sz="0" w:space="0" w:color="auto"/>
            <w:bottom w:val="none" w:sz="0" w:space="0" w:color="auto"/>
            <w:right w:val="none" w:sz="0" w:space="0" w:color="auto"/>
          </w:divBdr>
        </w:div>
      </w:divsChild>
    </w:div>
    <w:div w:id="2023580596">
      <w:bodyDiv w:val="1"/>
      <w:marLeft w:val="0"/>
      <w:marRight w:val="0"/>
      <w:marTop w:val="0"/>
      <w:marBottom w:val="0"/>
      <w:divBdr>
        <w:top w:val="none" w:sz="0" w:space="0" w:color="auto"/>
        <w:left w:val="none" w:sz="0" w:space="0" w:color="auto"/>
        <w:bottom w:val="none" w:sz="0" w:space="0" w:color="auto"/>
        <w:right w:val="none" w:sz="0" w:space="0" w:color="auto"/>
      </w:divBdr>
    </w:div>
    <w:div w:id="2033529725">
      <w:bodyDiv w:val="1"/>
      <w:marLeft w:val="0"/>
      <w:marRight w:val="0"/>
      <w:marTop w:val="0"/>
      <w:marBottom w:val="0"/>
      <w:divBdr>
        <w:top w:val="none" w:sz="0" w:space="0" w:color="auto"/>
        <w:left w:val="none" w:sz="0" w:space="0" w:color="auto"/>
        <w:bottom w:val="none" w:sz="0" w:space="0" w:color="auto"/>
        <w:right w:val="none" w:sz="0" w:space="0" w:color="auto"/>
      </w:divBdr>
    </w:div>
    <w:div w:id="2033799488">
      <w:bodyDiv w:val="1"/>
      <w:marLeft w:val="0"/>
      <w:marRight w:val="0"/>
      <w:marTop w:val="0"/>
      <w:marBottom w:val="0"/>
      <w:divBdr>
        <w:top w:val="none" w:sz="0" w:space="0" w:color="auto"/>
        <w:left w:val="none" w:sz="0" w:space="0" w:color="auto"/>
        <w:bottom w:val="none" w:sz="0" w:space="0" w:color="auto"/>
        <w:right w:val="none" w:sz="0" w:space="0" w:color="auto"/>
      </w:divBdr>
    </w:div>
    <w:div w:id="2034838633">
      <w:bodyDiv w:val="1"/>
      <w:marLeft w:val="0"/>
      <w:marRight w:val="0"/>
      <w:marTop w:val="0"/>
      <w:marBottom w:val="0"/>
      <w:divBdr>
        <w:top w:val="none" w:sz="0" w:space="0" w:color="auto"/>
        <w:left w:val="none" w:sz="0" w:space="0" w:color="auto"/>
        <w:bottom w:val="none" w:sz="0" w:space="0" w:color="auto"/>
        <w:right w:val="none" w:sz="0" w:space="0" w:color="auto"/>
      </w:divBdr>
    </w:div>
    <w:div w:id="2037348542">
      <w:bodyDiv w:val="1"/>
      <w:marLeft w:val="0"/>
      <w:marRight w:val="0"/>
      <w:marTop w:val="0"/>
      <w:marBottom w:val="0"/>
      <w:divBdr>
        <w:top w:val="none" w:sz="0" w:space="0" w:color="auto"/>
        <w:left w:val="none" w:sz="0" w:space="0" w:color="auto"/>
        <w:bottom w:val="none" w:sz="0" w:space="0" w:color="auto"/>
        <w:right w:val="none" w:sz="0" w:space="0" w:color="auto"/>
      </w:divBdr>
    </w:div>
    <w:div w:id="2040625851">
      <w:bodyDiv w:val="1"/>
      <w:marLeft w:val="0"/>
      <w:marRight w:val="0"/>
      <w:marTop w:val="0"/>
      <w:marBottom w:val="0"/>
      <w:divBdr>
        <w:top w:val="none" w:sz="0" w:space="0" w:color="auto"/>
        <w:left w:val="none" w:sz="0" w:space="0" w:color="auto"/>
        <w:bottom w:val="none" w:sz="0" w:space="0" w:color="auto"/>
        <w:right w:val="none" w:sz="0" w:space="0" w:color="auto"/>
      </w:divBdr>
    </w:div>
    <w:div w:id="2044017716">
      <w:bodyDiv w:val="1"/>
      <w:marLeft w:val="0"/>
      <w:marRight w:val="0"/>
      <w:marTop w:val="0"/>
      <w:marBottom w:val="0"/>
      <w:divBdr>
        <w:top w:val="none" w:sz="0" w:space="0" w:color="auto"/>
        <w:left w:val="none" w:sz="0" w:space="0" w:color="auto"/>
        <w:bottom w:val="none" w:sz="0" w:space="0" w:color="auto"/>
        <w:right w:val="none" w:sz="0" w:space="0" w:color="auto"/>
      </w:divBdr>
    </w:div>
    <w:div w:id="2048023680">
      <w:bodyDiv w:val="1"/>
      <w:marLeft w:val="0"/>
      <w:marRight w:val="0"/>
      <w:marTop w:val="0"/>
      <w:marBottom w:val="0"/>
      <w:divBdr>
        <w:top w:val="none" w:sz="0" w:space="0" w:color="auto"/>
        <w:left w:val="none" w:sz="0" w:space="0" w:color="auto"/>
        <w:bottom w:val="none" w:sz="0" w:space="0" w:color="auto"/>
        <w:right w:val="none" w:sz="0" w:space="0" w:color="auto"/>
      </w:divBdr>
    </w:div>
    <w:div w:id="2048219681">
      <w:bodyDiv w:val="1"/>
      <w:marLeft w:val="0"/>
      <w:marRight w:val="0"/>
      <w:marTop w:val="0"/>
      <w:marBottom w:val="0"/>
      <w:divBdr>
        <w:top w:val="none" w:sz="0" w:space="0" w:color="auto"/>
        <w:left w:val="none" w:sz="0" w:space="0" w:color="auto"/>
        <w:bottom w:val="none" w:sz="0" w:space="0" w:color="auto"/>
        <w:right w:val="none" w:sz="0" w:space="0" w:color="auto"/>
      </w:divBdr>
      <w:divsChild>
        <w:div w:id="385880882">
          <w:marLeft w:val="1387"/>
          <w:marRight w:val="1387"/>
          <w:marTop w:val="0"/>
          <w:marBottom w:val="0"/>
          <w:divBdr>
            <w:top w:val="none" w:sz="0" w:space="0" w:color="auto"/>
            <w:left w:val="none" w:sz="0" w:space="0" w:color="auto"/>
            <w:bottom w:val="none" w:sz="0" w:space="0" w:color="auto"/>
            <w:right w:val="none" w:sz="0" w:space="0" w:color="auto"/>
          </w:divBdr>
        </w:div>
      </w:divsChild>
    </w:div>
    <w:div w:id="2049528318">
      <w:bodyDiv w:val="1"/>
      <w:marLeft w:val="0"/>
      <w:marRight w:val="0"/>
      <w:marTop w:val="0"/>
      <w:marBottom w:val="0"/>
      <w:divBdr>
        <w:top w:val="none" w:sz="0" w:space="0" w:color="auto"/>
        <w:left w:val="none" w:sz="0" w:space="0" w:color="auto"/>
        <w:bottom w:val="none" w:sz="0" w:space="0" w:color="auto"/>
        <w:right w:val="none" w:sz="0" w:space="0" w:color="auto"/>
      </w:divBdr>
    </w:div>
    <w:div w:id="2057391614">
      <w:bodyDiv w:val="1"/>
      <w:marLeft w:val="0"/>
      <w:marRight w:val="0"/>
      <w:marTop w:val="0"/>
      <w:marBottom w:val="0"/>
      <w:divBdr>
        <w:top w:val="none" w:sz="0" w:space="0" w:color="auto"/>
        <w:left w:val="none" w:sz="0" w:space="0" w:color="auto"/>
        <w:bottom w:val="none" w:sz="0" w:space="0" w:color="auto"/>
        <w:right w:val="none" w:sz="0" w:space="0" w:color="auto"/>
      </w:divBdr>
    </w:div>
    <w:div w:id="2061660842">
      <w:bodyDiv w:val="1"/>
      <w:marLeft w:val="0"/>
      <w:marRight w:val="0"/>
      <w:marTop w:val="0"/>
      <w:marBottom w:val="0"/>
      <w:divBdr>
        <w:top w:val="none" w:sz="0" w:space="0" w:color="auto"/>
        <w:left w:val="none" w:sz="0" w:space="0" w:color="auto"/>
        <w:bottom w:val="none" w:sz="0" w:space="0" w:color="auto"/>
        <w:right w:val="none" w:sz="0" w:space="0" w:color="auto"/>
      </w:divBdr>
    </w:div>
    <w:div w:id="2063021914">
      <w:bodyDiv w:val="1"/>
      <w:marLeft w:val="0"/>
      <w:marRight w:val="0"/>
      <w:marTop w:val="0"/>
      <w:marBottom w:val="0"/>
      <w:divBdr>
        <w:top w:val="none" w:sz="0" w:space="0" w:color="auto"/>
        <w:left w:val="none" w:sz="0" w:space="0" w:color="auto"/>
        <w:bottom w:val="none" w:sz="0" w:space="0" w:color="auto"/>
        <w:right w:val="none" w:sz="0" w:space="0" w:color="auto"/>
      </w:divBdr>
      <w:divsChild>
        <w:div w:id="1082339511">
          <w:marLeft w:val="0"/>
          <w:marRight w:val="0"/>
          <w:marTop w:val="0"/>
          <w:marBottom w:val="0"/>
          <w:divBdr>
            <w:top w:val="none" w:sz="0" w:space="0" w:color="auto"/>
            <w:left w:val="none" w:sz="0" w:space="0" w:color="auto"/>
            <w:bottom w:val="none" w:sz="0" w:space="0" w:color="auto"/>
            <w:right w:val="none" w:sz="0" w:space="0" w:color="auto"/>
          </w:divBdr>
        </w:div>
      </w:divsChild>
    </w:div>
    <w:div w:id="2070763307">
      <w:bodyDiv w:val="1"/>
      <w:marLeft w:val="0"/>
      <w:marRight w:val="0"/>
      <w:marTop w:val="0"/>
      <w:marBottom w:val="0"/>
      <w:divBdr>
        <w:top w:val="none" w:sz="0" w:space="0" w:color="auto"/>
        <w:left w:val="none" w:sz="0" w:space="0" w:color="auto"/>
        <w:bottom w:val="none" w:sz="0" w:space="0" w:color="auto"/>
        <w:right w:val="none" w:sz="0" w:space="0" w:color="auto"/>
      </w:divBdr>
    </w:div>
    <w:div w:id="2077895694">
      <w:bodyDiv w:val="1"/>
      <w:marLeft w:val="0"/>
      <w:marRight w:val="0"/>
      <w:marTop w:val="0"/>
      <w:marBottom w:val="0"/>
      <w:divBdr>
        <w:top w:val="none" w:sz="0" w:space="0" w:color="auto"/>
        <w:left w:val="none" w:sz="0" w:space="0" w:color="auto"/>
        <w:bottom w:val="none" w:sz="0" w:space="0" w:color="auto"/>
        <w:right w:val="none" w:sz="0" w:space="0" w:color="auto"/>
      </w:divBdr>
    </w:div>
    <w:div w:id="2081756364">
      <w:bodyDiv w:val="1"/>
      <w:marLeft w:val="0"/>
      <w:marRight w:val="0"/>
      <w:marTop w:val="0"/>
      <w:marBottom w:val="0"/>
      <w:divBdr>
        <w:top w:val="none" w:sz="0" w:space="0" w:color="auto"/>
        <w:left w:val="none" w:sz="0" w:space="0" w:color="auto"/>
        <w:bottom w:val="none" w:sz="0" w:space="0" w:color="auto"/>
        <w:right w:val="none" w:sz="0" w:space="0" w:color="auto"/>
      </w:divBdr>
    </w:div>
    <w:div w:id="2082288268">
      <w:bodyDiv w:val="1"/>
      <w:marLeft w:val="0"/>
      <w:marRight w:val="0"/>
      <w:marTop w:val="0"/>
      <w:marBottom w:val="0"/>
      <w:divBdr>
        <w:top w:val="none" w:sz="0" w:space="0" w:color="auto"/>
        <w:left w:val="none" w:sz="0" w:space="0" w:color="auto"/>
        <w:bottom w:val="none" w:sz="0" w:space="0" w:color="auto"/>
        <w:right w:val="none" w:sz="0" w:space="0" w:color="auto"/>
      </w:divBdr>
    </w:div>
    <w:div w:id="2082829138">
      <w:bodyDiv w:val="1"/>
      <w:marLeft w:val="0"/>
      <w:marRight w:val="0"/>
      <w:marTop w:val="0"/>
      <w:marBottom w:val="0"/>
      <w:divBdr>
        <w:top w:val="none" w:sz="0" w:space="0" w:color="auto"/>
        <w:left w:val="none" w:sz="0" w:space="0" w:color="auto"/>
        <w:bottom w:val="none" w:sz="0" w:space="0" w:color="auto"/>
        <w:right w:val="none" w:sz="0" w:space="0" w:color="auto"/>
      </w:divBdr>
    </w:div>
    <w:div w:id="2085375809">
      <w:bodyDiv w:val="1"/>
      <w:marLeft w:val="0"/>
      <w:marRight w:val="0"/>
      <w:marTop w:val="0"/>
      <w:marBottom w:val="0"/>
      <w:divBdr>
        <w:top w:val="none" w:sz="0" w:space="0" w:color="auto"/>
        <w:left w:val="none" w:sz="0" w:space="0" w:color="auto"/>
        <w:bottom w:val="none" w:sz="0" w:space="0" w:color="auto"/>
        <w:right w:val="none" w:sz="0" w:space="0" w:color="auto"/>
      </w:divBdr>
      <w:divsChild>
        <w:div w:id="310791815">
          <w:marLeft w:val="0"/>
          <w:marRight w:val="0"/>
          <w:marTop w:val="0"/>
          <w:marBottom w:val="225"/>
          <w:divBdr>
            <w:top w:val="none" w:sz="0" w:space="0" w:color="auto"/>
            <w:left w:val="none" w:sz="0" w:space="0" w:color="auto"/>
            <w:bottom w:val="none" w:sz="0" w:space="0" w:color="auto"/>
            <w:right w:val="none" w:sz="0" w:space="0" w:color="auto"/>
          </w:divBdr>
        </w:div>
        <w:div w:id="918562672">
          <w:marLeft w:val="0"/>
          <w:marRight w:val="0"/>
          <w:marTop w:val="0"/>
          <w:marBottom w:val="225"/>
          <w:divBdr>
            <w:top w:val="none" w:sz="0" w:space="0" w:color="auto"/>
            <w:left w:val="none" w:sz="0" w:space="0" w:color="auto"/>
            <w:bottom w:val="none" w:sz="0" w:space="0" w:color="auto"/>
            <w:right w:val="none" w:sz="0" w:space="0" w:color="auto"/>
          </w:divBdr>
        </w:div>
      </w:divsChild>
    </w:div>
    <w:div w:id="2088336892">
      <w:bodyDiv w:val="1"/>
      <w:marLeft w:val="0"/>
      <w:marRight w:val="0"/>
      <w:marTop w:val="0"/>
      <w:marBottom w:val="0"/>
      <w:divBdr>
        <w:top w:val="none" w:sz="0" w:space="0" w:color="auto"/>
        <w:left w:val="none" w:sz="0" w:space="0" w:color="auto"/>
        <w:bottom w:val="none" w:sz="0" w:space="0" w:color="auto"/>
        <w:right w:val="none" w:sz="0" w:space="0" w:color="auto"/>
      </w:divBdr>
      <w:divsChild>
        <w:div w:id="419063721">
          <w:marLeft w:val="-2400"/>
          <w:marRight w:val="-480"/>
          <w:marTop w:val="0"/>
          <w:marBottom w:val="0"/>
          <w:divBdr>
            <w:top w:val="none" w:sz="0" w:space="0" w:color="auto"/>
            <w:left w:val="none" w:sz="0" w:space="0" w:color="auto"/>
            <w:bottom w:val="none" w:sz="0" w:space="0" w:color="auto"/>
            <w:right w:val="none" w:sz="0" w:space="0" w:color="auto"/>
          </w:divBdr>
        </w:div>
        <w:div w:id="1388457274">
          <w:marLeft w:val="-2400"/>
          <w:marRight w:val="-480"/>
          <w:marTop w:val="0"/>
          <w:marBottom w:val="0"/>
          <w:divBdr>
            <w:top w:val="none" w:sz="0" w:space="0" w:color="auto"/>
            <w:left w:val="none" w:sz="0" w:space="0" w:color="auto"/>
            <w:bottom w:val="none" w:sz="0" w:space="0" w:color="auto"/>
            <w:right w:val="none" w:sz="0" w:space="0" w:color="auto"/>
          </w:divBdr>
        </w:div>
        <w:div w:id="1752923325">
          <w:marLeft w:val="-2400"/>
          <w:marRight w:val="-480"/>
          <w:marTop w:val="0"/>
          <w:marBottom w:val="0"/>
          <w:divBdr>
            <w:top w:val="none" w:sz="0" w:space="0" w:color="auto"/>
            <w:left w:val="none" w:sz="0" w:space="0" w:color="auto"/>
            <w:bottom w:val="none" w:sz="0" w:space="0" w:color="auto"/>
            <w:right w:val="none" w:sz="0" w:space="0" w:color="auto"/>
          </w:divBdr>
        </w:div>
      </w:divsChild>
    </w:div>
    <w:div w:id="2089691728">
      <w:bodyDiv w:val="1"/>
      <w:marLeft w:val="0"/>
      <w:marRight w:val="0"/>
      <w:marTop w:val="0"/>
      <w:marBottom w:val="0"/>
      <w:divBdr>
        <w:top w:val="none" w:sz="0" w:space="0" w:color="auto"/>
        <w:left w:val="none" w:sz="0" w:space="0" w:color="auto"/>
        <w:bottom w:val="none" w:sz="0" w:space="0" w:color="auto"/>
        <w:right w:val="none" w:sz="0" w:space="0" w:color="auto"/>
      </w:divBdr>
    </w:div>
    <w:div w:id="2091347107">
      <w:bodyDiv w:val="1"/>
      <w:marLeft w:val="0"/>
      <w:marRight w:val="0"/>
      <w:marTop w:val="0"/>
      <w:marBottom w:val="0"/>
      <w:divBdr>
        <w:top w:val="none" w:sz="0" w:space="0" w:color="auto"/>
        <w:left w:val="none" w:sz="0" w:space="0" w:color="auto"/>
        <w:bottom w:val="none" w:sz="0" w:space="0" w:color="auto"/>
        <w:right w:val="none" w:sz="0" w:space="0" w:color="auto"/>
      </w:divBdr>
      <w:divsChild>
        <w:div w:id="107355465">
          <w:marLeft w:val="547"/>
          <w:marRight w:val="0"/>
          <w:marTop w:val="0"/>
          <w:marBottom w:val="0"/>
          <w:divBdr>
            <w:top w:val="none" w:sz="0" w:space="0" w:color="auto"/>
            <w:left w:val="none" w:sz="0" w:space="0" w:color="auto"/>
            <w:bottom w:val="none" w:sz="0" w:space="0" w:color="auto"/>
            <w:right w:val="none" w:sz="0" w:space="0" w:color="auto"/>
          </w:divBdr>
        </w:div>
        <w:div w:id="147013447">
          <w:marLeft w:val="547"/>
          <w:marRight w:val="0"/>
          <w:marTop w:val="0"/>
          <w:marBottom w:val="0"/>
          <w:divBdr>
            <w:top w:val="none" w:sz="0" w:space="0" w:color="auto"/>
            <w:left w:val="none" w:sz="0" w:space="0" w:color="auto"/>
            <w:bottom w:val="none" w:sz="0" w:space="0" w:color="auto"/>
            <w:right w:val="none" w:sz="0" w:space="0" w:color="auto"/>
          </w:divBdr>
        </w:div>
        <w:div w:id="327171925">
          <w:marLeft w:val="547"/>
          <w:marRight w:val="0"/>
          <w:marTop w:val="0"/>
          <w:marBottom w:val="0"/>
          <w:divBdr>
            <w:top w:val="none" w:sz="0" w:space="0" w:color="auto"/>
            <w:left w:val="none" w:sz="0" w:space="0" w:color="auto"/>
            <w:bottom w:val="none" w:sz="0" w:space="0" w:color="auto"/>
            <w:right w:val="none" w:sz="0" w:space="0" w:color="auto"/>
          </w:divBdr>
        </w:div>
        <w:div w:id="1882980372">
          <w:marLeft w:val="547"/>
          <w:marRight w:val="0"/>
          <w:marTop w:val="0"/>
          <w:marBottom w:val="0"/>
          <w:divBdr>
            <w:top w:val="none" w:sz="0" w:space="0" w:color="auto"/>
            <w:left w:val="none" w:sz="0" w:space="0" w:color="auto"/>
            <w:bottom w:val="none" w:sz="0" w:space="0" w:color="auto"/>
            <w:right w:val="none" w:sz="0" w:space="0" w:color="auto"/>
          </w:divBdr>
        </w:div>
      </w:divsChild>
    </w:div>
    <w:div w:id="2092002694">
      <w:bodyDiv w:val="1"/>
      <w:marLeft w:val="0"/>
      <w:marRight w:val="0"/>
      <w:marTop w:val="0"/>
      <w:marBottom w:val="0"/>
      <w:divBdr>
        <w:top w:val="none" w:sz="0" w:space="0" w:color="auto"/>
        <w:left w:val="none" w:sz="0" w:space="0" w:color="auto"/>
        <w:bottom w:val="none" w:sz="0" w:space="0" w:color="auto"/>
        <w:right w:val="none" w:sz="0" w:space="0" w:color="auto"/>
      </w:divBdr>
    </w:div>
    <w:div w:id="2092194904">
      <w:bodyDiv w:val="1"/>
      <w:marLeft w:val="0"/>
      <w:marRight w:val="0"/>
      <w:marTop w:val="0"/>
      <w:marBottom w:val="0"/>
      <w:divBdr>
        <w:top w:val="none" w:sz="0" w:space="0" w:color="auto"/>
        <w:left w:val="none" w:sz="0" w:space="0" w:color="auto"/>
        <w:bottom w:val="none" w:sz="0" w:space="0" w:color="auto"/>
        <w:right w:val="none" w:sz="0" w:space="0" w:color="auto"/>
      </w:divBdr>
    </w:div>
    <w:div w:id="2093771046">
      <w:bodyDiv w:val="1"/>
      <w:marLeft w:val="0"/>
      <w:marRight w:val="0"/>
      <w:marTop w:val="0"/>
      <w:marBottom w:val="0"/>
      <w:divBdr>
        <w:top w:val="none" w:sz="0" w:space="0" w:color="auto"/>
        <w:left w:val="none" w:sz="0" w:space="0" w:color="auto"/>
        <w:bottom w:val="none" w:sz="0" w:space="0" w:color="auto"/>
        <w:right w:val="none" w:sz="0" w:space="0" w:color="auto"/>
      </w:divBdr>
    </w:div>
    <w:div w:id="2099979288">
      <w:bodyDiv w:val="1"/>
      <w:marLeft w:val="0"/>
      <w:marRight w:val="0"/>
      <w:marTop w:val="0"/>
      <w:marBottom w:val="0"/>
      <w:divBdr>
        <w:top w:val="none" w:sz="0" w:space="0" w:color="auto"/>
        <w:left w:val="none" w:sz="0" w:space="0" w:color="auto"/>
        <w:bottom w:val="none" w:sz="0" w:space="0" w:color="auto"/>
        <w:right w:val="none" w:sz="0" w:space="0" w:color="auto"/>
      </w:divBdr>
      <w:divsChild>
        <w:div w:id="117144117">
          <w:marLeft w:val="547"/>
          <w:marRight w:val="0"/>
          <w:marTop w:val="0"/>
          <w:marBottom w:val="0"/>
          <w:divBdr>
            <w:top w:val="none" w:sz="0" w:space="0" w:color="auto"/>
            <w:left w:val="none" w:sz="0" w:space="0" w:color="auto"/>
            <w:bottom w:val="none" w:sz="0" w:space="0" w:color="auto"/>
            <w:right w:val="none" w:sz="0" w:space="0" w:color="auto"/>
          </w:divBdr>
        </w:div>
      </w:divsChild>
    </w:div>
    <w:div w:id="2104908933">
      <w:bodyDiv w:val="1"/>
      <w:marLeft w:val="0"/>
      <w:marRight w:val="0"/>
      <w:marTop w:val="0"/>
      <w:marBottom w:val="0"/>
      <w:divBdr>
        <w:top w:val="none" w:sz="0" w:space="0" w:color="auto"/>
        <w:left w:val="none" w:sz="0" w:space="0" w:color="auto"/>
        <w:bottom w:val="none" w:sz="0" w:space="0" w:color="auto"/>
        <w:right w:val="none" w:sz="0" w:space="0" w:color="auto"/>
      </w:divBdr>
    </w:div>
    <w:div w:id="2106800845">
      <w:bodyDiv w:val="1"/>
      <w:marLeft w:val="0"/>
      <w:marRight w:val="0"/>
      <w:marTop w:val="0"/>
      <w:marBottom w:val="0"/>
      <w:divBdr>
        <w:top w:val="none" w:sz="0" w:space="0" w:color="auto"/>
        <w:left w:val="none" w:sz="0" w:space="0" w:color="auto"/>
        <w:bottom w:val="none" w:sz="0" w:space="0" w:color="auto"/>
        <w:right w:val="none" w:sz="0" w:space="0" w:color="auto"/>
      </w:divBdr>
      <w:divsChild>
        <w:div w:id="936984924">
          <w:marLeft w:val="547"/>
          <w:marRight w:val="0"/>
          <w:marTop w:val="0"/>
          <w:marBottom w:val="0"/>
          <w:divBdr>
            <w:top w:val="none" w:sz="0" w:space="0" w:color="auto"/>
            <w:left w:val="none" w:sz="0" w:space="0" w:color="auto"/>
            <w:bottom w:val="none" w:sz="0" w:space="0" w:color="auto"/>
            <w:right w:val="none" w:sz="0" w:space="0" w:color="auto"/>
          </w:divBdr>
        </w:div>
        <w:div w:id="1573077454">
          <w:marLeft w:val="547"/>
          <w:marRight w:val="0"/>
          <w:marTop w:val="0"/>
          <w:marBottom w:val="0"/>
          <w:divBdr>
            <w:top w:val="none" w:sz="0" w:space="0" w:color="auto"/>
            <w:left w:val="none" w:sz="0" w:space="0" w:color="auto"/>
            <w:bottom w:val="none" w:sz="0" w:space="0" w:color="auto"/>
            <w:right w:val="none" w:sz="0" w:space="0" w:color="auto"/>
          </w:divBdr>
        </w:div>
        <w:div w:id="1664700634">
          <w:marLeft w:val="547"/>
          <w:marRight w:val="0"/>
          <w:marTop w:val="0"/>
          <w:marBottom w:val="0"/>
          <w:divBdr>
            <w:top w:val="none" w:sz="0" w:space="0" w:color="auto"/>
            <w:left w:val="none" w:sz="0" w:space="0" w:color="auto"/>
            <w:bottom w:val="none" w:sz="0" w:space="0" w:color="auto"/>
            <w:right w:val="none" w:sz="0" w:space="0" w:color="auto"/>
          </w:divBdr>
        </w:div>
      </w:divsChild>
    </w:div>
    <w:div w:id="2108235895">
      <w:bodyDiv w:val="1"/>
      <w:marLeft w:val="0"/>
      <w:marRight w:val="0"/>
      <w:marTop w:val="0"/>
      <w:marBottom w:val="0"/>
      <w:divBdr>
        <w:top w:val="none" w:sz="0" w:space="0" w:color="auto"/>
        <w:left w:val="none" w:sz="0" w:space="0" w:color="auto"/>
        <w:bottom w:val="none" w:sz="0" w:space="0" w:color="auto"/>
        <w:right w:val="none" w:sz="0" w:space="0" w:color="auto"/>
      </w:divBdr>
    </w:div>
    <w:div w:id="2108496044">
      <w:bodyDiv w:val="1"/>
      <w:marLeft w:val="0"/>
      <w:marRight w:val="0"/>
      <w:marTop w:val="0"/>
      <w:marBottom w:val="0"/>
      <w:divBdr>
        <w:top w:val="none" w:sz="0" w:space="0" w:color="auto"/>
        <w:left w:val="none" w:sz="0" w:space="0" w:color="auto"/>
        <w:bottom w:val="none" w:sz="0" w:space="0" w:color="auto"/>
        <w:right w:val="none" w:sz="0" w:space="0" w:color="auto"/>
      </w:divBdr>
    </w:div>
    <w:div w:id="2109277773">
      <w:bodyDiv w:val="1"/>
      <w:marLeft w:val="0"/>
      <w:marRight w:val="0"/>
      <w:marTop w:val="0"/>
      <w:marBottom w:val="0"/>
      <w:divBdr>
        <w:top w:val="none" w:sz="0" w:space="0" w:color="auto"/>
        <w:left w:val="none" w:sz="0" w:space="0" w:color="auto"/>
        <w:bottom w:val="none" w:sz="0" w:space="0" w:color="auto"/>
        <w:right w:val="none" w:sz="0" w:space="0" w:color="auto"/>
      </w:divBdr>
    </w:div>
    <w:div w:id="2109501200">
      <w:bodyDiv w:val="1"/>
      <w:marLeft w:val="0"/>
      <w:marRight w:val="0"/>
      <w:marTop w:val="0"/>
      <w:marBottom w:val="0"/>
      <w:divBdr>
        <w:top w:val="none" w:sz="0" w:space="0" w:color="auto"/>
        <w:left w:val="none" w:sz="0" w:space="0" w:color="auto"/>
        <w:bottom w:val="none" w:sz="0" w:space="0" w:color="auto"/>
        <w:right w:val="none" w:sz="0" w:space="0" w:color="auto"/>
      </w:divBdr>
    </w:div>
    <w:div w:id="2113818142">
      <w:bodyDiv w:val="1"/>
      <w:marLeft w:val="0"/>
      <w:marRight w:val="0"/>
      <w:marTop w:val="0"/>
      <w:marBottom w:val="0"/>
      <w:divBdr>
        <w:top w:val="none" w:sz="0" w:space="0" w:color="auto"/>
        <w:left w:val="none" w:sz="0" w:space="0" w:color="auto"/>
        <w:bottom w:val="none" w:sz="0" w:space="0" w:color="auto"/>
        <w:right w:val="none" w:sz="0" w:space="0" w:color="auto"/>
      </w:divBdr>
    </w:div>
    <w:div w:id="2123107722">
      <w:bodyDiv w:val="1"/>
      <w:marLeft w:val="0"/>
      <w:marRight w:val="0"/>
      <w:marTop w:val="0"/>
      <w:marBottom w:val="0"/>
      <w:divBdr>
        <w:top w:val="none" w:sz="0" w:space="0" w:color="auto"/>
        <w:left w:val="none" w:sz="0" w:space="0" w:color="auto"/>
        <w:bottom w:val="none" w:sz="0" w:space="0" w:color="auto"/>
        <w:right w:val="none" w:sz="0" w:space="0" w:color="auto"/>
      </w:divBdr>
    </w:div>
    <w:div w:id="2135128825">
      <w:bodyDiv w:val="1"/>
      <w:marLeft w:val="0"/>
      <w:marRight w:val="0"/>
      <w:marTop w:val="0"/>
      <w:marBottom w:val="0"/>
      <w:divBdr>
        <w:top w:val="none" w:sz="0" w:space="0" w:color="auto"/>
        <w:left w:val="none" w:sz="0" w:space="0" w:color="auto"/>
        <w:bottom w:val="none" w:sz="0" w:space="0" w:color="auto"/>
        <w:right w:val="none" w:sz="0" w:space="0" w:color="auto"/>
      </w:divBdr>
    </w:div>
    <w:div w:id="21362932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15.xml"/><Relationship Id="rId21" Type="http://schemas.openxmlformats.org/officeDocument/2006/relationships/diagramQuickStyle" Target="diagrams/quickStyle2.xml"/><Relationship Id="rId42" Type="http://schemas.openxmlformats.org/officeDocument/2006/relationships/diagramColors" Target="diagrams/colors6.xml"/><Relationship Id="rId63" Type="http://schemas.openxmlformats.org/officeDocument/2006/relationships/chart" Target="charts/chart10.xml"/><Relationship Id="rId84" Type="http://schemas.openxmlformats.org/officeDocument/2006/relationships/header" Target="header5.xml"/><Relationship Id="rId138" Type="http://schemas.openxmlformats.org/officeDocument/2006/relationships/footer" Target="footer14.xml"/><Relationship Id="rId159" Type="http://schemas.openxmlformats.org/officeDocument/2006/relationships/image" Target="media/image47.png"/><Relationship Id="rId170" Type="http://schemas.openxmlformats.org/officeDocument/2006/relationships/image" Target="media/image58.svg"/><Relationship Id="rId191" Type="http://schemas.openxmlformats.org/officeDocument/2006/relationships/diagramLayout" Target="diagrams/layout11.xml"/><Relationship Id="rId205" Type="http://schemas.openxmlformats.org/officeDocument/2006/relationships/footer" Target="footer25.xml"/><Relationship Id="rId107" Type="http://schemas.openxmlformats.org/officeDocument/2006/relationships/header" Target="header11.xml"/><Relationship Id="rId11" Type="http://schemas.openxmlformats.org/officeDocument/2006/relationships/footer" Target="footer1.xml"/><Relationship Id="rId32" Type="http://schemas.openxmlformats.org/officeDocument/2006/relationships/diagramColors" Target="diagrams/colors4.xml"/><Relationship Id="rId53" Type="http://schemas.openxmlformats.org/officeDocument/2006/relationships/image" Target="media/image7.png"/><Relationship Id="rId74" Type="http://schemas.openxmlformats.org/officeDocument/2006/relationships/chart" Target="charts/chart18.xml"/><Relationship Id="rId128" Type="http://schemas.openxmlformats.org/officeDocument/2006/relationships/image" Target="media/image43.png"/><Relationship Id="rId149" Type="http://schemas.microsoft.com/office/2007/relationships/diagramDrawing" Target="diagrams/drawing9.xml"/><Relationship Id="rId5" Type="http://schemas.openxmlformats.org/officeDocument/2006/relationships/webSettings" Target="webSettings.xml"/><Relationship Id="rId95" Type="http://schemas.openxmlformats.org/officeDocument/2006/relationships/image" Target="media/image24.png"/><Relationship Id="rId160" Type="http://schemas.openxmlformats.org/officeDocument/2006/relationships/image" Target="media/image48.svg"/><Relationship Id="rId181" Type="http://schemas.openxmlformats.org/officeDocument/2006/relationships/image" Target="media/image68.svg"/><Relationship Id="rId22" Type="http://schemas.openxmlformats.org/officeDocument/2006/relationships/diagramColors" Target="diagrams/colors2.xml"/><Relationship Id="rId43" Type="http://schemas.microsoft.com/office/2007/relationships/diagramDrawing" Target="diagrams/drawing6.xml"/><Relationship Id="rId64" Type="http://schemas.openxmlformats.org/officeDocument/2006/relationships/chart" Target="charts/chart11.xml"/><Relationship Id="rId118" Type="http://schemas.openxmlformats.org/officeDocument/2006/relationships/image" Target="media/image33.png"/><Relationship Id="rId139" Type="http://schemas.openxmlformats.org/officeDocument/2006/relationships/footer" Target="footer15.xml"/><Relationship Id="rId85" Type="http://schemas.openxmlformats.org/officeDocument/2006/relationships/header" Target="header6.xml"/><Relationship Id="rId150" Type="http://schemas.openxmlformats.org/officeDocument/2006/relationships/diagramData" Target="diagrams/data10.xml"/><Relationship Id="rId171" Type="http://schemas.openxmlformats.org/officeDocument/2006/relationships/image" Target="media/image59.png"/><Relationship Id="rId192" Type="http://schemas.openxmlformats.org/officeDocument/2006/relationships/diagramQuickStyle" Target="diagrams/quickStyle11.xml"/><Relationship Id="rId206" Type="http://schemas.openxmlformats.org/officeDocument/2006/relationships/fontTable" Target="fontTable.xml"/><Relationship Id="rId12" Type="http://schemas.openxmlformats.org/officeDocument/2006/relationships/footer" Target="footer2.xml"/><Relationship Id="rId33" Type="http://schemas.microsoft.com/office/2007/relationships/diagramDrawing" Target="diagrams/drawing4.xml"/><Relationship Id="rId108" Type="http://schemas.openxmlformats.org/officeDocument/2006/relationships/header" Target="header12.xml"/><Relationship Id="rId129" Type="http://schemas.openxmlformats.org/officeDocument/2006/relationships/image" Target="media/image44.svg"/><Relationship Id="rId54" Type="http://schemas.openxmlformats.org/officeDocument/2006/relationships/chart" Target="charts/chart1.xml"/><Relationship Id="rId75" Type="http://schemas.openxmlformats.org/officeDocument/2006/relationships/image" Target="media/image11.png"/><Relationship Id="rId96" Type="http://schemas.openxmlformats.org/officeDocument/2006/relationships/image" Target="media/image25.png"/><Relationship Id="rId140" Type="http://schemas.openxmlformats.org/officeDocument/2006/relationships/diagramData" Target="diagrams/data8.xml"/><Relationship Id="rId161" Type="http://schemas.openxmlformats.org/officeDocument/2006/relationships/image" Target="media/image49.png"/><Relationship Id="rId182" Type="http://schemas.openxmlformats.org/officeDocument/2006/relationships/image" Target="media/image69.png"/><Relationship Id="rId6" Type="http://schemas.openxmlformats.org/officeDocument/2006/relationships/footnotes" Target="footnotes.xml"/><Relationship Id="rId23" Type="http://schemas.microsoft.com/office/2007/relationships/diagramDrawing" Target="diagrams/drawing2.xml"/><Relationship Id="rId119" Type="http://schemas.openxmlformats.org/officeDocument/2006/relationships/image" Target="media/image34.svg"/><Relationship Id="rId44" Type="http://schemas.openxmlformats.org/officeDocument/2006/relationships/diagramData" Target="diagrams/data7.xml"/><Relationship Id="rId65" Type="http://schemas.openxmlformats.org/officeDocument/2006/relationships/chart" Target="charts/chart12.xml"/><Relationship Id="rId86" Type="http://schemas.openxmlformats.org/officeDocument/2006/relationships/image" Target="media/image19.png"/><Relationship Id="rId130" Type="http://schemas.openxmlformats.org/officeDocument/2006/relationships/image" Target="media/image45.png"/><Relationship Id="rId151" Type="http://schemas.openxmlformats.org/officeDocument/2006/relationships/diagramLayout" Target="diagrams/layout10.xml"/><Relationship Id="rId172" Type="http://schemas.openxmlformats.org/officeDocument/2006/relationships/image" Target="media/image60.svg"/><Relationship Id="rId193" Type="http://schemas.openxmlformats.org/officeDocument/2006/relationships/diagramColors" Target="diagrams/colors11.xml"/><Relationship Id="rId207" Type="http://schemas.openxmlformats.org/officeDocument/2006/relationships/theme" Target="theme/theme1.xml"/><Relationship Id="rId13" Type="http://schemas.openxmlformats.org/officeDocument/2006/relationships/image" Target="media/image4.png"/><Relationship Id="rId109" Type="http://schemas.openxmlformats.org/officeDocument/2006/relationships/footer" Target="footer8.xml"/><Relationship Id="rId34" Type="http://schemas.openxmlformats.org/officeDocument/2006/relationships/diagramData" Target="diagrams/data5.xml"/><Relationship Id="rId55" Type="http://schemas.openxmlformats.org/officeDocument/2006/relationships/chart" Target="charts/chart2.xml"/><Relationship Id="rId76" Type="http://schemas.openxmlformats.org/officeDocument/2006/relationships/hyperlink" Target="https://geoserwis.gdos.gov.pl/mapy/" TargetMode="External"/><Relationship Id="rId97" Type="http://schemas.openxmlformats.org/officeDocument/2006/relationships/image" Target="media/image26.png"/><Relationship Id="rId120" Type="http://schemas.openxmlformats.org/officeDocument/2006/relationships/image" Target="media/image35.png"/><Relationship Id="rId141" Type="http://schemas.openxmlformats.org/officeDocument/2006/relationships/diagramLayout" Target="diagrams/layout8.xml"/><Relationship Id="rId7" Type="http://schemas.openxmlformats.org/officeDocument/2006/relationships/endnotes" Target="endnotes.xml"/><Relationship Id="rId162" Type="http://schemas.openxmlformats.org/officeDocument/2006/relationships/image" Target="media/image50.svg"/><Relationship Id="rId183" Type="http://schemas.openxmlformats.org/officeDocument/2006/relationships/image" Target="media/image70.svg"/><Relationship Id="rId24" Type="http://schemas.openxmlformats.org/officeDocument/2006/relationships/diagramData" Target="diagrams/data3.xml"/><Relationship Id="rId40" Type="http://schemas.openxmlformats.org/officeDocument/2006/relationships/diagramLayout" Target="diagrams/layout6.xml"/><Relationship Id="rId45" Type="http://schemas.openxmlformats.org/officeDocument/2006/relationships/diagramLayout" Target="diagrams/layout7.xml"/><Relationship Id="rId66" Type="http://schemas.openxmlformats.org/officeDocument/2006/relationships/chart" Target="charts/chart13.xml"/><Relationship Id="rId87" Type="http://schemas.openxmlformats.org/officeDocument/2006/relationships/image" Target="media/image20.png"/><Relationship Id="rId110" Type="http://schemas.openxmlformats.org/officeDocument/2006/relationships/footer" Target="footer9.xml"/><Relationship Id="rId115" Type="http://schemas.openxmlformats.org/officeDocument/2006/relationships/header" Target="header14.xml"/><Relationship Id="rId131" Type="http://schemas.openxmlformats.org/officeDocument/2006/relationships/image" Target="media/image46.svg"/><Relationship Id="rId136" Type="http://schemas.openxmlformats.org/officeDocument/2006/relationships/header" Target="header18.xml"/><Relationship Id="rId157" Type="http://schemas.openxmlformats.org/officeDocument/2006/relationships/footer" Target="footer16.xml"/><Relationship Id="rId178" Type="http://schemas.openxmlformats.org/officeDocument/2006/relationships/image" Target="media/image65.png"/><Relationship Id="rId61" Type="http://schemas.openxmlformats.org/officeDocument/2006/relationships/chart" Target="charts/chart8.xml"/><Relationship Id="rId82" Type="http://schemas.openxmlformats.org/officeDocument/2006/relationships/image" Target="media/image17.png"/><Relationship Id="rId152" Type="http://schemas.openxmlformats.org/officeDocument/2006/relationships/diagramQuickStyle" Target="diagrams/quickStyle10.xml"/><Relationship Id="rId173" Type="http://schemas.openxmlformats.org/officeDocument/2006/relationships/hyperlink" Target="https://www.gov.pl/web/nfosigw/standardy-ochrony-drzew" TargetMode="External"/><Relationship Id="rId194" Type="http://schemas.microsoft.com/office/2007/relationships/diagramDrawing" Target="diagrams/drawing11.xml"/><Relationship Id="rId199" Type="http://schemas.openxmlformats.org/officeDocument/2006/relationships/header" Target="header26.xml"/><Relationship Id="rId203" Type="http://schemas.openxmlformats.org/officeDocument/2006/relationships/footer" Target="footer24.xml"/><Relationship Id="rId19" Type="http://schemas.openxmlformats.org/officeDocument/2006/relationships/diagramData" Target="diagrams/data2.xml"/><Relationship Id="rId14" Type="http://schemas.openxmlformats.org/officeDocument/2006/relationships/diagramData" Target="diagrams/data1.xml"/><Relationship Id="rId30" Type="http://schemas.openxmlformats.org/officeDocument/2006/relationships/diagramLayout" Target="diagrams/layout4.xml"/><Relationship Id="rId35" Type="http://schemas.openxmlformats.org/officeDocument/2006/relationships/diagramLayout" Target="diagrams/layout5.xml"/><Relationship Id="rId56" Type="http://schemas.openxmlformats.org/officeDocument/2006/relationships/chart" Target="charts/chart3.xml"/><Relationship Id="rId77" Type="http://schemas.openxmlformats.org/officeDocument/2006/relationships/image" Target="media/image12.png"/><Relationship Id="rId100" Type="http://schemas.openxmlformats.org/officeDocument/2006/relationships/footer" Target="footer6.xml"/><Relationship Id="rId105" Type="http://schemas.openxmlformats.org/officeDocument/2006/relationships/image" Target="media/image30.png"/><Relationship Id="rId126" Type="http://schemas.openxmlformats.org/officeDocument/2006/relationships/image" Target="media/image41.png"/><Relationship Id="rId147" Type="http://schemas.openxmlformats.org/officeDocument/2006/relationships/diagramQuickStyle" Target="diagrams/quickStyle9.xml"/><Relationship Id="rId168" Type="http://schemas.openxmlformats.org/officeDocument/2006/relationships/image" Target="media/image56.svg"/><Relationship Id="rId8" Type="http://schemas.openxmlformats.org/officeDocument/2006/relationships/image" Target="media/image1.png"/><Relationship Id="rId51" Type="http://schemas.openxmlformats.org/officeDocument/2006/relationships/header" Target="header4.xml"/><Relationship Id="rId72" Type="http://schemas.openxmlformats.org/officeDocument/2006/relationships/chart" Target="charts/chart17.xml"/><Relationship Id="rId93" Type="http://schemas.openxmlformats.org/officeDocument/2006/relationships/image" Target="media/image22.png"/><Relationship Id="rId98" Type="http://schemas.openxmlformats.org/officeDocument/2006/relationships/image" Target="media/image27.png"/><Relationship Id="rId121" Type="http://schemas.openxmlformats.org/officeDocument/2006/relationships/image" Target="media/image36.svg"/><Relationship Id="rId142" Type="http://schemas.openxmlformats.org/officeDocument/2006/relationships/diagramQuickStyle" Target="diagrams/quickStyle8.xml"/><Relationship Id="rId163" Type="http://schemas.openxmlformats.org/officeDocument/2006/relationships/image" Target="media/image51.png"/><Relationship Id="rId184" Type="http://schemas.openxmlformats.org/officeDocument/2006/relationships/image" Target="media/image71.png"/><Relationship Id="rId189" Type="http://schemas.openxmlformats.org/officeDocument/2006/relationships/hyperlink" Target="http://www.nfosigw.gov.pl/" TargetMode="External"/><Relationship Id="rId3" Type="http://schemas.openxmlformats.org/officeDocument/2006/relationships/styles" Target="styles.xml"/><Relationship Id="rId25" Type="http://schemas.openxmlformats.org/officeDocument/2006/relationships/diagramLayout" Target="diagrams/layout3.xml"/><Relationship Id="rId46" Type="http://schemas.openxmlformats.org/officeDocument/2006/relationships/diagramQuickStyle" Target="diagrams/quickStyle7.xml"/><Relationship Id="rId67" Type="http://schemas.openxmlformats.org/officeDocument/2006/relationships/chart" Target="charts/chart14.xml"/><Relationship Id="rId116" Type="http://schemas.openxmlformats.org/officeDocument/2006/relationships/footer" Target="footer11.xml"/><Relationship Id="rId137" Type="http://schemas.openxmlformats.org/officeDocument/2006/relationships/header" Target="header19.xml"/><Relationship Id="rId158" Type="http://schemas.openxmlformats.org/officeDocument/2006/relationships/footer" Target="footer17.xml"/><Relationship Id="rId20" Type="http://schemas.openxmlformats.org/officeDocument/2006/relationships/diagramLayout" Target="diagrams/layout2.xml"/><Relationship Id="rId41" Type="http://schemas.openxmlformats.org/officeDocument/2006/relationships/diagramQuickStyle" Target="diagrams/quickStyle6.xml"/><Relationship Id="rId62" Type="http://schemas.openxmlformats.org/officeDocument/2006/relationships/chart" Target="charts/chart9.xml"/><Relationship Id="rId83" Type="http://schemas.openxmlformats.org/officeDocument/2006/relationships/image" Target="media/image18.png"/><Relationship Id="rId88" Type="http://schemas.openxmlformats.org/officeDocument/2006/relationships/image" Target="media/image21.png"/><Relationship Id="rId111" Type="http://schemas.openxmlformats.org/officeDocument/2006/relationships/image" Target="media/image31.png"/><Relationship Id="rId132" Type="http://schemas.openxmlformats.org/officeDocument/2006/relationships/header" Target="header16.xml"/><Relationship Id="rId153" Type="http://schemas.openxmlformats.org/officeDocument/2006/relationships/diagramColors" Target="diagrams/colors10.xml"/><Relationship Id="rId174" Type="http://schemas.openxmlformats.org/officeDocument/2006/relationships/image" Target="media/image61.png"/><Relationship Id="rId179" Type="http://schemas.openxmlformats.org/officeDocument/2006/relationships/image" Target="media/image66.svg"/><Relationship Id="rId195" Type="http://schemas.openxmlformats.org/officeDocument/2006/relationships/header" Target="header24.xml"/><Relationship Id="rId190" Type="http://schemas.openxmlformats.org/officeDocument/2006/relationships/diagramData" Target="diagrams/data11.xml"/><Relationship Id="rId204" Type="http://schemas.openxmlformats.org/officeDocument/2006/relationships/header" Target="header28.xml"/><Relationship Id="rId15" Type="http://schemas.openxmlformats.org/officeDocument/2006/relationships/diagramLayout" Target="diagrams/layout1.xml"/><Relationship Id="rId36" Type="http://schemas.openxmlformats.org/officeDocument/2006/relationships/diagramQuickStyle" Target="diagrams/quickStyle5.xml"/><Relationship Id="rId57" Type="http://schemas.openxmlformats.org/officeDocument/2006/relationships/chart" Target="charts/chart4.xml"/><Relationship Id="rId106" Type="http://schemas.openxmlformats.org/officeDocument/2006/relationships/chart" Target="charts/chart19.xml"/><Relationship Id="rId127" Type="http://schemas.openxmlformats.org/officeDocument/2006/relationships/image" Target="media/image42.svg"/><Relationship Id="rId10" Type="http://schemas.openxmlformats.org/officeDocument/2006/relationships/header" Target="header2.xml"/><Relationship Id="rId31" Type="http://schemas.openxmlformats.org/officeDocument/2006/relationships/diagramQuickStyle" Target="diagrams/quickStyle4.xml"/><Relationship Id="rId52" Type="http://schemas.openxmlformats.org/officeDocument/2006/relationships/footer" Target="footer3.xml"/><Relationship Id="rId73" Type="http://schemas.openxmlformats.org/officeDocument/2006/relationships/image" Target="media/image10.png"/><Relationship Id="rId78" Type="http://schemas.openxmlformats.org/officeDocument/2006/relationships/image" Target="media/image13.png"/><Relationship Id="rId94" Type="http://schemas.openxmlformats.org/officeDocument/2006/relationships/image" Target="media/image23.png"/><Relationship Id="rId99" Type="http://schemas.openxmlformats.org/officeDocument/2006/relationships/header" Target="header9.xml"/><Relationship Id="rId101" Type="http://schemas.openxmlformats.org/officeDocument/2006/relationships/header" Target="header10.xml"/><Relationship Id="rId122" Type="http://schemas.openxmlformats.org/officeDocument/2006/relationships/image" Target="media/image37.png"/><Relationship Id="rId143" Type="http://schemas.openxmlformats.org/officeDocument/2006/relationships/diagramColors" Target="diagrams/colors8.xml"/><Relationship Id="rId148" Type="http://schemas.openxmlformats.org/officeDocument/2006/relationships/diagramColors" Target="diagrams/colors9.xml"/><Relationship Id="rId164" Type="http://schemas.openxmlformats.org/officeDocument/2006/relationships/image" Target="media/image52.svg"/><Relationship Id="rId169" Type="http://schemas.openxmlformats.org/officeDocument/2006/relationships/image" Target="media/image57.png"/><Relationship Id="rId185" Type="http://schemas.openxmlformats.org/officeDocument/2006/relationships/header" Target="header22.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67.png"/><Relationship Id="rId26" Type="http://schemas.openxmlformats.org/officeDocument/2006/relationships/diagramQuickStyle" Target="diagrams/quickStyle3.xml"/><Relationship Id="rId47" Type="http://schemas.openxmlformats.org/officeDocument/2006/relationships/diagramColors" Target="diagrams/colors7.xml"/><Relationship Id="rId68" Type="http://schemas.openxmlformats.org/officeDocument/2006/relationships/image" Target="media/image8.png"/><Relationship Id="rId89" Type="http://schemas.openxmlformats.org/officeDocument/2006/relationships/header" Target="header7.xml"/><Relationship Id="rId112" Type="http://schemas.openxmlformats.org/officeDocument/2006/relationships/image" Target="media/image32.png"/><Relationship Id="rId133" Type="http://schemas.openxmlformats.org/officeDocument/2006/relationships/header" Target="header17.xml"/><Relationship Id="rId154" Type="http://schemas.microsoft.com/office/2007/relationships/diagramDrawing" Target="diagrams/drawing10.xml"/><Relationship Id="rId175" Type="http://schemas.openxmlformats.org/officeDocument/2006/relationships/image" Target="media/image62.svg"/><Relationship Id="rId196" Type="http://schemas.openxmlformats.org/officeDocument/2006/relationships/header" Target="header25.xml"/><Relationship Id="rId200" Type="http://schemas.openxmlformats.org/officeDocument/2006/relationships/footer" Target="footer22.xml"/><Relationship Id="rId16" Type="http://schemas.openxmlformats.org/officeDocument/2006/relationships/diagramQuickStyle" Target="diagrams/quickStyle1.xml"/><Relationship Id="rId37" Type="http://schemas.openxmlformats.org/officeDocument/2006/relationships/diagramColors" Target="diagrams/colors5.xml"/><Relationship Id="rId58" Type="http://schemas.openxmlformats.org/officeDocument/2006/relationships/chart" Target="charts/chart5.xml"/><Relationship Id="rId79" Type="http://schemas.openxmlformats.org/officeDocument/2006/relationships/image" Target="media/image14.png"/><Relationship Id="rId102" Type="http://schemas.openxmlformats.org/officeDocument/2006/relationships/footer" Target="footer7.xml"/><Relationship Id="rId123" Type="http://schemas.openxmlformats.org/officeDocument/2006/relationships/image" Target="media/image38.svg"/><Relationship Id="rId144" Type="http://schemas.microsoft.com/office/2007/relationships/diagramDrawing" Target="diagrams/drawing8.xml"/><Relationship Id="rId90" Type="http://schemas.openxmlformats.org/officeDocument/2006/relationships/header" Target="header8.xml"/><Relationship Id="rId165" Type="http://schemas.openxmlformats.org/officeDocument/2006/relationships/image" Target="media/image53.png"/><Relationship Id="rId186" Type="http://schemas.openxmlformats.org/officeDocument/2006/relationships/header" Target="header23.xml"/><Relationship Id="rId27" Type="http://schemas.openxmlformats.org/officeDocument/2006/relationships/diagramColors" Target="diagrams/colors3.xml"/><Relationship Id="rId48" Type="http://schemas.microsoft.com/office/2007/relationships/diagramDrawing" Target="diagrams/drawing7.xml"/><Relationship Id="rId69" Type="http://schemas.openxmlformats.org/officeDocument/2006/relationships/chart" Target="charts/chart15.xml"/><Relationship Id="rId113" Type="http://schemas.openxmlformats.org/officeDocument/2006/relationships/header" Target="header13.xml"/><Relationship Id="rId134" Type="http://schemas.openxmlformats.org/officeDocument/2006/relationships/footer" Target="footer12.xml"/><Relationship Id="rId80" Type="http://schemas.openxmlformats.org/officeDocument/2006/relationships/image" Target="media/image15.png"/><Relationship Id="rId155" Type="http://schemas.openxmlformats.org/officeDocument/2006/relationships/header" Target="header20.xml"/><Relationship Id="rId176" Type="http://schemas.openxmlformats.org/officeDocument/2006/relationships/image" Target="media/image63.png"/><Relationship Id="rId197" Type="http://schemas.openxmlformats.org/officeDocument/2006/relationships/footer" Target="footer20.xml"/><Relationship Id="rId201" Type="http://schemas.openxmlformats.org/officeDocument/2006/relationships/footer" Target="footer23.xml"/><Relationship Id="rId17" Type="http://schemas.openxmlformats.org/officeDocument/2006/relationships/diagramColors" Target="diagrams/colors1.xml"/><Relationship Id="rId38" Type="http://schemas.microsoft.com/office/2007/relationships/diagramDrawing" Target="diagrams/drawing5.xml"/><Relationship Id="rId59" Type="http://schemas.openxmlformats.org/officeDocument/2006/relationships/chart" Target="charts/chart6.xml"/><Relationship Id="rId103" Type="http://schemas.openxmlformats.org/officeDocument/2006/relationships/image" Target="media/image28.png"/><Relationship Id="rId124" Type="http://schemas.openxmlformats.org/officeDocument/2006/relationships/image" Target="media/image39.png"/><Relationship Id="rId70" Type="http://schemas.openxmlformats.org/officeDocument/2006/relationships/chart" Target="charts/chart16.xml"/><Relationship Id="rId91" Type="http://schemas.openxmlformats.org/officeDocument/2006/relationships/footer" Target="footer4.xml"/><Relationship Id="rId145" Type="http://schemas.openxmlformats.org/officeDocument/2006/relationships/diagramData" Target="diagrams/data9.xml"/><Relationship Id="rId166" Type="http://schemas.openxmlformats.org/officeDocument/2006/relationships/image" Target="media/image54.svg"/><Relationship Id="rId187" Type="http://schemas.openxmlformats.org/officeDocument/2006/relationships/footer" Target="footer18.xml"/><Relationship Id="rId1" Type="http://schemas.openxmlformats.org/officeDocument/2006/relationships/customXml" Target="../customXml/item1.xml"/><Relationship Id="rId28" Type="http://schemas.microsoft.com/office/2007/relationships/diagramDrawing" Target="diagrams/drawing3.xml"/><Relationship Id="rId49" Type="http://schemas.openxmlformats.org/officeDocument/2006/relationships/image" Target="media/image5.png"/><Relationship Id="rId114" Type="http://schemas.openxmlformats.org/officeDocument/2006/relationships/footer" Target="footer10.xml"/><Relationship Id="rId60" Type="http://schemas.openxmlformats.org/officeDocument/2006/relationships/chart" Target="charts/chart7.xml"/><Relationship Id="rId81" Type="http://schemas.openxmlformats.org/officeDocument/2006/relationships/image" Target="media/image16.png"/><Relationship Id="rId135" Type="http://schemas.openxmlformats.org/officeDocument/2006/relationships/footer" Target="footer13.xml"/><Relationship Id="rId156" Type="http://schemas.openxmlformats.org/officeDocument/2006/relationships/header" Target="header21.xml"/><Relationship Id="rId177" Type="http://schemas.openxmlformats.org/officeDocument/2006/relationships/image" Target="media/image64.svg"/><Relationship Id="rId198" Type="http://schemas.openxmlformats.org/officeDocument/2006/relationships/footer" Target="footer21.xml"/><Relationship Id="rId202" Type="http://schemas.openxmlformats.org/officeDocument/2006/relationships/header" Target="header27.xml"/><Relationship Id="rId18" Type="http://schemas.microsoft.com/office/2007/relationships/diagramDrawing" Target="diagrams/drawing1.xml"/><Relationship Id="rId39" Type="http://schemas.openxmlformats.org/officeDocument/2006/relationships/diagramData" Target="diagrams/data6.xml"/><Relationship Id="rId50" Type="http://schemas.openxmlformats.org/officeDocument/2006/relationships/header" Target="header3.xml"/><Relationship Id="rId104" Type="http://schemas.openxmlformats.org/officeDocument/2006/relationships/image" Target="media/image29.png"/><Relationship Id="rId125" Type="http://schemas.openxmlformats.org/officeDocument/2006/relationships/image" Target="media/image40.svg"/><Relationship Id="rId146" Type="http://schemas.openxmlformats.org/officeDocument/2006/relationships/diagramLayout" Target="diagrams/layout9.xml"/><Relationship Id="rId167" Type="http://schemas.openxmlformats.org/officeDocument/2006/relationships/image" Target="media/image55.png"/><Relationship Id="rId188" Type="http://schemas.openxmlformats.org/officeDocument/2006/relationships/footer" Target="footer19.xml"/><Relationship Id="rId71" Type="http://schemas.openxmlformats.org/officeDocument/2006/relationships/image" Target="media/image9.png"/><Relationship Id="rId92" Type="http://schemas.openxmlformats.org/officeDocument/2006/relationships/footer" Target="footer5.xml"/><Relationship Id="rId2" Type="http://schemas.openxmlformats.org/officeDocument/2006/relationships/numbering" Target="numbering.xml"/><Relationship Id="rId29" Type="http://schemas.openxmlformats.org/officeDocument/2006/relationships/diagramData" Target="diagrams/data4.xml"/></Relationships>
</file>

<file path=word/_rels/footnotes.xml.rels><?xml version="1.0" encoding="UTF-8" standalone="yes"?>
<Relationships xmlns="http://schemas.openxmlformats.org/package/2006/relationships"><Relationship Id="rId1" Type="http://schemas.openxmlformats.org/officeDocument/2006/relationships/hyperlink" Target="https://naukadlaprzyrody.pl/2020/08/13/czwarta-przyroda-nowa-nadzieja-dla-mias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3.png"/></Relationships>
</file>

<file path=word/_rels/header11.xml.rels><?xml version="1.0" encoding="UTF-8" standalone="yes"?>
<Relationships xmlns="http://schemas.openxmlformats.org/package/2006/relationships"><Relationship Id="rId1" Type="http://schemas.openxmlformats.org/officeDocument/2006/relationships/image" Target="media/image6.png"/></Relationships>
</file>

<file path=word/_rels/header12.xml.rels><?xml version="1.0" encoding="UTF-8" standalone="yes"?>
<Relationships xmlns="http://schemas.openxmlformats.org/package/2006/relationships"><Relationship Id="rId1" Type="http://schemas.openxmlformats.org/officeDocument/2006/relationships/image" Target="media/image3.png"/></Relationships>
</file>

<file path=word/_rels/header13.xml.rels><?xml version="1.0" encoding="UTF-8" standalone="yes"?>
<Relationships xmlns="http://schemas.openxmlformats.org/package/2006/relationships"><Relationship Id="rId1" Type="http://schemas.openxmlformats.org/officeDocument/2006/relationships/image" Target="media/image3.png"/></Relationships>
</file>

<file path=word/_rels/header14.xml.rels><?xml version="1.0" encoding="UTF-8" standalone="yes"?>
<Relationships xmlns="http://schemas.openxmlformats.org/package/2006/relationships"><Relationship Id="rId1" Type="http://schemas.openxmlformats.org/officeDocument/2006/relationships/image" Target="media/image3.png"/></Relationships>
</file>

<file path=word/_rels/header16.xml.rels><?xml version="1.0" encoding="UTF-8" standalone="yes"?>
<Relationships xmlns="http://schemas.openxmlformats.org/package/2006/relationships"><Relationship Id="rId1" Type="http://schemas.openxmlformats.org/officeDocument/2006/relationships/image" Target="media/image6.png"/></Relationships>
</file>

<file path=word/_rels/header17.xml.rels><?xml version="1.0" encoding="UTF-8" standalone="yes"?>
<Relationships xmlns="http://schemas.openxmlformats.org/package/2006/relationships"><Relationship Id="rId1" Type="http://schemas.openxmlformats.org/officeDocument/2006/relationships/image" Target="media/image3.png"/></Relationships>
</file>

<file path=word/_rels/header18.xml.rels><?xml version="1.0" encoding="UTF-8" standalone="yes"?>
<Relationships xmlns="http://schemas.openxmlformats.org/package/2006/relationships"><Relationship Id="rId1" Type="http://schemas.openxmlformats.org/officeDocument/2006/relationships/image" Target="media/image6.png"/></Relationships>
</file>

<file path=word/_rels/header19.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20.xml.rels><?xml version="1.0" encoding="UTF-8" standalone="yes"?>
<Relationships xmlns="http://schemas.openxmlformats.org/package/2006/relationships"><Relationship Id="rId1" Type="http://schemas.openxmlformats.org/officeDocument/2006/relationships/image" Target="media/image6.png"/></Relationships>
</file>

<file path=word/_rels/header21.xml.rels><?xml version="1.0" encoding="UTF-8" standalone="yes"?>
<Relationships xmlns="http://schemas.openxmlformats.org/package/2006/relationships"><Relationship Id="rId1" Type="http://schemas.openxmlformats.org/officeDocument/2006/relationships/image" Target="media/image3.png"/></Relationships>
</file>

<file path=word/_rels/header22.xml.rels><?xml version="1.0" encoding="UTF-8" standalone="yes"?>
<Relationships xmlns="http://schemas.openxmlformats.org/package/2006/relationships"><Relationship Id="rId1" Type="http://schemas.openxmlformats.org/officeDocument/2006/relationships/image" Target="media/image6.png"/></Relationships>
</file>

<file path=word/_rels/header23.xml.rels><?xml version="1.0" encoding="UTF-8" standalone="yes"?>
<Relationships xmlns="http://schemas.openxmlformats.org/package/2006/relationships"><Relationship Id="rId1" Type="http://schemas.openxmlformats.org/officeDocument/2006/relationships/image" Target="media/image72.png"/></Relationships>
</file>

<file path=word/_rels/header24.xml.rels><?xml version="1.0" encoding="UTF-8" standalone="yes"?>
<Relationships xmlns="http://schemas.openxmlformats.org/package/2006/relationships"><Relationship Id="rId1" Type="http://schemas.openxmlformats.org/officeDocument/2006/relationships/image" Target="media/image6.png"/></Relationships>
</file>

<file path=word/_rels/header25.xml.rels><?xml version="1.0" encoding="UTF-8" standalone="yes"?>
<Relationships xmlns="http://schemas.openxmlformats.org/package/2006/relationships"><Relationship Id="rId1" Type="http://schemas.openxmlformats.org/officeDocument/2006/relationships/image" Target="media/image72.png"/></Relationships>
</file>

<file path=word/_rels/header26.xml.rels><?xml version="1.0" encoding="UTF-8" standalone="yes"?>
<Relationships xmlns="http://schemas.openxmlformats.org/package/2006/relationships"><Relationship Id="rId1" Type="http://schemas.openxmlformats.org/officeDocument/2006/relationships/image" Target="media/image6.png"/></Relationships>
</file>

<file path=word/_rels/header27.xml.rels><?xml version="1.0" encoding="UTF-8" standalone="yes"?>
<Relationships xmlns="http://schemas.openxmlformats.org/package/2006/relationships"><Relationship Id="rId1" Type="http://schemas.openxmlformats.org/officeDocument/2006/relationships/image" Target="media/image6.png"/></Relationships>
</file>

<file path=word/_rels/header28.xml.rels><?xml version="1.0" encoding="UTF-8" standalone="yes"?>
<Relationships xmlns="http://schemas.openxmlformats.org/package/2006/relationships"><Relationship Id="rId1" Type="http://schemas.openxmlformats.org/officeDocument/2006/relationships/image" Target="media/image6.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6.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6.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oliwi\Dropbox\%5bmoje%5d\Tarnogr&#243;d\MPA%20Tarnogr&#243;d.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oliwi\Dropbox\%5bmoje%5d\Tarnogr&#243;d\MPA%20Tarnogr&#243;d.xlsx" TargetMode="External"/><Relationship Id="rId1" Type="http://schemas.openxmlformats.org/officeDocument/2006/relationships/themeOverride" Target="../theme/themeOverride6.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oliwi\Dropbox\%5bmoje%5d\Tarnogr&#243;d\MPA%20Tarnogr&#243;d.xlsx" TargetMode="External"/><Relationship Id="rId1" Type="http://schemas.openxmlformats.org/officeDocument/2006/relationships/themeOverride" Target="../theme/themeOverride7.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oliwi\Dropbox\%5bmoje%5d\Tarnogr&#243;d\MPA%20Tarnogr&#243;d.xlsx" TargetMode="External"/><Relationship Id="rId1" Type="http://schemas.openxmlformats.org/officeDocument/2006/relationships/themeOverride" Target="../theme/themeOverride8.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oliwi\Dropbox\%5bmoje%5d\Tarnogr&#243;d\MPA%20Tarnogr&#243;d.xlsx" TargetMode="External"/><Relationship Id="rId1" Type="http://schemas.openxmlformats.org/officeDocument/2006/relationships/themeOverride" Target="../theme/themeOverride9.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oliwi\Dropbox\%5bmoje%5d\Tarnogr&#243;d\MPA%20Tarnogr&#243;d.xlsx" TargetMode="External"/><Relationship Id="rId1" Type="http://schemas.openxmlformats.org/officeDocument/2006/relationships/themeOverride" Target="../theme/themeOverride10.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oliwi\Dropbox\%5bmoje%5d\Tarnogr&#243;d\MPA%20Tarnogr&#243;d.xlsx" TargetMode="External"/><Relationship Id="rId1" Type="http://schemas.openxmlformats.org/officeDocument/2006/relationships/themeOverride" Target="../theme/themeOverride11.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oliwi\Dropbox\%5bmoje%5d\Tarnogr&#243;d\MPA%20Tarnogr&#243;d.xlsx" TargetMode="External"/><Relationship Id="rId1" Type="http://schemas.openxmlformats.org/officeDocument/2006/relationships/themeOverride" Target="../theme/themeOverride12.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oliwi\Dropbox\%5bmoje%5d\Tarnogr&#243;d\MPA%20Tarnogr&#243;d.xlsx" TargetMode="External"/><Relationship Id="rId2" Type="http://schemas.microsoft.com/office/2011/relationships/chartColorStyle" Target="colors5.xml"/><Relationship Id="rId1" Type="http://schemas.microsoft.com/office/2011/relationships/chartStyle" Target="style5.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oliwi\Dropbox\%5bmoje%5d\Tarnogr&#243;d\MPA%20Tarnogr&#243;d.xlsx" TargetMode="External"/><Relationship Id="rId1" Type="http://schemas.openxmlformats.org/officeDocument/2006/relationships/themeOverride" Target="../theme/themeOverride13.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oliwi\Dropbox\%5bmoje%5d\Tarnogr&#243;d\MPA%20Tarnogr&#243;d.xlsx" TargetMode="External"/><Relationship Id="rId2" Type="http://schemas.microsoft.com/office/2011/relationships/chartColorStyle" Target="colors6.xml"/><Relationship Id="rId1" Type="http://schemas.microsoft.com/office/2011/relationships/chartStyle" Target="style6.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oliwi\Dropbox\%5bmoje%5d\Tarnogr&#243;d\MPA%20Tarnogr&#243;d.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oliwi\Dropbox\%5bmoje%5d\Tarnogr&#243;d\MPA%20Tarnogr&#243;d.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oliwi\Dropbox\%5bmoje%5d\Tarnogr&#243;d\MPA%20Tarnogr&#243;d.xlsx" TargetMode="External"/><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oliwi\Dropbox\%5bmoje%5d\Tarnogr&#243;d\MPA%20Tarnogr&#243;d.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oliwi\Dropbox\%5bmoje%5d\Tarnogr&#243;d\MPA%20Tarnogr&#243;d.xlsx" TargetMode="External"/><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oliwi\Dropbox\%5bmoje%5d\Tarnogr&#243;d\MPA%20Tarnogr&#243;d.xlsx" TargetMode="External"/><Relationship Id="rId1" Type="http://schemas.openxmlformats.org/officeDocument/2006/relationships/themeOverride" Target="../theme/themeOverride3.xml"/></Relationships>
</file>

<file path=word/charts/_rels/chart8.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oliwi\Dropbox\%5bmoje%5d\Tarnogr&#243;d\MPA%20Tarnogr&#243;d.xlsx" TargetMode="External"/><Relationship Id="rId1" Type="http://schemas.openxmlformats.org/officeDocument/2006/relationships/themeOverride" Target="../theme/themeOverride4.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oliwi\Dropbox\%5bmoje%5d\Tarnogr&#243;d\MPA%20Tarnogr&#243;d.xlsx" TargetMode="External"/><Relationship Id="rId1" Type="http://schemas.openxmlformats.org/officeDocument/2006/relationships/themeOverride" Target="../theme/themeOverrid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barChart>
        <c:barDir val="col"/>
        <c:grouping val="stacked"/>
        <c:varyColors val="0"/>
        <c:ser>
          <c:idx val="10"/>
          <c:order val="0"/>
          <c:tx>
            <c:strRef>
              <c:f>ludność!$D$1</c:f>
              <c:strCache>
                <c:ptCount val="1"/>
                <c:pt idx="0">
                  <c:v>kobiety</c:v>
                </c:pt>
              </c:strCache>
            </c:strRef>
          </c:tx>
          <c:spPr>
            <a:solidFill>
              <a:schemeClr val="accent3">
                <a:tint val="6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ludność!$B$2:$B$11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ludność!$D$2:$D$11</c:f>
              <c:numCache>
                <c:formatCode>#,##0</c:formatCode>
                <c:ptCount val="10"/>
                <c:pt idx="0">
                  <c:v>1777</c:v>
                </c:pt>
                <c:pt idx="1">
                  <c:v>1778</c:v>
                </c:pt>
                <c:pt idx="2">
                  <c:v>1764</c:v>
                </c:pt>
                <c:pt idx="3">
                  <c:v>1754</c:v>
                </c:pt>
                <c:pt idx="4">
                  <c:v>1756</c:v>
                </c:pt>
                <c:pt idx="5">
                  <c:v>1740</c:v>
                </c:pt>
                <c:pt idx="6">
                  <c:v>1724</c:v>
                </c:pt>
                <c:pt idx="7">
                  <c:v>1666</c:v>
                </c:pt>
                <c:pt idx="8">
                  <c:v>1642</c:v>
                </c:pt>
                <c:pt idx="9">
                  <c:v>1625</c:v>
                </c:pt>
              </c:numCache>
            </c:numRef>
          </c:val>
          <c:extLst>
            <c:ext xmlns:c16="http://schemas.microsoft.com/office/drawing/2014/chart" uri="{C3380CC4-5D6E-409C-BE32-E72D297353CC}">
              <c16:uniqueId val="{00000000-B187-451A-B324-6E0F0CCC579C}"/>
            </c:ext>
          </c:extLst>
        </c:ser>
        <c:ser>
          <c:idx val="11"/>
          <c:order val="1"/>
          <c:tx>
            <c:strRef>
              <c:f>ludność!$E$1</c:f>
              <c:strCache>
                <c:ptCount val="1"/>
                <c:pt idx="0">
                  <c:v>mężczyźni</c:v>
                </c:pt>
              </c:strCache>
            </c:strRef>
          </c:tx>
          <c:spPr>
            <a:solidFill>
              <a:schemeClr val="accent3">
                <a:tint val="50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ludność!$B$2:$B$11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ludność!$E$2:$E$11</c:f>
              <c:numCache>
                <c:formatCode>#,##0</c:formatCode>
                <c:ptCount val="10"/>
                <c:pt idx="0">
                  <c:v>1687</c:v>
                </c:pt>
                <c:pt idx="1">
                  <c:v>1679</c:v>
                </c:pt>
                <c:pt idx="2">
                  <c:v>1674</c:v>
                </c:pt>
                <c:pt idx="3">
                  <c:v>1652</c:v>
                </c:pt>
                <c:pt idx="4">
                  <c:v>1639</c:v>
                </c:pt>
                <c:pt idx="5">
                  <c:v>1611</c:v>
                </c:pt>
                <c:pt idx="6">
                  <c:v>1584</c:v>
                </c:pt>
                <c:pt idx="7">
                  <c:v>1554</c:v>
                </c:pt>
                <c:pt idx="8">
                  <c:v>1542</c:v>
                </c:pt>
                <c:pt idx="9">
                  <c:v>1536</c:v>
                </c:pt>
              </c:numCache>
            </c:numRef>
          </c:val>
          <c:extLst>
            <c:ext xmlns:c16="http://schemas.microsoft.com/office/drawing/2014/chart" uri="{C3380CC4-5D6E-409C-BE32-E72D297353CC}">
              <c16:uniqueId val="{00000001-B187-451A-B324-6E0F0CCC579C}"/>
            </c:ext>
          </c:extLst>
        </c:ser>
        <c:dLbls>
          <c:showLegendKey val="0"/>
          <c:showVal val="0"/>
          <c:showCatName val="0"/>
          <c:showSerName val="0"/>
          <c:showPercent val="0"/>
          <c:showBubbleSize val="0"/>
        </c:dLbls>
        <c:gapWidth val="247"/>
        <c:overlap val="100"/>
        <c:axId val="162290688"/>
        <c:axId val="162292864"/>
      </c:barChart>
      <c:lineChart>
        <c:grouping val="standard"/>
        <c:varyColors val="0"/>
        <c:ser>
          <c:idx val="12"/>
          <c:order val="2"/>
          <c:tx>
            <c:strRef>
              <c:f>ludność!$C$1</c:f>
              <c:strCache>
                <c:ptCount val="1"/>
                <c:pt idx="0">
                  <c:v>ogółem</c:v>
                </c:pt>
              </c:strCache>
            </c:strRef>
          </c:tx>
          <c:spPr>
            <a:ln w="22225" cap="rnd">
              <a:solidFill>
                <a:schemeClr val="accent3">
                  <a:tint val="40000"/>
                </a:schemeClr>
              </a:solidFill>
              <a:round/>
            </a:ln>
            <a:effectLst/>
          </c:spPr>
          <c:marker>
            <c:symbol val="circle"/>
            <c:size val="6"/>
            <c:spPr>
              <a:solidFill>
                <a:schemeClr val="lt1"/>
              </a:solidFill>
              <a:ln w="15875">
                <a:solidFill>
                  <a:schemeClr val="accent3">
                    <a:tint val="40000"/>
                  </a:schemeClr>
                </a:solidFill>
                <a:round/>
              </a:ln>
              <a:effectLst/>
            </c:spPr>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ludność!$B$2:$B$10</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ludność!$C$2:$C$11</c:f>
              <c:numCache>
                <c:formatCode>#,##0</c:formatCode>
                <c:ptCount val="10"/>
                <c:pt idx="0">
                  <c:v>3464</c:v>
                </c:pt>
                <c:pt idx="1">
                  <c:v>3457</c:v>
                </c:pt>
                <c:pt idx="2">
                  <c:v>3438</c:v>
                </c:pt>
                <c:pt idx="3">
                  <c:v>3406</c:v>
                </c:pt>
                <c:pt idx="4">
                  <c:v>3395</c:v>
                </c:pt>
                <c:pt idx="5">
                  <c:v>3351</c:v>
                </c:pt>
                <c:pt idx="6">
                  <c:v>3308</c:v>
                </c:pt>
                <c:pt idx="7">
                  <c:v>3220</c:v>
                </c:pt>
                <c:pt idx="8">
                  <c:v>3184</c:v>
                </c:pt>
                <c:pt idx="9">
                  <c:v>3161</c:v>
                </c:pt>
              </c:numCache>
            </c:numRef>
          </c:val>
          <c:smooth val="0"/>
          <c:extLst>
            <c:ext xmlns:c16="http://schemas.microsoft.com/office/drawing/2014/chart" uri="{C3380CC4-5D6E-409C-BE32-E72D297353CC}">
              <c16:uniqueId val="{00000002-B187-451A-B324-6E0F0CCC579C}"/>
            </c:ext>
          </c:extLst>
        </c:ser>
        <c:dLbls>
          <c:showLegendKey val="0"/>
          <c:showVal val="0"/>
          <c:showCatName val="0"/>
          <c:showSerName val="0"/>
          <c:showPercent val="0"/>
          <c:showBubbleSize val="0"/>
        </c:dLbls>
        <c:marker val="1"/>
        <c:smooth val="0"/>
        <c:axId val="162290688"/>
        <c:axId val="162292864"/>
      </c:lineChart>
      <c:catAx>
        <c:axId val="16229068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ysClr val="windowText" lastClr="000000"/>
                </a:solidFill>
                <a:latin typeface="+mn-lt"/>
                <a:ea typeface="+mn-ea"/>
                <a:cs typeface="+mn-cs"/>
              </a:defRPr>
            </a:pPr>
            <a:endParaRPr lang="pl-PL"/>
          </a:p>
        </c:txPr>
        <c:crossAx val="162292864"/>
        <c:crosses val="autoZero"/>
        <c:auto val="1"/>
        <c:lblAlgn val="ctr"/>
        <c:lblOffset val="100"/>
        <c:noMultiLvlLbl val="0"/>
      </c:catAx>
      <c:valAx>
        <c:axId val="162292864"/>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en-US" b="0"/>
                  <a:t>[</a:t>
                </a:r>
                <a:r>
                  <a:rPr lang="pl-PL" b="0"/>
                  <a:t>osón</a:t>
                </a:r>
                <a:r>
                  <a:rPr lang="en-US" b="0"/>
                  <a:t>]</a:t>
                </a:r>
              </a:p>
            </c:rich>
          </c:tx>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62290688"/>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lt1"/>
    </a:solidFill>
    <a:ln w="9525" cap="flat" cmpd="sng" algn="ctr">
      <a:solidFill>
        <a:schemeClr val="tx1"/>
      </a:solidFill>
      <a:round/>
    </a:ln>
    <a:effectLst/>
  </c:spPr>
  <c:txPr>
    <a:bodyPr/>
    <a:lstStyle/>
    <a:p>
      <a:pPr>
        <a:defRPr>
          <a:solidFill>
            <a:sysClr val="windowText" lastClr="000000"/>
          </a:solidFill>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3543810606915588"/>
          <c:y val="5.1441772023515485E-2"/>
          <c:w val="0.7158412695656704"/>
          <c:h val="0.54284037104510829"/>
        </c:manualLayout>
      </c:layout>
      <c:barChart>
        <c:barDir val="col"/>
        <c:grouping val="clustered"/>
        <c:varyColors val="0"/>
        <c:ser>
          <c:idx val="1"/>
          <c:order val="1"/>
          <c:tx>
            <c:strRef>
              <c:f>'dochody i wydatki'!$A$27</c:f>
              <c:strCache>
                <c:ptCount val="1"/>
                <c:pt idx="0">
                  <c:v>Transport i łączność</c:v>
                </c:pt>
              </c:strCache>
            </c:strRef>
          </c:tx>
          <c:spPr>
            <a:pattFill prst="pct80">
              <a:fgClr>
                <a:schemeClr val="accent3"/>
              </a:fgClr>
              <a:bgClr>
                <a:schemeClr val="bg1"/>
              </a:bgClr>
            </a:pattFill>
            <a:ln>
              <a:solidFill>
                <a:schemeClr val="accent3">
                  <a:lumMod val="75000"/>
                </a:schemeClr>
              </a:solidFill>
            </a:ln>
          </c:spPr>
          <c:invertIfNegative val="0"/>
          <c:cat>
            <c:numRef>
              <c:f>'dochody i wydatki'!$B$26:$K$26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'dochody i wydatki'!$B$27:$K$27</c:f>
              <c:numCache>
                <c:formatCode>#,##0</c:formatCode>
                <c:ptCount val="10"/>
                <c:pt idx="0">
                  <c:v>874044.82</c:v>
                </c:pt>
                <c:pt idx="1">
                  <c:v>1748056.63</c:v>
                </c:pt>
                <c:pt idx="2">
                  <c:v>3965574.69</c:v>
                </c:pt>
                <c:pt idx="3">
                  <c:v>551263.76</c:v>
                </c:pt>
                <c:pt idx="4">
                  <c:v>1950341.58</c:v>
                </c:pt>
                <c:pt idx="5">
                  <c:v>2410112.87</c:v>
                </c:pt>
                <c:pt idx="6">
                  <c:v>6446412.4100000001</c:v>
                </c:pt>
                <c:pt idx="7">
                  <c:v>3155581.39</c:v>
                </c:pt>
                <c:pt idx="8">
                  <c:v>1956332</c:v>
                </c:pt>
                <c:pt idx="9">
                  <c:v>6956596.7999999998</c:v>
                </c:pt>
              </c:numCache>
            </c:numRef>
          </c:val>
          <c:extLst>
            <c:ext xmlns:c16="http://schemas.microsoft.com/office/drawing/2014/chart" uri="{C3380CC4-5D6E-409C-BE32-E72D297353CC}">
              <c16:uniqueId val="{00000000-244A-402C-BA1C-7EFB9FB99A85}"/>
            </c:ext>
          </c:extLst>
        </c:ser>
        <c:ser>
          <c:idx val="2"/>
          <c:order val="2"/>
          <c:tx>
            <c:strRef>
              <c:f>'dochody i wydatki'!$A$28</c:f>
              <c:strCache>
                <c:ptCount val="1"/>
                <c:pt idx="0">
                  <c:v>Bezpieczeństwo publiczne i ochrona przeciwpożarowa</c:v>
                </c:pt>
              </c:strCache>
            </c:strRef>
          </c:tx>
          <c:spPr>
            <a:pattFill prst="dkUpDiag">
              <a:fgClr>
                <a:schemeClr val="accent3"/>
              </a:fgClr>
              <a:bgClr>
                <a:schemeClr val="accent3">
                  <a:lumMod val="20000"/>
                  <a:lumOff val="80000"/>
                </a:schemeClr>
              </a:bgClr>
            </a:pattFill>
            <a:ln>
              <a:solidFill>
                <a:schemeClr val="accent3">
                  <a:lumMod val="75000"/>
                </a:schemeClr>
              </a:solidFill>
            </a:ln>
          </c:spPr>
          <c:invertIfNegative val="0"/>
          <c:cat>
            <c:numRef>
              <c:f>'dochody i wydatki'!$B$26:$K$26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'dochody i wydatki'!$B$28:$K$28</c:f>
              <c:numCache>
                <c:formatCode>#,##0</c:formatCode>
                <c:ptCount val="10"/>
                <c:pt idx="0">
                  <c:v>160143.47</c:v>
                </c:pt>
                <c:pt idx="1">
                  <c:v>175524.53</c:v>
                </c:pt>
                <c:pt idx="2">
                  <c:v>165472.85</c:v>
                </c:pt>
                <c:pt idx="3">
                  <c:v>169019.69</c:v>
                </c:pt>
                <c:pt idx="4">
                  <c:v>137949.9</c:v>
                </c:pt>
                <c:pt idx="5">
                  <c:v>332832.64000000001</c:v>
                </c:pt>
                <c:pt idx="6">
                  <c:v>280101.90000000002</c:v>
                </c:pt>
                <c:pt idx="7">
                  <c:v>215798.34</c:v>
                </c:pt>
                <c:pt idx="8">
                  <c:v>238551.03</c:v>
                </c:pt>
                <c:pt idx="9">
                  <c:v>943184.35</c:v>
                </c:pt>
              </c:numCache>
            </c:numRef>
          </c:val>
          <c:extLst>
            <c:ext xmlns:c16="http://schemas.microsoft.com/office/drawing/2014/chart" uri="{C3380CC4-5D6E-409C-BE32-E72D297353CC}">
              <c16:uniqueId val="{00000001-244A-402C-BA1C-7EFB9FB99A85}"/>
            </c:ext>
          </c:extLst>
        </c:ser>
        <c:ser>
          <c:idx val="4"/>
          <c:order val="3"/>
          <c:tx>
            <c:strRef>
              <c:f>'dochody i wydatki'!$A$29</c:f>
              <c:strCache>
                <c:ptCount val="1"/>
                <c:pt idx="0">
                  <c:v>Gospodarka komunalna i ochrona środowiska</c:v>
                </c:pt>
              </c:strCache>
            </c:strRef>
          </c:tx>
          <c:invertIfNegative val="0"/>
          <c:cat>
            <c:numRef>
              <c:f>'dochody i wydatki'!$B$26:$K$26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'dochody i wydatki'!$B$29:$K$29</c:f>
              <c:numCache>
                <c:formatCode>#,##0</c:formatCode>
                <c:ptCount val="10"/>
                <c:pt idx="0">
                  <c:v>550737.04</c:v>
                </c:pt>
                <c:pt idx="1">
                  <c:v>5027400.3499999996</c:v>
                </c:pt>
                <c:pt idx="2">
                  <c:v>857836.84</c:v>
                </c:pt>
                <c:pt idx="3">
                  <c:v>1005771.77</c:v>
                </c:pt>
                <c:pt idx="4">
                  <c:v>985029.19</c:v>
                </c:pt>
                <c:pt idx="5">
                  <c:v>4038844.58</c:v>
                </c:pt>
                <c:pt idx="6">
                  <c:v>1220546.43</c:v>
                </c:pt>
                <c:pt idx="7">
                  <c:v>1687932.15</c:v>
                </c:pt>
                <c:pt idx="8">
                  <c:v>1928454.11</c:v>
                </c:pt>
                <c:pt idx="9">
                  <c:v>2560813.81</c:v>
                </c:pt>
              </c:numCache>
            </c:numRef>
          </c:val>
          <c:extLst>
            <c:ext xmlns:c16="http://schemas.microsoft.com/office/drawing/2014/chart" uri="{C3380CC4-5D6E-409C-BE32-E72D297353CC}">
              <c16:uniqueId val="{00000002-244A-402C-BA1C-7EFB9FB99A85}"/>
            </c:ext>
          </c:extLst>
        </c:ser>
        <c:dLbls>
          <c:showLegendKey val="0"/>
          <c:showVal val="0"/>
          <c:showCatName val="0"/>
          <c:showSerName val="0"/>
          <c:showPercent val="0"/>
          <c:showBubbleSize val="0"/>
        </c:dLbls>
        <c:gapWidth val="150"/>
        <c:axId val="357855232"/>
        <c:axId val="357856768"/>
      </c:barChart>
      <c:lineChart>
        <c:grouping val="stacked"/>
        <c:varyColors val="0"/>
        <c:ser>
          <c:idx val="0"/>
          <c:order val="0"/>
          <c:tx>
            <c:strRef>
              <c:f>'dochody i wydatki'!$A$30</c:f>
              <c:strCache>
                <c:ptCount val="1"/>
                <c:pt idx="0">
                  <c:v>Ogółem</c:v>
                </c:pt>
              </c:strCache>
            </c:strRef>
          </c:tx>
          <c:cat>
            <c:numRef>
              <c:f>'dochody i wydatki'!$B$26:$K$26</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'dochody i wydatki'!$B$30:$K$30</c:f>
              <c:numCache>
                <c:formatCode>#,##0</c:formatCode>
                <c:ptCount val="10"/>
                <c:pt idx="0">
                  <c:v>18738205.100000001</c:v>
                </c:pt>
                <c:pt idx="1">
                  <c:v>25492848.370000001</c:v>
                </c:pt>
                <c:pt idx="2">
                  <c:v>23799436.170000002</c:v>
                </c:pt>
                <c:pt idx="3">
                  <c:v>23364010.399999999</c:v>
                </c:pt>
                <c:pt idx="4">
                  <c:v>29843842.16</c:v>
                </c:pt>
                <c:pt idx="5">
                  <c:v>30877332.030000001</c:v>
                </c:pt>
                <c:pt idx="6">
                  <c:v>36628406.020000003</c:v>
                </c:pt>
                <c:pt idx="7">
                  <c:v>39962512.229999997</c:v>
                </c:pt>
                <c:pt idx="8">
                  <c:v>35597148.130000003</c:v>
                </c:pt>
                <c:pt idx="9">
                  <c:v>47870390.75</c:v>
                </c:pt>
              </c:numCache>
            </c:numRef>
          </c:val>
          <c:smooth val="0"/>
          <c:extLst>
            <c:ext xmlns:c16="http://schemas.microsoft.com/office/drawing/2014/chart" uri="{C3380CC4-5D6E-409C-BE32-E72D297353CC}">
              <c16:uniqueId val="{00000003-244A-402C-BA1C-7EFB9FB99A85}"/>
            </c:ext>
          </c:extLst>
        </c:ser>
        <c:dLbls>
          <c:showLegendKey val="0"/>
          <c:showVal val="0"/>
          <c:showCatName val="0"/>
          <c:showSerName val="0"/>
          <c:showPercent val="0"/>
          <c:showBubbleSize val="0"/>
        </c:dLbls>
        <c:marker val="1"/>
        <c:smooth val="0"/>
        <c:axId val="357864960"/>
        <c:axId val="357858688"/>
      </c:lineChart>
      <c:catAx>
        <c:axId val="357855232"/>
        <c:scaling>
          <c:orientation val="minMax"/>
        </c:scaling>
        <c:delete val="0"/>
        <c:axPos val="b"/>
        <c:numFmt formatCode="General" sourceLinked="1"/>
        <c:majorTickMark val="out"/>
        <c:minorTickMark val="none"/>
        <c:tickLblPos val="nextTo"/>
        <c:crossAx val="357856768"/>
        <c:crosses val="autoZero"/>
        <c:auto val="1"/>
        <c:lblAlgn val="ctr"/>
        <c:lblOffset val="100"/>
        <c:noMultiLvlLbl val="0"/>
      </c:catAx>
      <c:valAx>
        <c:axId val="357856768"/>
        <c:scaling>
          <c:orientation val="minMax"/>
        </c:scaling>
        <c:delete val="0"/>
        <c:axPos val="l"/>
        <c:majorGridlines/>
        <c:title>
          <c:tx>
            <c:rich>
              <a:bodyPr rot="-5400000" vert="horz"/>
              <a:lstStyle/>
              <a:p>
                <a:pPr>
                  <a:defRPr/>
                </a:pPr>
                <a:r>
                  <a:rPr lang="en-US" b="0"/>
                  <a:t>Wydatki </a:t>
                </a:r>
                <a:r>
                  <a:rPr lang="pl-PL" b="0"/>
                  <a:t>- działy </a:t>
                </a:r>
                <a:r>
                  <a:rPr lang="en-US" b="0"/>
                  <a:t>[</a:t>
                </a:r>
                <a:r>
                  <a:rPr lang="pl-PL" b="0"/>
                  <a:t>tys. </a:t>
                </a:r>
                <a:r>
                  <a:rPr lang="en-US" b="0"/>
                  <a:t>zł]</a:t>
                </a:r>
              </a:p>
            </c:rich>
          </c:tx>
          <c:layout>
            <c:manualLayout>
              <c:xMode val="edge"/>
              <c:yMode val="edge"/>
              <c:x val="2.2681362614541688E-2"/>
              <c:y val="4.397789122051373E-2"/>
            </c:manualLayout>
          </c:layout>
          <c:overlay val="0"/>
        </c:title>
        <c:numFmt formatCode="#,##0" sourceLinked="1"/>
        <c:majorTickMark val="out"/>
        <c:minorTickMark val="none"/>
        <c:tickLblPos val="nextTo"/>
        <c:crossAx val="357855232"/>
        <c:crosses val="autoZero"/>
        <c:crossBetween val="between"/>
        <c:dispUnits>
          <c:builtInUnit val="thousands"/>
        </c:dispUnits>
      </c:valAx>
      <c:valAx>
        <c:axId val="357858688"/>
        <c:scaling>
          <c:orientation val="minMax"/>
        </c:scaling>
        <c:delete val="0"/>
        <c:axPos val="r"/>
        <c:title>
          <c:tx>
            <c:rich>
              <a:bodyPr rot="-5400000" vert="horz"/>
              <a:lstStyle/>
              <a:p>
                <a:pPr>
                  <a:defRPr/>
                </a:pPr>
                <a:r>
                  <a:rPr lang="en-US" b="0"/>
                  <a:t>Wydatki ogółem [</a:t>
                </a:r>
                <a:r>
                  <a:rPr lang="pl-PL" b="0"/>
                  <a:t>tys. </a:t>
                </a:r>
                <a:r>
                  <a:rPr lang="en-US" b="0"/>
                  <a:t>zł]</a:t>
                </a:r>
              </a:p>
            </c:rich>
          </c:tx>
          <c:layout>
            <c:manualLayout>
              <c:xMode val="edge"/>
              <c:yMode val="edge"/>
              <c:x val="0.93933721310222507"/>
              <c:y val="5.0238165073256541E-2"/>
            </c:manualLayout>
          </c:layout>
          <c:overlay val="0"/>
        </c:title>
        <c:numFmt formatCode="#,##0" sourceLinked="1"/>
        <c:majorTickMark val="out"/>
        <c:minorTickMark val="none"/>
        <c:tickLblPos val="nextTo"/>
        <c:crossAx val="357864960"/>
        <c:crosses val="max"/>
        <c:crossBetween val="between"/>
        <c:dispUnits>
          <c:builtInUnit val="thousands"/>
        </c:dispUnits>
      </c:valAx>
      <c:catAx>
        <c:axId val="357864960"/>
        <c:scaling>
          <c:orientation val="minMax"/>
        </c:scaling>
        <c:delete val="1"/>
        <c:axPos val="b"/>
        <c:numFmt formatCode="General" sourceLinked="1"/>
        <c:majorTickMark val="out"/>
        <c:minorTickMark val="none"/>
        <c:tickLblPos val="nextTo"/>
        <c:crossAx val="357858688"/>
        <c:crosses val="autoZero"/>
        <c:auto val="1"/>
        <c:lblAlgn val="ctr"/>
        <c:lblOffset val="100"/>
        <c:noMultiLvlLbl val="0"/>
      </c:catAx>
    </c:plotArea>
    <c:legend>
      <c:legendPos val="b"/>
      <c:layout>
        <c:manualLayout>
          <c:xMode val="edge"/>
          <c:yMode val="edge"/>
          <c:x val="0.11151446752728125"/>
          <c:y val="0.72017119690248199"/>
          <c:w val="0.78171442827281845"/>
          <c:h val="0.25525072100048735"/>
        </c:manualLayout>
      </c:layout>
      <c:overlay val="0"/>
    </c:legend>
    <c:plotVisOnly val="1"/>
    <c:dispBlanksAs val="gap"/>
    <c:showDLblsOverMax val="0"/>
  </c:chart>
  <c:spPr>
    <a:ln>
      <a:solidFill>
        <a:sysClr val="windowText" lastClr="000000"/>
      </a:solidFill>
    </a:ln>
  </c:spPr>
  <c:txPr>
    <a:bodyPr/>
    <a:lstStyle/>
    <a:p>
      <a:pPr>
        <a:defRPr>
          <a:solidFill>
            <a:sysClr val="windowText" lastClr="000000"/>
          </a:solidFill>
        </a:defRPr>
      </a:pPr>
      <a:endParaRPr lang="pl-PL"/>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fundacje!$A$2</c:f>
              <c:strCache>
                <c:ptCount val="1"/>
                <c:pt idx="0">
                  <c:v>Fundacje, stowarzyszenia i organizacje społeczne na 1000 mieszkańców</c:v>
                </c:pt>
              </c:strCache>
            </c:strRef>
          </c:tx>
          <c:cat>
            <c:numRef>
              <c:f>fundacje!$B$1:$K$1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fundacje!$B$2:$K$2</c:f>
              <c:numCache>
                <c:formatCode>0.00</c:formatCode>
                <c:ptCount val="10"/>
                <c:pt idx="0" formatCode="General">
                  <c:v>3.18</c:v>
                </c:pt>
                <c:pt idx="1">
                  <c:v>3.18</c:v>
                </c:pt>
                <c:pt idx="2" formatCode="General">
                  <c:v>3.49</c:v>
                </c:pt>
                <c:pt idx="3" formatCode="General">
                  <c:v>3.52</c:v>
                </c:pt>
                <c:pt idx="4" formatCode="General">
                  <c:v>3.53</c:v>
                </c:pt>
                <c:pt idx="5" formatCode="General">
                  <c:v>3.28</c:v>
                </c:pt>
                <c:pt idx="6" formatCode="General">
                  <c:v>3.63</c:v>
                </c:pt>
                <c:pt idx="7" formatCode="General">
                  <c:v>3.73</c:v>
                </c:pt>
                <c:pt idx="8" formatCode="General">
                  <c:v>3.45</c:v>
                </c:pt>
                <c:pt idx="9" formatCode="General">
                  <c:v>3.48</c:v>
                </c:pt>
              </c:numCache>
            </c:numRef>
          </c:val>
          <c:smooth val="0"/>
          <c:extLst>
            <c:ext xmlns:c16="http://schemas.microsoft.com/office/drawing/2014/chart" uri="{C3380CC4-5D6E-409C-BE32-E72D297353CC}">
              <c16:uniqueId val="{00000000-1CC4-4753-8280-156C9B044107}"/>
            </c:ext>
          </c:extLst>
        </c:ser>
        <c:dLbls>
          <c:showLegendKey val="0"/>
          <c:showVal val="0"/>
          <c:showCatName val="0"/>
          <c:showSerName val="0"/>
          <c:showPercent val="0"/>
          <c:showBubbleSize val="0"/>
        </c:dLbls>
        <c:marker val="1"/>
        <c:smooth val="0"/>
        <c:axId val="357762176"/>
        <c:axId val="357763712"/>
      </c:lineChart>
      <c:catAx>
        <c:axId val="357762176"/>
        <c:scaling>
          <c:orientation val="minMax"/>
        </c:scaling>
        <c:delete val="0"/>
        <c:axPos val="b"/>
        <c:numFmt formatCode="General" sourceLinked="1"/>
        <c:majorTickMark val="out"/>
        <c:minorTickMark val="none"/>
        <c:tickLblPos val="nextTo"/>
        <c:crossAx val="357763712"/>
        <c:crosses val="autoZero"/>
        <c:auto val="1"/>
        <c:lblAlgn val="ctr"/>
        <c:lblOffset val="100"/>
        <c:noMultiLvlLbl val="0"/>
      </c:catAx>
      <c:valAx>
        <c:axId val="357763712"/>
        <c:scaling>
          <c:orientation val="minMax"/>
        </c:scaling>
        <c:delete val="0"/>
        <c:axPos val="l"/>
        <c:majorGridlines/>
        <c:title>
          <c:tx>
            <c:rich>
              <a:bodyPr rot="-5400000" vert="horz"/>
              <a:lstStyle/>
              <a:p>
                <a:pPr>
                  <a:defRPr/>
                </a:pPr>
                <a:r>
                  <a:rPr lang="en-GB"/>
                  <a:t>Fundacje, stowarzyszenia i organizacje społeczne na 1000 mieszkańców</a:t>
                </a:r>
              </a:p>
            </c:rich>
          </c:tx>
          <c:overlay val="0"/>
        </c:title>
        <c:numFmt formatCode="#,##0.0" sourceLinked="0"/>
        <c:majorTickMark val="out"/>
        <c:minorTickMark val="none"/>
        <c:tickLblPos val="nextTo"/>
        <c:crossAx val="357762176"/>
        <c:crosses val="autoZero"/>
        <c:crossBetween val="between"/>
      </c:valAx>
    </c:plotArea>
    <c:plotVisOnly val="1"/>
    <c:dispBlanksAs val="zero"/>
    <c:showDLblsOverMax val="0"/>
  </c:chart>
  <c:spPr>
    <a:ln w="12700">
      <a:solidFill>
        <a:sysClr val="windowText" lastClr="000000"/>
      </a:solidFill>
    </a:ln>
  </c:spPr>
  <c:txPr>
    <a:bodyPr/>
    <a:lstStyle/>
    <a:p>
      <a:pPr>
        <a:defRPr>
          <a:solidFill>
            <a:sysClr val="windowText" lastClr="000000"/>
          </a:solidFill>
        </a:defRPr>
      </a:pPr>
      <a:endParaRPr lang="pl-PL"/>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zdrowie!$A$18</c:f>
              <c:strCache>
                <c:ptCount val="1"/>
                <c:pt idx="0">
                  <c:v>porady lekarskie</c:v>
                </c:pt>
              </c:strCache>
            </c:strRef>
          </c:tx>
          <c:spPr>
            <a:pattFill prst="pct80">
              <a:fgClr>
                <a:schemeClr val="accent3">
                  <a:lumMod val="60000"/>
                  <a:lumOff val="40000"/>
                </a:schemeClr>
              </a:fgClr>
              <a:bgClr>
                <a:schemeClr val="bg1"/>
              </a:bgClr>
            </a:pattFill>
            <a:ln>
              <a:solidFill>
                <a:schemeClr val="accent3">
                  <a:lumMod val="60000"/>
                  <a:lumOff val="40000"/>
                </a:schemeClr>
              </a:solidFill>
            </a:ln>
          </c:spPr>
          <c:invertIfNegative val="0"/>
          <c:dLbls>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zdrowie!$B$17:$K$17</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zdrowie!$B$18:$K$18</c:f>
              <c:numCache>
                <c:formatCode>#,##0</c:formatCode>
                <c:ptCount val="10"/>
                <c:pt idx="0">
                  <c:v>20292</c:v>
                </c:pt>
                <c:pt idx="1">
                  <c:v>19476</c:v>
                </c:pt>
                <c:pt idx="2">
                  <c:v>20285</c:v>
                </c:pt>
                <c:pt idx="3">
                  <c:v>19613</c:v>
                </c:pt>
                <c:pt idx="4">
                  <c:v>20092</c:v>
                </c:pt>
                <c:pt idx="5">
                  <c:v>19693</c:v>
                </c:pt>
                <c:pt idx="6">
                  <c:v>20282</c:v>
                </c:pt>
                <c:pt idx="7">
                  <c:v>16391</c:v>
                </c:pt>
                <c:pt idx="8">
                  <c:v>19237</c:v>
                </c:pt>
                <c:pt idx="9">
                  <c:v>21768</c:v>
                </c:pt>
              </c:numCache>
            </c:numRef>
          </c:val>
          <c:extLst>
            <c:ext xmlns:c16="http://schemas.microsoft.com/office/drawing/2014/chart" uri="{C3380CC4-5D6E-409C-BE32-E72D297353CC}">
              <c16:uniqueId val="{00000000-1B7E-4EEA-838D-E5115E544707}"/>
            </c:ext>
          </c:extLst>
        </c:ser>
        <c:dLbls>
          <c:showLegendKey val="0"/>
          <c:showVal val="0"/>
          <c:showCatName val="0"/>
          <c:showSerName val="0"/>
          <c:showPercent val="0"/>
          <c:showBubbleSize val="0"/>
        </c:dLbls>
        <c:gapWidth val="38"/>
        <c:overlap val="-1"/>
        <c:axId val="357811328"/>
        <c:axId val="357812864"/>
      </c:barChart>
      <c:lineChart>
        <c:grouping val="standard"/>
        <c:varyColors val="0"/>
        <c:ser>
          <c:idx val="1"/>
          <c:order val="1"/>
          <c:tx>
            <c:strRef>
              <c:f>zdrowie!$A$19</c:f>
              <c:strCache>
                <c:ptCount val="1"/>
                <c:pt idx="0">
                  <c:v>ilość przychodni</c:v>
                </c:pt>
              </c:strCache>
            </c:strRef>
          </c:tx>
          <c:spPr>
            <a:ln>
              <a:solidFill>
                <a:schemeClr val="accent3">
                  <a:lumMod val="75000"/>
                </a:schemeClr>
              </a:solidFill>
            </a:ln>
          </c:spPr>
          <c:marker>
            <c:symbol val="diamond"/>
            <c:size val="7"/>
            <c:spPr>
              <a:solidFill>
                <a:schemeClr val="accent3">
                  <a:lumMod val="75000"/>
                </a:schemeClr>
              </a:solidFill>
            </c:spPr>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Arkusz1!$D$335:$M$335</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zdrowie!$B$19:$K$19</c:f>
              <c:numCache>
                <c:formatCode>General</c:formatCode>
                <c:ptCount val="10"/>
                <c:pt idx="0">
                  <c:v>2</c:v>
                </c:pt>
                <c:pt idx="1">
                  <c:v>2</c:v>
                </c:pt>
                <c:pt idx="2">
                  <c:v>3</c:v>
                </c:pt>
                <c:pt idx="3">
                  <c:v>3</c:v>
                </c:pt>
                <c:pt idx="4">
                  <c:v>4</c:v>
                </c:pt>
                <c:pt idx="5">
                  <c:v>3</c:v>
                </c:pt>
                <c:pt idx="6">
                  <c:v>3</c:v>
                </c:pt>
                <c:pt idx="7">
                  <c:v>4</c:v>
                </c:pt>
                <c:pt idx="8">
                  <c:v>5</c:v>
                </c:pt>
                <c:pt idx="9">
                  <c:v>4</c:v>
                </c:pt>
              </c:numCache>
            </c:numRef>
          </c:val>
          <c:smooth val="0"/>
          <c:extLst>
            <c:ext xmlns:c16="http://schemas.microsoft.com/office/drawing/2014/chart" uri="{C3380CC4-5D6E-409C-BE32-E72D297353CC}">
              <c16:uniqueId val="{00000001-1B7E-4EEA-838D-E5115E544707}"/>
            </c:ext>
          </c:extLst>
        </c:ser>
        <c:dLbls>
          <c:showLegendKey val="0"/>
          <c:showVal val="0"/>
          <c:showCatName val="0"/>
          <c:showSerName val="0"/>
          <c:showPercent val="0"/>
          <c:showBubbleSize val="0"/>
        </c:dLbls>
        <c:marker val="1"/>
        <c:smooth val="0"/>
        <c:axId val="357890688"/>
        <c:axId val="357888768"/>
      </c:lineChart>
      <c:catAx>
        <c:axId val="357811328"/>
        <c:scaling>
          <c:orientation val="minMax"/>
        </c:scaling>
        <c:delete val="0"/>
        <c:axPos val="b"/>
        <c:numFmt formatCode="General" sourceLinked="1"/>
        <c:majorTickMark val="out"/>
        <c:minorTickMark val="none"/>
        <c:tickLblPos val="nextTo"/>
        <c:crossAx val="357812864"/>
        <c:crosses val="autoZero"/>
        <c:auto val="1"/>
        <c:lblAlgn val="ctr"/>
        <c:lblOffset val="100"/>
        <c:noMultiLvlLbl val="0"/>
      </c:catAx>
      <c:valAx>
        <c:axId val="357812864"/>
        <c:scaling>
          <c:orientation val="minMax"/>
          <c:max val="30000"/>
        </c:scaling>
        <c:delete val="0"/>
        <c:axPos val="l"/>
        <c:majorGridlines/>
        <c:title>
          <c:tx>
            <c:rich>
              <a:bodyPr rot="-5400000" vert="horz"/>
              <a:lstStyle/>
              <a:p>
                <a:pPr>
                  <a:defRPr/>
                </a:pPr>
                <a:r>
                  <a:rPr lang="pl-PL" b="0"/>
                  <a:t>Porady lekarskie [liczba porad]</a:t>
                </a:r>
                <a:endParaRPr lang="en-GB" b="0"/>
              </a:p>
            </c:rich>
          </c:tx>
          <c:overlay val="0"/>
        </c:title>
        <c:numFmt formatCode="#,##0" sourceLinked="1"/>
        <c:majorTickMark val="out"/>
        <c:minorTickMark val="none"/>
        <c:tickLblPos val="nextTo"/>
        <c:crossAx val="357811328"/>
        <c:crosses val="autoZero"/>
        <c:crossBetween val="between"/>
      </c:valAx>
      <c:valAx>
        <c:axId val="357888768"/>
        <c:scaling>
          <c:orientation val="minMax"/>
        </c:scaling>
        <c:delete val="0"/>
        <c:axPos val="r"/>
        <c:title>
          <c:tx>
            <c:rich>
              <a:bodyPr rot="-5400000" vert="horz"/>
              <a:lstStyle/>
              <a:p>
                <a:pPr>
                  <a:defRPr/>
                </a:pPr>
                <a:r>
                  <a:rPr lang="pl-PL" b="0"/>
                  <a:t>Ilość pchychodni [szt.]</a:t>
                </a:r>
                <a:endParaRPr lang="en-GB" b="0"/>
              </a:p>
            </c:rich>
          </c:tx>
          <c:overlay val="0"/>
        </c:title>
        <c:numFmt formatCode="General" sourceLinked="1"/>
        <c:majorTickMark val="out"/>
        <c:minorTickMark val="none"/>
        <c:tickLblPos val="nextTo"/>
        <c:crossAx val="357890688"/>
        <c:crosses val="max"/>
        <c:crossBetween val="between"/>
      </c:valAx>
      <c:catAx>
        <c:axId val="357890688"/>
        <c:scaling>
          <c:orientation val="minMax"/>
        </c:scaling>
        <c:delete val="1"/>
        <c:axPos val="b"/>
        <c:numFmt formatCode="General" sourceLinked="1"/>
        <c:majorTickMark val="out"/>
        <c:minorTickMark val="none"/>
        <c:tickLblPos val="nextTo"/>
        <c:crossAx val="357888768"/>
        <c:crosses val="autoZero"/>
        <c:auto val="1"/>
        <c:lblAlgn val="ctr"/>
        <c:lblOffset val="100"/>
        <c:noMultiLvlLbl val="0"/>
      </c:catAx>
    </c:plotArea>
    <c:legend>
      <c:legendPos val="b"/>
      <c:overlay val="0"/>
    </c:legend>
    <c:plotVisOnly val="1"/>
    <c:dispBlanksAs val="gap"/>
    <c:showDLblsOverMax val="0"/>
  </c:chart>
  <c:spPr>
    <a:ln>
      <a:solidFill>
        <a:sysClr val="windowText" lastClr="000000"/>
      </a:solidFill>
    </a:ln>
  </c:spPr>
  <c:txPr>
    <a:bodyPr/>
    <a:lstStyle/>
    <a:p>
      <a:pPr>
        <a:defRPr>
          <a:solidFill>
            <a:sysClr val="windowText" lastClr="000000"/>
          </a:solidFill>
        </a:defRPr>
      </a:pPr>
      <a:endParaRPr lang="pl-PL"/>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2"/>
          <c:order val="2"/>
          <c:tx>
            <c:strRef>
              <c:f>wodociągi!$B$10</c:f>
              <c:strCache>
                <c:ptCount val="1"/>
                <c:pt idx="0">
                  <c:v>Woda z wodociągów na 1 mieszkańca</c:v>
                </c:pt>
              </c:strCache>
            </c:strRef>
          </c:tx>
          <c:spPr>
            <a:pattFill prst="pct60">
              <a:fgClr>
                <a:schemeClr val="accent3">
                  <a:lumMod val="75000"/>
                </a:schemeClr>
              </a:fgClr>
              <a:bgClr>
                <a:schemeClr val="bg1"/>
              </a:bgClr>
            </a:pattFill>
            <a:ln>
              <a:solidFill>
                <a:schemeClr val="accent3">
                  <a:lumMod val="75000"/>
                </a:schemeClr>
              </a:solidFill>
            </a:ln>
          </c:spPr>
          <c:invertIfNegative val="0"/>
          <c:cat>
            <c:numRef>
              <c:f>Arkusz1!$C$160:$L$160</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wodociągi!$C$10:$L$10</c:f>
              <c:numCache>
                <c:formatCode>General</c:formatCode>
                <c:ptCount val="10"/>
                <c:pt idx="0">
                  <c:v>25.5</c:v>
                </c:pt>
                <c:pt idx="1">
                  <c:v>25.4</c:v>
                </c:pt>
                <c:pt idx="2">
                  <c:v>28.1</c:v>
                </c:pt>
                <c:pt idx="3">
                  <c:v>27.7</c:v>
                </c:pt>
                <c:pt idx="4">
                  <c:v>27.4</c:v>
                </c:pt>
                <c:pt idx="5">
                  <c:v>28.1</c:v>
                </c:pt>
                <c:pt idx="6">
                  <c:v>28.2</c:v>
                </c:pt>
                <c:pt idx="7">
                  <c:v>28.6</c:v>
                </c:pt>
                <c:pt idx="8">
                  <c:v>30.7</c:v>
                </c:pt>
                <c:pt idx="9">
                  <c:v>40.700000000000003</c:v>
                </c:pt>
              </c:numCache>
            </c:numRef>
          </c:val>
          <c:extLst>
            <c:ext xmlns:c16="http://schemas.microsoft.com/office/drawing/2014/chart" uri="{C3380CC4-5D6E-409C-BE32-E72D297353CC}">
              <c16:uniqueId val="{00000000-FB81-45A0-9735-0D7E41E205CF}"/>
            </c:ext>
          </c:extLst>
        </c:ser>
        <c:ser>
          <c:idx val="3"/>
          <c:order val="3"/>
          <c:tx>
            <c:strRef>
              <c:f>wodociągi!$B$11</c:f>
              <c:strCache>
                <c:ptCount val="1"/>
                <c:pt idx="0">
                  <c:v>Woda z wodociągów na 1 korzystającego</c:v>
                </c:pt>
              </c:strCache>
            </c:strRef>
          </c:tx>
          <c:spPr>
            <a:pattFill prst="ltDnDiag">
              <a:fgClr>
                <a:schemeClr val="tx2"/>
              </a:fgClr>
              <a:bgClr>
                <a:schemeClr val="accent1">
                  <a:lumMod val="20000"/>
                  <a:lumOff val="80000"/>
                </a:schemeClr>
              </a:bgClr>
            </a:pattFill>
            <a:ln>
              <a:solidFill>
                <a:schemeClr val="accent3">
                  <a:lumMod val="75000"/>
                </a:schemeClr>
              </a:solidFill>
            </a:ln>
          </c:spPr>
          <c:invertIfNegative val="0"/>
          <c:cat>
            <c:numRef>
              <c:f>Arkusz1!$C$160:$L$160</c:f>
              <c:numCache>
                <c:formatCode>General</c:formatCode>
                <c:ptCount val="10"/>
                <c:pt idx="0">
                  <c:v>2012</c:v>
                </c:pt>
                <c:pt idx="1">
                  <c:v>2013</c:v>
                </c:pt>
                <c:pt idx="2">
                  <c:v>2014</c:v>
                </c:pt>
                <c:pt idx="3">
                  <c:v>2015</c:v>
                </c:pt>
                <c:pt idx="4">
                  <c:v>2016</c:v>
                </c:pt>
                <c:pt idx="5">
                  <c:v>2017</c:v>
                </c:pt>
                <c:pt idx="6">
                  <c:v>2018</c:v>
                </c:pt>
                <c:pt idx="7">
                  <c:v>2019</c:v>
                </c:pt>
                <c:pt idx="8">
                  <c:v>2020</c:v>
                </c:pt>
                <c:pt idx="9">
                  <c:v>2021</c:v>
                </c:pt>
              </c:numCache>
            </c:numRef>
          </c:cat>
          <c:val>
            <c:numRef>
              <c:f>wodociągi!$C$11:$L$11</c:f>
              <c:numCache>
                <c:formatCode>General</c:formatCode>
                <c:ptCount val="10"/>
                <c:pt idx="0">
                  <c:v>26.3</c:v>
                </c:pt>
                <c:pt idx="1">
                  <c:v>25.6</c:v>
                </c:pt>
                <c:pt idx="2">
                  <c:v>28.4</c:v>
                </c:pt>
                <c:pt idx="3">
                  <c:v>27.7</c:v>
                </c:pt>
                <c:pt idx="4">
                  <c:v>27.5</c:v>
                </c:pt>
                <c:pt idx="5">
                  <c:v>28.5</c:v>
                </c:pt>
                <c:pt idx="6">
                  <c:v>28.6</c:v>
                </c:pt>
                <c:pt idx="7">
                  <c:v>28.7</c:v>
                </c:pt>
                <c:pt idx="8">
                  <c:v>31</c:v>
                </c:pt>
                <c:pt idx="9">
                  <c:v>41</c:v>
                </c:pt>
              </c:numCache>
            </c:numRef>
          </c:val>
          <c:extLst>
            <c:ext xmlns:c16="http://schemas.microsoft.com/office/drawing/2014/chart" uri="{C3380CC4-5D6E-409C-BE32-E72D297353CC}">
              <c16:uniqueId val="{00000001-FB81-45A0-9735-0D7E41E205CF}"/>
            </c:ext>
          </c:extLst>
        </c:ser>
        <c:dLbls>
          <c:showLegendKey val="0"/>
          <c:showVal val="0"/>
          <c:showCatName val="0"/>
          <c:showSerName val="0"/>
          <c:showPercent val="0"/>
          <c:showBubbleSize val="0"/>
        </c:dLbls>
        <c:gapWidth val="150"/>
        <c:axId val="357930112"/>
        <c:axId val="357931648"/>
      </c:barChart>
      <c:lineChart>
        <c:grouping val="standard"/>
        <c:varyColors val="0"/>
        <c:ser>
          <c:idx val="1"/>
          <c:order val="0"/>
          <c:tx>
            <c:strRef>
              <c:f>wodociągi!$B$12</c:f>
              <c:strCache>
                <c:ptCount val="1"/>
                <c:pt idx="0">
                  <c:v>Woda z wodociągów na 1 mieszkańca (średnia dla Polski)</c:v>
                </c:pt>
              </c:strCache>
            </c:strRef>
          </c:tx>
          <c:spPr>
            <a:ln>
              <a:solidFill>
                <a:schemeClr val="accent5">
                  <a:lumMod val="75000"/>
                </a:schemeClr>
              </a:solidFill>
            </a:ln>
          </c:spPr>
          <c:marker>
            <c:symbol val="square"/>
            <c:size val="7"/>
            <c:spPr>
              <a:solidFill>
                <a:schemeClr val="tx2"/>
              </a:solidFill>
            </c:spPr>
          </c:marker>
          <c:cat>
            <c:numRef>
              <c:f>wodociągi!$C$9:$L$9</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wodociągi!$C$12:$L$12</c:f>
              <c:numCache>
                <c:formatCode>General</c:formatCode>
                <c:ptCount val="10"/>
                <c:pt idx="0">
                  <c:v>30.9</c:v>
                </c:pt>
                <c:pt idx="1">
                  <c:v>31.1</c:v>
                </c:pt>
                <c:pt idx="2">
                  <c:v>32.200000000000003</c:v>
                </c:pt>
                <c:pt idx="3">
                  <c:v>32.200000000000003</c:v>
                </c:pt>
                <c:pt idx="4">
                  <c:v>31.8</c:v>
                </c:pt>
                <c:pt idx="5">
                  <c:v>33.299999999999997</c:v>
                </c:pt>
                <c:pt idx="6">
                  <c:v>33.700000000000003</c:v>
                </c:pt>
                <c:pt idx="7">
                  <c:v>34</c:v>
                </c:pt>
                <c:pt idx="8">
                  <c:v>33.700000000000003</c:v>
                </c:pt>
                <c:pt idx="9">
                  <c:v>34</c:v>
                </c:pt>
              </c:numCache>
            </c:numRef>
          </c:val>
          <c:smooth val="0"/>
          <c:extLst>
            <c:ext xmlns:c16="http://schemas.microsoft.com/office/drawing/2014/chart" uri="{C3380CC4-5D6E-409C-BE32-E72D297353CC}">
              <c16:uniqueId val="{00000002-FB81-45A0-9735-0D7E41E205CF}"/>
            </c:ext>
          </c:extLst>
        </c:ser>
        <c:ser>
          <c:idx val="0"/>
          <c:order val="1"/>
          <c:tx>
            <c:strRef>
              <c:f>wodociągi!$B$13</c:f>
              <c:strCache>
                <c:ptCount val="1"/>
                <c:pt idx="0">
                  <c:v>Woda z wodociągów na 1 korzystającego (średnia dla Polski)</c:v>
                </c:pt>
              </c:strCache>
            </c:strRef>
          </c:tx>
          <c:spPr>
            <a:ln>
              <a:solidFill>
                <a:schemeClr val="accent3">
                  <a:lumMod val="75000"/>
                </a:schemeClr>
              </a:solidFill>
            </a:ln>
          </c:spPr>
          <c:cat>
            <c:numRef>
              <c:f>wodociągi!$C$9:$L$9</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wodociągi!$C$13:$L$13</c:f>
              <c:numCache>
                <c:formatCode>General</c:formatCode>
                <c:ptCount val="10"/>
                <c:pt idx="0">
                  <c:v>35.200000000000003</c:v>
                </c:pt>
                <c:pt idx="1">
                  <c:v>33.9</c:v>
                </c:pt>
                <c:pt idx="2">
                  <c:v>35.1</c:v>
                </c:pt>
                <c:pt idx="3">
                  <c:v>35.1</c:v>
                </c:pt>
                <c:pt idx="4">
                  <c:v>34.6</c:v>
                </c:pt>
                <c:pt idx="5">
                  <c:v>36.200000000000003</c:v>
                </c:pt>
                <c:pt idx="6">
                  <c:v>36.5</c:v>
                </c:pt>
                <c:pt idx="7">
                  <c:v>37</c:v>
                </c:pt>
                <c:pt idx="8">
                  <c:v>36.6</c:v>
                </c:pt>
                <c:pt idx="9">
                  <c:v>36.799999999999997</c:v>
                </c:pt>
              </c:numCache>
            </c:numRef>
          </c:val>
          <c:smooth val="0"/>
          <c:extLst>
            <c:ext xmlns:c16="http://schemas.microsoft.com/office/drawing/2014/chart" uri="{C3380CC4-5D6E-409C-BE32-E72D297353CC}">
              <c16:uniqueId val="{00000003-FB81-45A0-9735-0D7E41E205CF}"/>
            </c:ext>
          </c:extLst>
        </c:ser>
        <c:dLbls>
          <c:showLegendKey val="0"/>
          <c:showVal val="0"/>
          <c:showCatName val="0"/>
          <c:showSerName val="0"/>
          <c:showPercent val="0"/>
          <c:showBubbleSize val="0"/>
        </c:dLbls>
        <c:marker val="1"/>
        <c:smooth val="0"/>
        <c:axId val="357930112"/>
        <c:axId val="357931648"/>
      </c:lineChart>
      <c:catAx>
        <c:axId val="357930112"/>
        <c:scaling>
          <c:orientation val="minMax"/>
        </c:scaling>
        <c:delete val="0"/>
        <c:axPos val="b"/>
        <c:numFmt formatCode="General" sourceLinked="1"/>
        <c:majorTickMark val="out"/>
        <c:minorTickMark val="none"/>
        <c:tickLblPos val="nextTo"/>
        <c:crossAx val="357931648"/>
        <c:crosses val="autoZero"/>
        <c:auto val="1"/>
        <c:lblAlgn val="ctr"/>
        <c:lblOffset val="100"/>
        <c:noMultiLvlLbl val="0"/>
      </c:catAx>
      <c:valAx>
        <c:axId val="357931648"/>
        <c:scaling>
          <c:orientation val="minMax"/>
        </c:scaling>
        <c:delete val="0"/>
        <c:axPos val="l"/>
        <c:majorGridlines/>
        <c:title>
          <c:tx>
            <c:rich>
              <a:bodyPr rot="-5400000" vert="horz"/>
              <a:lstStyle/>
              <a:p>
                <a:pPr>
                  <a:defRPr/>
                </a:pPr>
                <a:r>
                  <a:rPr lang="pl-PL" b="0"/>
                  <a:t>[m</a:t>
                </a:r>
                <a:r>
                  <a:rPr lang="pl-PL" b="0" baseline="30000"/>
                  <a:t>3</a:t>
                </a:r>
                <a:r>
                  <a:rPr lang="pl-PL" b="0"/>
                  <a:t>]</a:t>
                </a:r>
                <a:endParaRPr lang="en-GB" b="0"/>
              </a:p>
            </c:rich>
          </c:tx>
          <c:overlay val="0"/>
        </c:title>
        <c:numFmt formatCode="General" sourceLinked="1"/>
        <c:majorTickMark val="out"/>
        <c:minorTickMark val="none"/>
        <c:tickLblPos val="nextTo"/>
        <c:crossAx val="357930112"/>
        <c:crosses val="autoZero"/>
        <c:crossBetween val="between"/>
      </c:valAx>
      <c:spPr>
        <a:noFill/>
        <a:ln w="25400">
          <a:noFill/>
        </a:ln>
      </c:spPr>
    </c:plotArea>
    <c:legend>
      <c:legendPos val="b"/>
      <c:overlay val="0"/>
    </c:legend>
    <c:plotVisOnly val="1"/>
    <c:dispBlanksAs val="gap"/>
    <c:showDLblsOverMax val="0"/>
  </c:chart>
  <c:spPr>
    <a:ln w="12700">
      <a:solidFill>
        <a:sysClr val="windowText" lastClr="000000"/>
      </a:solidFill>
    </a:ln>
  </c:spPr>
  <c:txPr>
    <a:bodyPr/>
    <a:lstStyle/>
    <a:p>
      <a:pPr>
        <a:defRPr>
          <a:solidFill>
            <a:sysClr val="windowText" lastClr="000000"/>
          </a:solidFill>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wodociągi!$B$29</c:f>
              <c:strCache>
                <c:ptCount val="1"/>
                <c:pt idx="0">
                  <c:v>Awarie</c:v>
                </c:pt>
              </c:strCache>
            </c:strRef>
          </c:tx>
          <c:spPr>
            <a:pattFill prst="pct60">
              <a:fgClr>
                <a:schemeClr val="accent3">
                  <a:lumMod val="75000"/>
                </a:schemeClr>
              </a:fgClr>
              <a:bgClr>
                <a:schemeClr val="bg1"/>
              </a:bgClr>
            </a:pattFill>
            <a:ln>
              <a:solidFill>
                <a:schemeClr val="accent3">
                  <a:lumMod val="75000"/>
                </a:schemeClr>
              </a:solidFill>
            </a:ln>
          </c:spPr>
          <c:invertIfNegative val="0"/>
          <c:dLbls>
            <c:spPr>
              <a:solidFill>
                <a:schemeClr val="accent3">
                  <a:lumMod val="20000"/>
                  <a:lumOff val="80000"/>
                  <a:alpha val="59000"/>
                </a:schemeClr>
              </a:solidFill>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wodociągi!$C$28:$J$28</c:f>
              <c:numCache>
                <c:formatCode>General</c:formatCode>
                <c:ptCount val="8"/>
                <c:pt idx="0">
                  <c:v>2015</c:v>
                </c:pt>
                <c:pt idx="1">
                  <c:v>2016</c:v>
                </c:pt>
                <c:pt idx="2">
                  <c:v>2017</c:v>
                </c:pt>
                <c:pt idx="3">
                  <c:v>2018</c:v>
                </c:pt>
                <c:pt idx="4">
                  <c:v>2019</c:v>
                </c:pt>
                <c:pt idx="5">
                  <c:v>2020</c:v>
                </c:pt>
                <c:pt idx="6">
                  <c:v>2021</c:v>
                </c:pt>
                <c:pt idx="7">
                  <c:v>2022</c:v>
                </c:pt>
              </c:numCache>
            </c:numRef>
          </c:cat>
          <c:val>
            <c:numRef>
              <c:f>wodociągi!$C$29:$J$29</c:f>
              <c:numCache>
                <c:formatCode>General</c:formatCode>
                <c:ptCount val="8"/>
                <c:pt idx="0">
                  <c:v>17</c:v>
                </c:pt>
                <c:pt idx="1">
                  <c:v>17</c:v>
                </c:pt>
                <c:pt idx="2">
                  <c:v>19</c:v>
                </c:pt>
                <c:pt idx="3">
                  <c:v>16</c:v>
                </c:pt>
                <c:pt idx="4">
                  <c:v>17</c:v>
                </c:pt>
                <c:pt idx="5">
                  <c:v>19</c:v>
                </c:pt>
                <c:pt idx="6">
                  <c:v>22</c:v>
                </c:pt>
                <c:pt idx="7">
                  <c:v>23</c:v>
                </c:pt>
              </c:numCache>
            </c:numRef>
          </c:val>
          <c:extLst>
            <c:ext xmlns:c16="http://schemas.microsoft.com/office/drawing/2014/chart" uri="{C3380CC4-5D6E-409C-BE32-E72D297353CC}">
              <c16:uniqueId val="{00000000-E4B5-4CC0-93AC-B6611FD95F5B}"/>
            </c:ext>
          </c:extLst>
        </c:ser>
        <c:dLbls>
          <c:showLegendKey val="0"/>
          <c:showVal val="0"/>
          <c:showCatName val="0"/>
          <c:showSerName val="0"/>
          <c:showPercent val="0"/>
          <c:showBubbleSize val="0"/>
        </c:dLbls>
        <c:gapWidth val="150"/>
        <c:axId val="357956224"/>
        <c:axId val="357970304"/>
      </c:barChart>
      <c:catAx>
        <c:axId val="357956224"/>
        <c:scaling>
          <c:orientation val="minMax"/>
        </c:scaling>
        <c:delete val="0"/>
        <c:axPos val="b"/>
        <c:numFmt formatCode="General" sourceLinked="1"/>
        <c:majorTickMark val="out"/>
        <c:minorTickMark val="none"/>
        <c:tickLblPos val="nextTo"/>
        <c:crossAx val="357970304"/>
        <c:crosses val="autoZero"/>
        <c:auto val="1"/>
        <c:lblAlgn val="ctr"/>
        <c:lblOffset val="100"/>
        <c:noMultiLvlLbl val="0"/>
      </c:catAx>
      <c:valAx>
        <c:axId val="357970304"/>
        <c:scaling>
          <c:orientation val="minMax"/>
        </c:scaling>
        <c:delete val="0"/>
        <c:axPos val="l"/>
        <c:majorGridlines/>
        <c:title>
          <c:tx>
            <c:rich>
              <a:bodyPr rot="-5400000" vert="horz"/>
              <a:lstStyle/>
              <a:p>
                <a:pPr>
                  <a:defRPr/>
                </a:pPr>
                <a:r>
                  <a:rPr lang="pl-PL" b="0"/>
                  <a:t>Awarie [szt.]]</a:t>
                </a:r>
                <a:endParaRPr lang="en-GB" b="0"/>
              </a:p>
            </c:rich>
          </c:tx>
          <c:overlay val="0"/>
        </c:title>
        <c:numFmt formatCode="General" sourceLinked="1"/>
        <c:majorTickMark val="out"/>
        <c:minorTickMark val="none"/>
        <c:tickLblPos val="nextTo"/>
        <c:crossAx val="357956224"/>
        <c:crosses val="autoZero"/>
        <c:crossBetween val="between"/>
      </c:valAx>
    </c:plotArea>
    <c:plotVisOnly val="1"/>
    <c:dispBlanksAs val="gap"/>
    <c:showDLblsOverMax val="0"/>
  </c:chart>
  <c:spPr>
    <a:ln w="12700">
      <a:solidFill>
        <a:sysClr val="windowText" lastClr="000000"/>
      </a:solidFill>
    </a:ln>
  </c:spPr>
  <c:txPr>
    <a:bodyPr/>
    <a:lstStyle/>
    <a:p>
      <a:pPr>
        <a:defRPr>
          <a:solidFill>
            <a:sysClr val="windowText" lastClr="000000"/>
          </a:solidFill>
        </a:defRPr>
      </a:pPr>
      <a:endParaRPr lang="pl-PL"/>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2"/>
          <c:order val="1"/>
          <c:tx>
            <c:strRef>
              <c:f>kanalizacja!$A$10</c:f>
              <c:strCache>
                <c:ptCount val="1"/>
                <c:pt idx="0">
                  <c:v>ścieki bytowe odprowadzone siecią kanalizacyjną</c:v>
                </c:pt>
              </c:strCache>
            </c:strRef>
          </c:tx>
          <c:spPr>
            <a:pattFill prst="pct60">
              <a:fgClr>
                <a:schemeClr val="accent3">
                  <a:lumMod val="75000"/>
                </a:schemeClr>
              </a:fgClr>
              <a:bgClr>
                <a:schemeClr val="bg1"/>
              </a:bgClr>
            </a:pattFill>
            <a:ln>
              <a:solidFill>
                <a:schemeClr val="accent3">
                  <a:lumMod val="75000"/>
                </a:schemeClr>
              </a:solidFill>
            </a:ln>
          </c:spPr>
          <c:invertIfNegative val="0"/>
          <c:cat>
            <c:numRef>
              <c:f>Arkusz1!$C$178:$J$178</c:f>
              <c:numCache>
                <c:formatCode>General</c:formatCode>
                <c:ptCount val="8"/>
                <c:pt idx="0">
                  <c:v>2015</c:v>
                </c:pt>
                <c:pt idx="1">
                  <c:v>2016</c:v>
                </c:pt>
                <c:pt idx="2">
                  <c:v>2017</c:v>
                </c:pt>
                <c:pt idx="3">
                  <c:v>2018</c:v>
                </c:pt>
                <c:pt idx="4">
                  <c:v>2019</c:v>
                </c:pt>
                <c:pt idx="5">
                  <c:v>2020</c:v>
                </c:pt>
                <c:pt idx="6">
                  <c:v>2021</c:v>
                </c:pt>
                <c:pt idx="7">
                  <c:v>2022</c:v>
                </c:pt>
              </c:numCache>
            </c:numRef>
          </c:cat>
          <c:val>
            <c:numRef>
              <c:f>kanalizacja!$B$10:$I$10</c:f>
              <c:numCache>
                <c:formatCode>General</c:formatCode>
                <c:ptCount val="8"/>
                <c:pt idx="0">
                  <c:v>77</c:v>
                </c:pt>
                <c:pt idx="1">
                  <c:v>86</c:v>
                </c:pt>
                <c:pt idx="2">
                  <c:v>85</c:v>
                </c:pt>
                <c:pt idx="3">
                  <c:v>85</c:v>
                </c:pt>
                <c:pt idx="4">
                  <c:v>73.5</c:v>
                </c:pt>
                <c:pt idx="5">
                  <c:v>75</c:v>
                </c:pt>
                <c:pt idx="6">
                  <c:v>79</c:v>
                </c:pt>
                <c:pt idx="7">
                  <c:v>89</c:v>
                </c:pt>
              </c:numCache>
            </c:numRef>
          </c:val>
          <c:extLst>
            <c:ext xmlns:c16="http://schemas.microsoft.com/office/drawing/2014/chart" uri="{C3380CC4-5D6E-409C-BE32-E72D297353CC}">
              <c16:uniqueId val="{00000000-2005-40A9-B04C-A93863B620AA}"/>
            </c:ext>
          </c:extLst>
        </c:ser>
        <c:ser>
          <c:idx val="3"/>
          <c:order val="2"/>
          <c:tx>
            <c:strRef>
              <c:f>kanalizacja!$A$11</c:f>
              <c:strCache>
                <c:ptCount val="1"/>
                <c:pt idx="0">
                  <c:v>ścieki oczyszczane odprowadzone</c:v>
                </c:pt>
              </c:strCache>
            </c:strRef>
          </c:tx>
          <c:spPr>
            <a:pattFill prst="pct80">
              <a:fgClr>
                <a:schemeClr val="accent3">
                  <a:lumMod val="60000"/>
                  <a:lumOff val="40000"/>
                </a:schemeClr>
              </a:fgClr>
              <a:bgClr>
                <a:schemeClr val="bg1"/>
              </a:bgClr>
            </a:pattFill>
            <a:ln>
              <a:solidFill>
                <a:schemeClr val="accent3">
                  <a:lumMod val="75000"/>
                </a:schemeClr>
              </a:solidFill>
            </a:ln>
          </c:spPr>
          <c:invertIfNegative val="0"/>
          <c:cat>
            <c:numRef>
              <c:f>Arkusz1!$C$178:$J$178</c:f>
              <c:numCache>
                <c:formatCode>General</c:formatCode>
                <c:ptCount val="8"/>
                <c:pt idx="0">
                  <c:v>2015</c:v>
                </c:pt>
                <c:pt idx="1">
                  <c:v>2016</c:v>
                </c:pt>
                <c:pt idx="2">
                  <c:v>2017</c:v>
                </c:pt>
                <c:pt idx="3">
                  <c:v>2018</c:v>
                </c:pt>
                <c:pt idx="4">
                  <c:v>2019</c:v>
                </c:pt>
                <c:pt idx="5">
                  <c:v>2020</c:v>
                </c:pt>
                <c:pt idx="6">
                  <c:v>2021</c:v>
                </c:pt>
                <c:pt idx="7">
                  <c:v>2022</c:v>
                </c:pt>
              </c:numCache>
            </c:numRef>
          </c:cat>
          <c:val>
            <c:numRef>
              <c:f>kanalizacja!$B$11:$I$11</c:f>
              <c:numCache>
                <c:formatCode>General</c:formatCode>
                <c:ptCount val="8"/>
                <c:pt idx="0">
                  <c:v>107</c:v>
                </c:pt>
                <c:pt idx="1">
                  <c:v>109</c:v>
                </c:pt>
                <c:pt idx="2">
                  <c:v>105</c:v>
                </c:pt>
                <c:pt idx="3">
                  <c:v>109</c:v>
                </c:pt>
                <c:pt idx="4">
                  <c:v>108</c:v>
                </c:pt>
                <c:pt idx="5">
                  <c:v>104</c:v>
                </c:pt>
                <c:pt idx="6">
                  <c:v>107</c:v>
                </c:pt>
                <c:pt idx="7">
                  <c:v>105</c:v>
                </c:pt>
              </c:numCache>
            </c:numRef>
          </c:val>
          <c:extLst>
            <c:ext xmlns:c16="http://schemas.microsoft.com/office/drawing/2014/chart" uri="{C3380CC4-5D6E-409C-BE32-E72D297353CC}">
              <c16:uniqueId val="{00000001-2005-40A9-B04C-A93863B620AA}"/>
            </c:ext>
          </c:extLst>
        </c:ser>
        <c:dLbls>
          <c:showLegendKey val="0"/>
          <c:showVal val="0"/>
          <c:showCatName val="0"/>
          <c:showSerName val="0"/>
          <c:showPercent val="0"/>
          <c:showBubbleSize val="0"/>
        </c:dLbls>
        <c:gapWidth val="150"/>
        <c:axId val="358013568"/>
        <c:axId val="358019456"/>
      </c:barChart>
      <c:lineChart>
        <c:grouping val="standard"/>
        <c:varyColors val="0"/>
        <c:ser>
          <c:idx val="1"/>
          <c:order val="0"/>
          <c:tx>
            <c:strRef>
              <c:f>kanalizacja!$A$12</c:f>
              <c:strCache>
                <c:ptCount val="1"/>
                <c:pt idx="0">
                  <c:v>ludność korzystająca z sieci kanalizacyjnej</c:v>
                </c:pt>
              </c:strCache>
            </c:strRef>
          </c:tx>
          <c:spPr>
            <a:ln>
              <a:solidFill>
                <a:schemeClr val="accent3">
                  <a:lumMod val="75000"/>
                </a:schemeClr>
              </a:solidFill>
            </a:ln>
          </c:spPr>
          <c:cat>
            <c:numRef>
              <c:f>kanalizacja!$B$9:$I$9</c:f>
              <c:numCache>
                <c:formatCode>General</c:formatCode>
                <c:ptCount val="8"/>
                <c:pt idx="0">
                  <c:v>2015</c:v>
                </c:pt>
                <c:pt idx="1">
                  <c:v>2016</c:v>
                </c:pt>
                <c:pt idx="2">
                  <c:v>2017</c:v>
                </c:pt>
                <c:pt idx="3">
                  <c:v>2018</c:v>
                </c:pt>
                <c:pt idx="4">
                  <c:v>2019</c:v>
                </c:pt>
                <c:pt idx="5">
                  <c:v>2020</c:v>
                </c:pt>
                <c:pt idx="6">
                  <c:v>2021</c:v>
                </c:pt>
                <c:pt idx="7">
                  <c:v>2022</c:v>
                </c:pt>
              </c:numCache>
            </c:numRef>
          </c:cat>
          <c:val>
            <c:numRef>
              <c:f>kanalizacja!$B$12:$I$12</c:f>
              <c:numCache>
                <c:formatCode>#,##0</c:formatCode>
                <c:ptCount val="8"/>
                <c:pt idx="0">
                  <c:v>2819</c:v>
                </c:pt>
                <c:pt idx="1">
                  <c:v>2796</c:v>
                </c:pt>
                <c:pt idx="2">
                  <c:v>2796</c:v>
                </c:pt>
                <c:pt idx="3">
                  <c:v>2727</c:v>
                </c:pt>
                <c:pt idx="4">
                  <c:v>2694</c:v>
                </c:pt>
                <c:pt idx="5">
                  <c:v>2635</c:v>
                </c:pt>
                <c:pt idx="6">
                  <c:v>2618</c:v>
                </c:pt>
                <c:pt idx="7">
                  <c:v>2604</c:v>
                </c:pt>
              </c:numCache>
            </c:numRef>
          </c:val>
          <c:smooth val="0"/>
          <c:extLst>
            <c:ext xmlns:c16="http://schemas.microsoft.com/office/drawing/2014/chart" uri="{C3380CC4-5D6E-409C-BE32-E72D297353CC}">
              <c16:uniqueId val="{00000002-2005-40A9-B04C-A93863B620AA}"/>
            </c:ext>
          </c:extLst>
        </c:ser>
        <c:dLbls>
          <c:showLegendKey val="0"/>
          <c:showVal val="0"/>
          <c:showCatName val="0"/>
          <c:showSerName val="0"/>
          <c:showPercent val="0"/>
          <c:showBubbleSize val="0"/>
        </c:dLbls>
        <c:marker val="1"/>
        <c:smooth val="0"/>
        <c:axId val="358023552"/>
        <c:axId val="358021376"/>
      </c:lineChart>
      <c:catAx>
        <c:axId val="358013568"/>
        <c:scaling>
          <c:orientation val="minMax"/>
        </c:scaling>
        <c:delete val="0"/>
        <c:axPos val="b"/>
        <c:numFmt formatCode="General" sourceLinked="1"/>
        <c:majorTickMark val="out"/>
        <c:minorTickMark val="none"/>
        <c:tickLblPos val="nextTo"/>
        <c:crossAx val="358019456"/>
        <c:crosses val="autoZero"/>
        <c:auto val="1"/>
        <c:lblAlgn val="ctr"/>
        <c:lblOffset val="100"/>
        <c:noMultiLvlLbl val="0"/>
      </c:catAx>
      <c:valAx>
        <c:axId val="358019456"/>
        <c:scaling>
          <c:orientation val="minMax"/>
        </c:scaling>
        <c:delete val="0"/>
        <c:axPos val="l"/>
        <c:majorGridlines/>
        <c:title>
          <c:tx>
            <c:rich>
              <a:bodyPr rot="-5400000" vert="horz"/>
              <a:lstStyle/>
              <a:p>
                <a:pPr>
                  <a:defRPr/>
                </a:pPr>
                <a:r>
                  <a:rPr lang="pl-PL" b="0"/>
                  <a:t>Ścieki [dam</a:t>
                </a:r>
                <a:r>
                  <a:rPr lang="pl-PL" b="0" baseline="30000"/>
                  <a:t>3</a:t>
                </a:r>
                <a:r>
                  <a:rPr lang="pl-PL" b="0"/>
                  <a:t>]</a:t>
                </a:r>
                <a:endParaRPr lang="en-GB" b="0"/>
              </a:p>
            </c:rich>
          </c:tx>
          <c:overlay val="0"/>
        </c:title>
        <c:numFmt formatCode="General" sourceLinked="1"/>
        <c:majorTickMark val="out"/>
        <c:minorTickMark val="none"/>
        <c:tickLblPos val="nextTo"/>
        <c:crossAx val="358013568"/>
        <c:crosses val="autoZero"/>
        <c:crossBetween val="between"/>
      </c:valAx>
      <c:valAx>
        <c:axId val="358021376"/>
        <c:scaling>
          <c:orientation val="minMax"/>
          <c:min val="0"/>
        </c:scaling>
        <c:delete val="0"/>
        <c:axPos val="r"/>
        <c:title>
          <c:tx>
            <c:rich>
              <a:bodyPr rot="-5400000" vert="horz"/>
              <a:lstStyle/>
              <a:p>
                <a:pPr>
                  <a:defRPr/>
                </a:pPr>
                <a:r>
                  <a:rPr lang="pl-PL" b="0"/>
                  <a:t>Ludność [os.]</a:t>
                </a:r>
                <a:endParaRPr lang="en-GB" b="0"/>
              </a:p>
            </c:rich>
          </c:tx>
          <c:overlay val="0"/>
        </c:title>
        <c:numFmt formatCode="#,##0" sourceLinked="1"/>
        <c:majorTickMark val="out"/>
        <c:minorTickMark val="none"/>
        <c:tickLblPos val="nextTo"/>
        <c:crossAx val="358023552"/>
        <c:crosses val="max"/>
        <c:crossBetween val="between"/>
      </c:valAx>
      <c:catAx>
        <c:axId val="358023552"/>
        <c:scaling>
          <c:orientation val="minMax"/>
        </c:scaling>
        <c:delete val="1"/>
        <c:axPos val="b"/>
        <c:numFmt formatCode="General" sourceLinked="1"/>
        <c:majorTickMark val="out"/>
        <c:minorTickMark val="none"/>
        <c:tickLblPos val="nextTo"/>
        <c:crossAx val="358021376"/>
        <c:crosses val="autoZero"/>
        <c:auto val="1"/>
        <c:lblAlgn val="ctr"/>
        <c:lblOffset val="100"/>
        <c:noMultiLvlLbl val="0"/>
      </c:catAx>
    </c:plotArea>
    <c:legend>
      <c:legendPos val="b"/>
      <c:overlay val="0"/>
    </c:legend>
    <c:plotVisOnly val="1"/>
    <c:dispBlanksAs val="gap"/>
    <c:showDLblsOverMax val="0"/>
  </c:chart>
  <c:spPr>
    <a:ln w="12700">
      <a:solidFill>
        <a:sysClr val="windowText" lastClr="000000"/>
      </a:solidFill>
    </a:ln>
  </c:spPr>
  <c:txPr>
    <a:bodyPr/>
    <a:lstStyle/>
    <a:p>
      <a:pPr>
        <a:defRPr>
          <a:solidFill>
            <a:sysClr val="windowText" lastClr="000000"/>
          </a:solidFill>
        </a:defRPr>
      </a:pPr>
      <a:endParaRPr lang="pl-PL"/>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1"/>
          <c:tx>
            <c:strRef>
              <c:f>gaz!$B$13</c:f>
              <c:strCache>
                <c:ptCount val="1"/>
                <c:pt idx="0">
                  <c:v>Gaz na 1 korzystającego</c:v>
                </c:pt>
              </c:strCache>
            </c:strRef>
          </c:tx>
          <c:spPr>
            <a:pattFill prst="pct60">
              <a:fgClr>
                <a:schemeClr val="accent3">
                  <a:lumMod val="75000"/>
                </a:schemeClr>
              </a:fgClr>
              <a:bgClr>
                <a:schemeClr val="bg1"/>
              </a:bgClr>
            </a:pattFill>
            <a:ln>
              <a:solidFill>
                <a:schemeClr val="accent3">
                  <a:lumMod val="75000"/>
                </a:schemeClr>
              </a:solid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gaz!$C$11:$K$11</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gaz!$C$13:$K$13</c:f>
              <c:numCache>
                <c:formatCode>#\ ##0.0</c:formatCode>
                <c:ptCount val="9"/>
                <c:pt idx="0">
                  <c:v>3187.6</c:v>
                </c:pt>
                <c:pt idx="1">
                  <c:v>2063.5</c:v>
                </c:pt>
                <c:pt idx="2">
                  <c:v>2322.1</c:v>
                </c:pt>
                <c:pt idx="3">
                  <c:v>2526.1999999999998</c:v>
                </c:pt>
                <c:pt idx="4">
                  <c:v>2347.1999999999998</c:v>
                </c:pt>
                <c:pt idx="5">
                  <c:v>2408.6</c:v>
                </c:pt>
                <c:pt idx="6">
                  <c:v>2035.3</c:v>
                </c:pt>
                <c:pt idx="7">
                  <c:v>2411.3000000000002</c:v>
                </c:pt>
                <c:pt idx="8">
                  <c:v>2177.5</c:v>
                </c:pt>
              </c:numCache>
            </c:numRef>
          </c:val>
          <c:extLst>
            <c:ext xmlns:c16="http://schemas.microsoft.com/office/drawing/2014/chart" uri="{C3380CC4-5D6E-409C-BE32-E72D297353CC}">
              <c16:uniqueId val="{00000000-1B5F-488D-88DF-D61BE09C4F2A}"/>
            </c:ext>
          </c:extLst>
        </c:ser>
        <c:ser>
          <c:idx val="1"/>
          <c:order val="0"/>
          <c:tx>
            <c:strRef>
              <c:f>gaz!$B$12</c:f>
              <c:strCache>
                <c:ptCount val="1"/>
                <c:pt idx="0">
                  <c:v>Gaz na 1 mieszkańca</c:v>
                </c:pt>
              </c:strCache>
            </c:strRef>
          </c:tx>
          <c:spPr>
            <a:pattFill prst="ltDnDiag">
              <a:fgClr>
                <a:schemeClr val="accent3">
                  <a:lumMod val="50000"/>
                </a:schemeClr>
              </a:fgClr>
              <a:bgClr>
                <a:schemeClr val="accent3">
                  <a:lumMod val="20000"/>
                  <a:lumOff val="80000"/>
                </a:schemeClr>
              </a:bgClr>
            </a:pattFill>
            <a:ln>
              <a:solidFill>
                <a:schemeClr val="accent3">
                  <a:lumMod val="75000"/>
                </a:schemeClr>
              </a:solidFill>
            </a:ln>
          </c:spPr>
          <c:invertIfNegative val="0"/>
          <c:dLbls>
            <c:spPr>
              <a:solidFill>
                <a:schemeClr val="accent3">
                  <a:lumMod val="20000"/>
                  <a:lumOff val="80000"/>
                  <a:alpha val="50000"/>
                </a:schemeClr>
              </a:solidFill>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gaz!$C$11:$K$11</c:f>
              <c:numCache>
                <c:formatCode>General</c:formatCode>
                <c:ptCount val="9"/>
                <c:pt idx="0">
                  <c:v>2014</c:v>
                </c:pt>
                <c:pt idx="1">
                  <c:v>2015</c:v>
                </c:pt>
                <c:pt idx="2">
                  <c:v>2016</c:v>
                </c:pt>
                <c:pt idx="3">
                  <c:v>2017</c:v>
                </c:pt>
                <c:pt idx="4">
                  <c:v>2018</c:v>
                </c:pt>
                <c:pt idx="5">
                  <c:v>2019</c:v>
                </c:pt>
                <c:pt idx="6">
                  <c:v>2020</c:v>
                </c:pt>
                <c:pt idx="7">
                  <c:v>2021</c:v>
                </c:pt>
                <c:pt idx="8">
                  <c:v>2022</c:v>
                </c:pt>
              </c:numCache>
            </c:numRef>
          </c:cat>
          <c:val>
            <c:numRef>
              <c:f>gaz!$C$12:$K$12</c:f>
              <c:numCache>
                <c:formatCode>#\ ##0.0</c:formatCode>
                <c:ptCount val="9"/>
                <c:pt idx="0">
                  <c:v>1983.8</c:v>
                </c:pt>
                <c:pt idx="1">
                  <c:v>1187.0999999999999</c:v>
                </c:pt>
                <c:pt idx="2">
                  <c:v>1333.3</c:v>
                </c:pt>
                <c:pt idx="3">
                  <c:v>1464.4</c:v>
                </c:pt>
                <c:pt idx="4">
                  <c:v>1363.3</c:v>
                </c:pt>
                <c:pt idx="5">
                  <c:v>1422.9</c:v>
                </c:pt>
                <c:pt idx="6">
                  <c:v>0</c:v>
                </c:pt>
                <c:pt idx="7">
                  <c:v>1881.9</c:v>
                </c:pt>
                <c:pt idx="8">
                  <c:v>1701.8</c:v>
                </c:pt>
              </c:numCache>
            </c:numRef>
          </c:val>
          <c:extLst>
            <c:ext xmlns:c16="http://schemas.microsoft.com/office/drawing/2014/chart" uri="{C3380CC4-5D6E-409C-BE32-E72D297353CC}">
              <c16:uniqueId val="{00000001-1B5F-488D-88DF-D61BE09C4F2A}"/>
            </c:ext>
          </c:extLst>
        </c:ser>
        <c:dLbls>
          <c:showLegendKey val="0"/>
          <c:showVal val="0"/>
          <c:showCatName val="0"/>
          <c:showSerName val="0"/>
          <c:showPercent val="0"/>
          <c:showBubbleSize val="0"/>
        </c:dLbls>
        <c:gapWidth val="150"/>
        <c:axId val="358840192"/>
        <c:axId val="358841728"/>
      </c:barChart>
      <c:catAx>
        <c:axId val="358840192"/>
        <c:scaling>
          <c:orientation val="minMax"/>
        </c:scaling>
        <c:delete val="0"/>
        <c:axPos val="b"/>
        <c:numFmt formatCode="General" sourceLinked="1"/>
        <c:majorTickMark val="out"/>
        <c:minorTickMark val="none"/>
        <c:tickLblPos val="nextTo"/>
        <c:crossAx val="358841728"/>
        <c:crosses val="autoZero"/>
        <c:auto val="1"/>
        <c:lblAlgn val="ctr"/>
        <c:lblOffset val="100"/>
        <c:noMultiLvlLbl val="0"/>
      </c:catAx>
      <c:valAx>
        <c:axId val="358841728"/>
        <c:scaling>
          <c:orientation val="minMax"/>
        </c:scaling>
        <c:delete val="0"/>
        <c:axPos val="l"/>
        <c:majorGridlines/>
        <c:title>
          <c:tx>
            <c:rich>
              <a:bodyPr rot="-5400000" vert="horz"/>
              <a:lstStyle/>
              <a:p>
                <a:pPr>
                  <a:defRPr/>
                </a:pPr>
                <a:r>
                  <a:rPr lang="pl-PL" b="0"/>
                  <a:t>[KWh]</a:t>
                </a:r>
                <a:endParaRPr lang="en-GB" b="0"/>
              </a:p>
            </c:rich>
          </c:tx>
          <c:overlay val="0"/>
        </c:title>
        <c:numFmt formatCode="#,##0" sourceLinked="0"/>
        <c:majorTickMark val="out"/>
        <c:minorTickMark val="none"/>
        <c:tickLblPos val="nextTo"/>
        <c:crossAx val="358840192"/>
        <c:crosses val="autoZero"/>
        <c:crossBetween val="between"/>
      </c:valAx>
      <c:spPr>
        <a:noFill/>
        <a:ln w="25400">
          <a:noFill/>
        </a:ln>
      </c:spPr>
    </c:plotArea>
    <c:legend>
      <c:legendPos val="b"/>
      <c:overlay val="0"/>
    </c:legend>
    <c:plotVisOnly val="1"/>
    <c:dispBlanksAs val="gap"/>
    <c:showDLblsOverMax val="0"/>
  </c:chart>
  <c:spPr>
    <a:ln w="12700">
      <a:solidFill>
        <a:sysClr val="windowText" lastClr="000000"/>
      </a:solidFill>
    </a:ln>
  </c:spPr>
  <c:txPr>
    <a:bodyPr/>
    <a:lstStyle/>
    <a:p>
      <a:pPr>
        <a:defRPr>
          <a:solidFill>
            <a:sysClr val="windowText" lastClr="000000"/>
          </a:solidFill>
        </a:defRPr>
      </a:pPr>
      <a:endParaRPr lang="pl-PL"/>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ciepło!$B$1</c:f>
              <c:strCache>
                <c:ptCount val="1"/>
                <c:pt idx="0">
                  <c:v>liczba mieszkań</c:v>
                </c:pt>
              </c:strCache>
            </c:strRef>
          </c:tx>
          <c:spPr>
            <a:solidFill>
              <a:schemeClr val="accent1"/>
            </a:solidFill>
            <a:ln>
              <a:noFill/>
            </a:ln>
            <a:effectLst/>
          </c:spPr>
          <c:invertIfNegative val="0"/>
          <c:cat>
            <c:strRef>
              <c:f>ciepło!$A$2:$A$11</c:f>
              <c:strCache>
                <c:ptCount val="10"/>
                <c:pt idx="0">
                  <c:v>do 1918</c:v>
                </c:pt>
                <c:pt idx="1">
                  <c:v>1918 - 1944</c:v>
                </c:pt>
                <c:pt idx="2">
                  <c:v>1945 - 1970</c:v>
                </c:pt>
                <c:pt idx="3">
                  <c:v>1971 - 1978</c:v>
                </c:pt>
                <c:pt idx="4">
                  <c:v>1979 - 1988</c:v>
                </c:pt>
                <c:pt idx="5">
                  <c:v>1989 - 2002</c:v>
                </c:pt>
                <c:pt idx="6">
                  <c:v>2003 - 2011</c:v>
                </c:pt>
                <c:pt idx="7">
                  <c:v>2011 - 2016</c:v>
                </c:pt>
                <c:pt idx="8">
                  <c:v>2016 - 2021</c:v>
                </c:pt>
                <c:pt idx="9">
                  <c:v>2022</c:v>
                </c:pt>
              </c:strCache>
            </c:strRef>
          </c:cat>
          <c:val>
            <c:numRef>
              <c:f>ciepło!$B$2:$B$11</c:f>
              <c:numCache>
                <c:formatCode>#,##0</c:formatCode>
                <c:ptCount val="10"/>
                <c:pt idx="0">
                  <c:v>3</c:v>
                </c:pt>
                <c:pt idx="1">
                  <c:v>50</c:v>
                </c:pt>
                <c:pt idx="2">
                  <c:v>172</c:v>
                </c:pt>
                <c:pt idx="3">
                  <c:v>211</c:v>
                </c:pt>
                <c:pt idx="4">
                  <c:v>147</c:v>
                </c:pt>
                <c:pt idx="5">
                  <c:v>212</c:v>
                </c:pt>
                <c:pt idx="6">
                  <c:v>78</c:v>
                </c:pt>
                <c:pt idx="7">
                  <c:v>34</c:v>
                </c:pt>
                <c:pt idx="8">
                  <c:v>33</c:v>
                </c:pt>
                <c:pt idx="9">
                  <c:v>6</c:v>
                </c:pt>
              </c:numCache>
            </c:numRef>
          </c:val>
          <c:extLst>
            <c:ext xmlns:c16="http://schemas.microsoft.com/office/drawing/2014/chart" uri="{C3380CC4-5D6E-409C-BE32-E72D297353CC}">
              <c16:uniqueId val="{00000000-EB0E-4FC6-879C-37EC18F64A41}"/>
            </c:ext>
          </c:extLst>
        </c:ser>
        <c:dLbls>
          <c:showLegendKey val="0"/>
          <c:showVal val="0"/>
          <c:showCatName val="0"/>
          <c:showSerName val="0"/>
          <c:showPercent val="0"/>
          <c:showBubbleSize val="0"/>
        </c:dLbls>
        <c:gapWidth val="267"/>
        <c:overlap val="-43"/>
        <c:axId val="1970962911"/>
        <c:axId val="1970965791"/>
      </c:barChart>
      <c:catAx>
        <c:axId val="1970962911"/>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ysClr val="windowText" lastClr="000000"/>
                </a:solidFill>
                <a:latin typeface="+mn-lt"/>
                <a:ea typeface="+mn-ea"/>
                <a:cs typeface="+mn-cs"/>
              </a:defRPr>
            </a:pPr>
            <a:endParaRPr lang="pl-PL"/>
          </a:p>
        </c:txPr>
        <c:crossAx val="1970965791"/>
        <c:crosses val="autoZero"/>
        <c:auto val="1"/>
        <c:lblAlgn val="ctr"/>
        <c:lblOffset val="100"/>
        <c:noMultiLvlLbl val="0"/>
      </c:catAx>
      <c:valAx>
        <c:axId val="1970965791"/>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pl-PL" b="0"/>
                  <a:t>Liczba budynków [szt.]</a:t>
                </a:r>
              </a:p>
            </c:rich>
          </c:tx>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970962911"/>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tx1"/>
      </a:solidFill>
      <a:round/>
    </a:ln>
    <a:effectLst/>
  </c:spPr>
  <c:txPr>
    <a:bodyPr/>
    <a:lstStyle/>
    <a:p>
      <a:pPr>
        <a:defRPr>
          <a:solidFill>
            <a:sysClr val="windowText" lastClr="000000"/>
          </a:solidFill>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1"/>
          <c:tx>
            <c:strRef>
              <c:f>'enegia elektryczna'!$B$9</c:f>
              <c:strCache>
                <c:ptCount val="1"/>
                <c:pt idx="0">
                  <c:v>Zużycie energii elektrycznej na 1 mieszkańca (Miasto Tarnogród)</c:v>
                </c:pt>
              </c:strCache>
            </c:strRef>
          </c:tx>
          <c:spPr>
            <a:pattFill prst="pct60">
              <a:fgClr>
                <a:schemeClr val="accent3">
                  <a:lumMod val="75000"/>
                </a:schemeClr>
              </a:fgClr>
              <a:bgClr>
                <a:schemeClr val="bg1"/>
              </a:bgClr>
            </a:pattFill>
            <a:ln>
              <a:solidFill>
                <a:schemeClr val="accent3">
                  <a:lumMod val="75000"/>
                </a:schemeClr>
              </a:solidFill>
            </a:ln>
          </c:spPr>
          <c:invertIfNegative val="0"/>
          <c:dLbls>
            <c:spPr>
              <a:solidFill>
                <a:schemeClr val="accent3">
                  <a:lumMod val="20000"/>
                  <a:lumOff val="80000"/>
                  <a:alpha val="59000"/>
                </a:schemeClr>
              </a:solidFill>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28575"/>
            </c:spPr>
            <c:trendlineType val="linear"/>
            <c:dispRSqr val="0"/>
            <c:dispEq val="0"/>
          </c:trendline>
          <c:cat>
            <c:numRef>
              <c:f>'enegia elektryczna'!$C$8:$L$8</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'enegia elektryczna'!$C$9:$L$9</c:f>
              <c:numCache>
                <c:formatCode>#\ ##0.0</c:formatCode>
                <c:ptCount val="10"/>
                <c:pt idx="0">
                  <c:v>627</c:v>
                </c:pt>
                <c:pt idx="1">
                  <c:v>613.1</c:v>
                </c:pt>
                <c:pt idx="2">
                  <c:v>605.4</c:v>
                </c:pt>
                <c:pt idx="3">
                  <c:v>611.9</c:v>
                </c:pt>
                <c:pt idx="4">
                  <c:v>631</c:v>
                </c:pt>
                <c:pt idx="5">
                  <c:v>644.79999999999995</c:v>
                </c:pt>
                <c:pt idx="6">
                  <c:v>640.4</c:v>
                </c:pt>
                <c:pt idx="7">
                  <c:v>677.9</c:v>
                </c:pt>
                <c:pt idx="8">
                  <c:v>653.70000000000005</c:v>
                </c:pt>
                <c:pt idx="9">
                  <c:v>547</c:v>
                </c:pt>
              </c:numCache>
            </c:numRef>
          </c:val>
          <c:extLst>
            <c:ext xmlns:c16="http://schemas.microsoft.com/office/drawing/2014/chart" uri="{C3380CC4-5D6E-409C-BE32-E72D297353CC}">
              <c16:uniqueId val="{00000001-0C6B-4D15-96F5-7A1E8D400F1B}"/>
            </c:ext>
          </c:extLst>
        </c:ser>
        <c:dLbls>
          <c:showLegendKey val="0"/>
          <c:showVal val="0"/>
          <c:showCatName val="0"/>
          <c:showSerName val="0"/>
          <c:showPercent val="0"/>
          <c:showBubbleSize val="0"/>
        </c:dLbls>
        <c:gapWidth val="150"/>
        <c:axId val="358062720"/>
        <c:axId val="358080896"/>
      </c:barChart>
      <c:lineChart>
        <c:grouping val="standard"/>
        <c:varyColors val="0"/>
        <c:ser>
          <c:idx val="1"/>
          <c:order val="0"/>
          <c:tx>
            <c:strRef>
              <c:f>'enegia elektryczna'!$B$10</c:f>
              <c:strCache>
                <c:ptCount val="1"/>
                <c:pt idx="0">
                  <c:v>Zużycie energii elektrycznej na 1 mieszkańca (średnia dla Polski)</c:v>
                </c:pt>
              </c:strCache>
            </c:strRef>
          </c:tx>
          <c:spPr>
            <a:ln>
              <a:solidFill>
                <a:schemeClr val="accent3">
                  <a:lumMod val="75000"/>
                </a:schemeClr>
              </a:solidFill>
            </a:ln>
          </c:spP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'enegia elektryczna'!$C$8:$L$8</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'enegia elektryczna'!$C$10:$L$10</c:f>
              <c:numCache>
                <c:formatCode>#\ ##0.0</c:formatCode>
                <c:ptCount val="10"/>
                <c:pt idx="0">
                  <c:v>761.44</c:v>
                </c:pt>
                <c:pt idx="1">
                  <c:v>735.04</c:v>
                </c:pt>
                <c:pt idx="2">
                  <c:v>727.62</c:v>
                </c:pt>
                <c:pt idx="3">
                  <c:v>737.38</c:v>
                </c:pt>
                <c:pt idx="4">
                  <c:v>777.72</c:v>
                </c:pt>
                <c:pt idx="5">
                  <c:v>777.36</c:v>
                </c:pt>
                <c:pt idx="6">
                  <c:v>777.92</c:v>
                </c:pt>
                <c:pt idx="7">
                  <c:v>808.76</c:v>
                </c:pt>
                <c:pt idx="8">
                  <c:v>815.49</c:v>
                </c:pt>
                <c:pt idx="9">
                  <c:v>791.32</c:v>
                </c:pt>
              </c:numCache>
            </c:numRef>
          </c:val>
          <c:smooth val="0"/>
          <c:extLst>
            <c:ext xmlns:c16="http://schemas.microsoft.com/office/drawing/2014/chart" uri="{C3380CC4-5D6E-409C-BE32-E72D297353CC}">
              <c16:uniqueId val="{00000002-0C6B-4D15-96F5-7A1E8D400F1B}"/>
            </c:ext>
          </c:extLst>
        </c:ser>
        <c:dLbls>
          <c:showLegendKey val="0"/>
          <c:showVal val="0"/>
          <c:showCatName val="0"/>
          <c:showSerName val="0"/>
          <c:showPercent val="0"/>
          <c:showBubbleSize val="0"/>
        </c:dLbls>
        <c:marker val="1"/>
        <c:smooth val="0"/>
        <c:axId val="358062720"/>
        <c:axId val="358080896"/>
      </c:lineChart>
      <c:catAx>
        <c:axId val="358062720"/>
        <c:scaling>
          <c:orientation val="minMax"/>
        </c:scaling>
        <c:delete val="0"/>
        <c:axPos val="b"/>
        <c:numFmt formatCode="General" sourceLinked="1"/>
        <c:majorTickMark val="out"/>
        <c:minorTickMark val="none"/>
        <c:tickLblPos val="nextTo"/>
        <c:crossAx val="358080896"/>
        <c:crosses val="autoZero"/>
        <c:auto val="0"/>
        <c:lblAlgn val="ctr"/>
        <c:lblOffset val="100"/>
        <c:noMultiLvlLbl val="0"/>
      </c:catAx>
      <c:valAx>
        <c:axId val="358080896"/>
        <c:scaling>
          <c:orientation val="minMax"/>
        </c:scaling>
        <c:delete val="0"/>
        <c:axPos val="l"/>
        <c:majorGridlines/>
        <c:title>
          <c:tx>
            <c:rich>
              <a:bodyPr rot="-5400000" vert="horz"/>
              <a:lstStyle/>
              <a:p>
                <a:pPr>
                  <a:defRPr/>
                </a:pPr>
                <a:r>
                  <a:rPr lang="pl-PL" b="0"/>
                  <a:t>[kWh]</a:t>
                </a:r>
                <a:endParaRPr lang="en-GB" b="0"/>
              </a:p>
            </c:rich>
          </c:tx>
          <c:overlay val="0"/>
        </c:title>
        <c:numFmt formatCode="#\ ##0.0" sourceLinked="1"/>
        <c:majorTickMark val="out"/>
        <c:minorTickMark val="none"/>
        <c:tickLblPos val="nextTo"/>
        <c:crossAx val="358062720"/>
        <c:crosses val="autoZero"/>
        <c:crossBetween val="between"/>
      </c:valAx>
    </c:plotArea>
    <c:legend>
      <c:legendPos val="b"/>
      <c:overlay val="0"/>
    </c:legend>
    <c:plotVisOnly val="1"/>
    <c:dispBlanksAs val="gap"/>
    <c:showDLblsOverMax val="0"/>
  </c:chart>
  <c:spPr>
    <a:ln w="12700">
      <a:solidFill>
        <a:sysClr val="windowText" lastClr="000000"/>
      </a:solidFill>
    </a:ln>
  </c:spPr>
  <c:txPr>
    <a:bodyPr/>
    <a:lstStyle/>
    <a:p>
      <a:pPr>
        <a:defRPr>
          <a:solidFill>
            <a:sysClr val="windowText" lastClr="000000"/>
          </a:solidFill>
        </a:defRPr>
      </a:pPr>
      <a:endParaRPr lang="pl-PL"/>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1680281971368805E-3"/>
          <c:y val="9.5789908791521536E-2"/>
          <c:w val="0.89484586201807459"/>
          <c:h val="0.8460131866046865"/>
        </c:manualLayout>
      </c:layout>
      <c:ofPieChart>
        <c:ofPieType val="bar"/>
        <c:varyColors val="1"/>
        <c:ser>
          <c:idx val="0"/>
          <c:order val="0"/>
          <c:dPt>
            <c:idx val="0"/>
            <c:bubble3D val="0"/>
            <c:spPr>
              <a:solidFill>
                <a:schemeClr val="accent6"/>
              </a:solidFill>
              <a:ln w="19050">
                <a:solidFill>
                  <a:schemeClr val="lt1"/>
                </a:solidFill>
              </a:ln>
              <a:effectLst/>
            </c:spPr>
            <c:extLst>
              <c:ext xmlns:c16="http://schemas.microsoft.com/office/drawing/2014/chart" uri="{C3380CC4-5D6E-409C-BE32-E72D297353CC}">
                <c16:uniqueId val="{00000001-04E1-4B62-BC06-82E6A7ED2D16}"/>
              </c:ext>
            </c:extLst>
          </c:dPt>
          <c:dPt>
            <c:idx val="1"/>
            <c:bubble3D val="0"/>
            <c:spPr>
              <a:solidFill>
                <a:schemeClr val="accent5"/>
              </a:solidFill>
              <a:ln w="19050">
                <a:solidFill>
                  <a:schemeClr val="lt1"/>
                </a:solidFill>
              </a:ln>
              <a:effectLst/>
            </c:spPr>
            <c:extLst>
              <c:ext xmlns:c16="http://schemas.microsoft.com/office/drawing/2014/chart" uri="{C3380CC4-5D6E-409C-BE32-E72D297353CC}">
                <c16:uniqueId val="{00000003-04E1-4B62-BC06-82E6A7ED2D16}"/>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04E1-4B62-BC06-82E6A7ED2D16}"/>
              </c:ext>
            </c:extLst>
          </c:dPt>
          <c:dPt>
            <c:idx val="3"/>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07-04E1-4B62-BC06-82E6A7ED2D16}"/>
              </c:ext>
            </c:extLst>
          </c:dPt>
          <c:dPt>
            <c:idx val="4"/>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09-04E1-4B62-BC06-82E6A7ED2D16}"/>
              </c:ext>
            </c:extLst>
          </c:dPt>
          <c:dPt>
            <c:idx val="5"/>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0B-04E1-4B62-BC06-82E6A7ED2D16}"/>
              </c:ext>
            </c:extLst>
          </c:dPt>
          <c:dPt>
            <c:idx val="6"/>
            <c:bubble3D val="0"/>
            <c:spPr>
              <a:solidFill>
                <a:schemeClr val="accent6">
                  <a:lumMod val="80000"/>
                  <a:lumOff val="20000"/>
                </a:schemeClr>
              </a:solidFill>
              <a:ln w="19050">
                <a:solidFill>
                  <a:schemeClr val="lt1"/>
                </a:solidFill>
              </a:ln>
              <a:effectLst/>
            </c:spPr>
            <c:extLst>
              <c:ext xmlns:c16="http://schemas.microsoft.com/office/drawing/2014/chart" uri="{C3380CC4-5D6E-409C-BE32-E72D297353CC}">
                <c16:uniqueId val="{0000000D-04E1-4B62-BC06-82E6A7ED2D16}"/>
              </c:ext>
            </c:extLst>
          </c:dPt>
          <c:dLbls>
            <c:numFmt formatCode="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bestFit"/>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(grunty!$J$2:$J$4,grunty!$L$5:$L$7)</c:f>
              <c:strCache>
                <c:ptCount val="6"/>
                <c:pt idx="0">
                  <c:v>Użytki rolne</c:v>
                </c:pt>
                <c:pt idx="1">
                  <c:v>Grunty zabudowane i zurbanizowane</c:v>
                </c:pt>
                <c:pt idx="2">
                  <c:v>Inne</c:v>
                </c:pt>
                <c:pt idx="3">
                  <c:v>Grunty leśne</c:v>
                </c:pt>
                <c:pt idx="4">
                  <c:v>Grunty pod wodami</c:v>
                </c:pt>
                <c:pt idx="5">
                  <c:v>Nieużytki</c:v>
                </c:pt>
              </c:strCache>
            </c:strRef>
          </c:cat>
          <c:val>
            <c:numRef>
              <c:f>(grunty!$K$2:$K$4,grunty!$M$5:$M$7)</c:f>
              <c:numCache>
                <c:formatCode>General</c:formatCode>
                <c:ptCount val="6"/>
                <c:pt idx="0">
                  <c:v>921</c:v>
                </c:pt>
                <c:pt idx="1">
                  <c:v>142</c:v>
                </c:pt>
                <c:pt idx="3">
                  <c:v>1</c:v>
                </c:pt>
                <c:pt idx="4">
                  <c:v>2</c:v>
                </c:pt>
                <c:pt idx="5">
                  <c:v>3</c:v>
                </c:pt>
              </c:numCache>
            </c:numRef>
          </c:val>
          <c:extLst>
            <c:ext xmlns:c16="http://schemas.microsoft.com/office/drawing/2014/chart" uri="{C3380CC4-5D6E-409C-BE32-E72D297353CC}">
              <c16:uniqueId val="{0000000E-04E1-4B62-BC06-82E6A7ED2D16}"/>
            </c:ext>
          </c:extLst>
        </c:ser>
        <c:dLbls>
          <c:showLegendKey val="0"/>
          <c:showVal val="0"/>
          <c:showCatName val="0"/>
          <c:showSerName val="0"/>
          <c:showPercent val="0"/>
          <c:showBubbleSize val="0"/>
          <c:showLeaderLines val="0"/>
        </c:dLbls>
        <c:gapWidth val="150"/>
        <c:splitType val="val"/>
        <c:splitPos val="6"/>
        <c:secondPieSize val="75"/>
        <c:serLines>
          <c:spPr>
            <a:ln w="9525" cap="flat" cmpd="sng" algn="ctr">
              <a:solidFill>
                <a:schemeClr val="tx1">
                  <a:lumMod val="35000"/>
                  <a:lumOff val="65000"/>
                </a:schemeClr>
              </a:solidFill>
              <a:round/>
            </a:ln>
            <a:effectLst/>
          </c:spPr>
        </c:serLines>
      </c:of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barChart>
        <c:barDir val="col"/>
        <c:grouping val="percentStacked"/>
        <c:varyColors val="0"/>
        <c:ser>
          <c:idx val="0"/>
          <c:order val="0"/>
          <c:tx>
            <c:strRef>
              <c:f>'ludność wg grup ekonomicznych'!$A$9</c:f>
              <c:strCache>
                <c:ptCount val="1"/>
                <c:pt idx="0">
                  <c:v>w wieku przedprodukcyjnym [%]</c:v>
                </c:pt>
              </c:strCache>
            </c:strRef>
          </c:tx>
          <c:spPr>
            <a:solidFill>
              <a:schemeClr val="accent1">
                <a:shade val="65000"/>
              </a:schemeClr>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'ludność wg grup ekonomicznych'!$B$8:$K$8</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'ludność wg grup ekonomicznych'!$B$9:$K$9</c:f>
              <c:numCache>
                <c:formatCode>0.000</c:formatCode>
                <c:ptCount val="10"/>
                <c:pt idx="0">
                  <c:v>0.18735565819861433</c:v>
                </c:pt>
                <c:pt idx="1">
                  <c:v>0.18</c:v>
                </c:pt>
                <c:pt idx="2">
                  <c:v>0.18091913903432227</c:v>
                </c:pt>
                <c:pt idx="3">
                  <c:v>0.17792131532589547</c:v>
                </c:pt>
                <c:pt idx="4">
                  <c:v>0.17908689248895435</c:v>
                </c:pt>
                <c:pt idx="5">
                  <c:v>0.17799999999999999</c:v>
                </c:pt>
                <c:pt idx="6">
                  <c:v>0.17399999999999999</c:v>
                </c:pt>
                <c:pt idx="7">
                  <c:v>0.18198757763975154</c:v>
                </c:pt>
                <c:pt idx="8">
                  <c:v>0.176821608040201</c:v>
                </c:pt>
                <c:pt idx="9">
                  <c:v>0.17699999999999999</c:v>
                </c:pt>
              </c:numCache>
            </c:numRef>
          </c:val>
          <c:extLst>
            <c:ext xmlns:c16="http://schemas.microsoft.com/office/drawing/2014/chart" uri="{C3380CC4-5D6E-409C-BE32-E72D297353CC}">
              <c16:uniqueId val="{00000000-C10E-4E60-9EFF-2407BFEEDE1F}"/>
            </c:ext>
          </c:extLst>
        </c:ser>
        <c:ser>
          <c:idx val="1"/>
          <c:order val="1"/>
          <c:tx>
            <c:strRef>
              <c:f>'ludność wg grup ekonomicznych'!$A$10</c:f>
              <c:strCache>
                <c:ptCount val="1"/>
                <c:pt idx="0">
                  <c:v>w wieku produkcyjnym [%]</c:v>
                </c:pt>
              </c:strCache>
            </c:strRef>
          </c:tx>
          <c:spPr>
            <a:solidFill>
              <a:schemeClr val="accent1"/>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'ludność wg grup ekonomicznych'!$B$8:$K$8</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'ludność wg grup ekonomicznych'!$B$10:$K$10</c:f>
              <c:numCache>
                <c:formatCode>0.000</c:formatCode>
                <c:ptCount val="10"/>
                <c:pt idx="0">
                  <c:v>0.64838337182448036</c:v>
                </c:pt>
                <c:pt idx="1">
                  <c:v>0.64304310095458495</c:v>
                </c:pt>
                <c:pt idx="2">
                  <c:v>0.63845258871436883</c:v>
                </c:pt>
                <c:pt idx="3">
                  <c:v>0.63211978860833817</c:v>
                </c:pt>
                <c:pt idx="4">
                  <c:v>0.62061855670103094</c:v>
                </c:pt>
                <c:pt idx="5">
                  <c:v>0.60937033721277234</c:v>
                </c:pt>
                <c:pt idx="6">
                  <c:v>0.60368802902055618</c:v>
                </c:pt>
                <c:pt idx="7">
                  <c:v>0.57950310559006213</c:v>
                </c:pt>
                <c:pt idx="8">
                  <c:v>0.57317839195979903</c:v>
                </c:pt>
                <c:pt idx="9">
                  <c:v>0.56690920594748495</c:v>
                </c:pt>
              </c:numCache>
            </c:numRef>
          </c:val>
          <c:extLst>
            <c:ext xmlns:c16="http://schemas.microsoft.com/office/drawing/2014/chart" uri="{C3380CC4-5D6E-409C-BE32-E72D297353CC}">
              <c16:uniqueId val="{00000001-C10E-4E60-9EFF-2407BFEEDE1F}"/>
            </c:ext>
          </c:extLst>
        </c:ser>
        <c:ser>
          <c:idx val="2"/>
          <c:order val="2"/>
          <c:tx>
            <c:strRef>
              <c:f>'ludność wg grup ekonomicznych'!$A$11</c:f>
              <c:strCache>
                <c:ptCount val="1"/>
                <c:pt idx="0">
                  <c:v>w wieku poprodukcyjnym [%]</c:v>
                </c:pt>
              </c:strCache>
            </c:strRef>
          </c:tx>
          <c:spPr>
            <a:solidFill>
              <a:schemeClr val="accent1">
                <a:tint val="65000"/>
              </a:schemeClr>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'ludność wg grup ekonomicznych'!$B$8:$K$8</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'ludność wg grup ekonomicznych'!$B$11:$K$11</c:f>
              <c:numCache>
                <c:formatCode>0.000</c:formatCode>
                <c:ptCount val="10"/>
                <c:pt idx="0">
                  <c:v>0.16426096997690531</c:v>
                </c:pt>
                <c:pt idx="1">
                  <c:v>0.17124674573329476</c:v>
                </c:pt>
                <c:pt idx="2">
                  <c:v>0.1806282722513089</c:v>
                </c:pt>
                <c:pt idx="3">
                  <c:v>0.1899588960657663</c:v>
                </c:pt>
                <c:pt idx="4">
                  <c:v>0.20029455081001474</c:v>
                </c:pt>
                <c:pt idx="5">
                  <c:v>0.21217547000895254</c:v>
                </c:pt>
                <c:pt idx="6">
                  <c:v>0.22249093107617895</c:v>
                </c:pt>
                <c:pt idx="7">
                  <c:v>0.23850931677018633</c:v>
                </c:pt>
                <c:pt idx="8">
                  <c:v>0.25</c:v>
                </c:pt>
                <c:pt idx="9">
                  <c:v>0.25688073394495414</c:v>
                </c:pt>
              </c:numCache>
            </c:numRef>
          </c:val>
          <c:extLst>
            <c:ext xmlns:c16="http://schemas.microsoft.com/office/drawing/2014/chart" uri="{C3380CC4-5D6E-409C-BE32-E72D297353CC}">
              <c16:uniqueId val="{00000002-C10E-4E60-9EFF-2407BFEEDE1F}"/>
            </c:ext>
          </c:extLst>
        </c:ser>
        <c:dLbls>
          <c:showLegendKey val="0"/>
          <c:showVal val="0"/>
          <c:showCatName val="0"/>
          <c:showSerName val="0"/>
          <c:showPercent val="0"/>
          <c:showBubbleSize val="0"/>
        </c:dLbls>
        <c:gapWidth val="0"/>
        <c:overlap val="100"/>
        <c:axId val="162308480"/>
        <c:axId val="162310016"/>
      </c:barChart>
      <c:catAx>
        <c:axId val="162308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62310016"/>
        <c:crosses val="autoZero"/>
        <c:auto val="1"/>
        <c:lblAlgn val="ctr"/>
        <c:lblOffset val="100"/>
        <c:noMultiLvlLbl val="0"/>
      </c:catAx>
      <c:valAx>
        <c:axId val="1623100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pl-PL"/>
                  <a:t>[%]</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62308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stacked"/>
        <c:varyColors val="0"/>
        <c:ser>
          <c:idx val="1"/>
          <c:order val="1"/>
          <c:tx>
            <c:strRef>
              <c:f>'ludność wg grup ekon. 2022-30'!$D$1</c:f>
              <c:strCache>
                <c:ptCount val="1"/>
                <c:pt idx="0">
                  <c:v>w wieku przedprodukcyjnym [%]</c:v>
                </c:pt>
              </c:strCache>
            </c:strRef>
          </c:tx>
          <c:spPr>
            <a:solidFill>
              <a:schemeClr val="accent3">
                <a:shade val="86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'ludność wg grup ekon. 2022-30'!$A$2:$A$13</c:f>
              <c:numCache>
                <c:formatCode>General</c:formatCode>
                <c:ptCount val="11"/>
                <c:pt idx="0">
                  <c:v>2023</c:v>
                </c:pt>
                <c:pt idx="1">
                  <c:v>2024</c:v>
                </c:pt>
                <c:pt idx="2">
                  <c:v>2025</c:v>
                </c:pt>
                <c:pt idx="3">
                  <c:v>2026</c:v>
                </c:pt>
                <c:pt idx="4">
                  <c:v>2027</c:v>
                </c:pt>
                <c:pt idx="5">
                  <c:v>2028</c:v>
                </c:pt>
                <c:pt idx="6">
                  <c:v>2029</c:v>
                </c:pt>
                <c:pt idx="7">
                  <c:v>2030</c:v>
                </c:pt>
                <c:pt idx="8">
                  <c:v>2031</c:v>
                </c:pt>
                <c:pt idx="9">
                  <c:v>2032</c:v>
                </c:pt>
                <c:pt idx="10">
                  <c:v>2033</c:v>
                </c:pt>
              </c:numCache>
              <c:extLst/>
            </c:numRef>
          </c:cat>
          <c:val>
            <c:numRef>
              <c:f>'ludność wg grup ekon. 2022-30'!$B$23:$B$34</c:f>
              <c:numCache>
                <c:formatCode>0.0%</c:formatCode>
                <c:ptCount val="11"/>
                <c:pt idx="0">
                  <c:v>0.17439222042139385</c:v>
                </c:pt>
                <c:pt idx="1">
                  <c:v>0.16992058239576441</c:v>
                </c:pt>
                <c:pt idx="2">
                  <c:v>0.16470191983832941</c:v>
                </c:pt>
                <c:pt idx="3">
                  <c:v>0.16008922443376802</c:v>
                </c:pt>
                <c:pt idx="4">
                  <c:v>0.15539718407787242</c:v>
                </c:pt>
                <c:pt idx="5">
                  <c:v>0.1514190022915565</c:v>
                </c:pt>
                <c:pt idx="6">
                  <c:v>0.14691689008042896</c:v>
                </c:pt>
                <c:pt idx="7">
                  <c:v>0.14135556361000362</c:v>
                </c:pt>
                <c:pt idx="8">
                  <c:v>0.13607188703465983</c:v>
                </c:pt>
                <c:pt idx="9">
                  <c:v>0.13132440476190477</c:v>
                </c:pt>
                <c:pt idx="10">
                  <c:v>0.12719050310910118</c:v>
                </c:pt>
              </c:numCache>
              <c:extLst/>
            </c:numRef>
          </c:val>
          <c:extLst>
            <c:ext xmlns:c16="http://schemas.microsoft.com/office/drawing/2014/chart" uri="{C3380CC4-5D6E-409C-BE32-E72D297353CC}">
              <c16:uniqueId val="{00000000-DAD0-4909-ADAD-EB837ACE1A14}"/>
            </c:ext>
          </c:extLst>
        </c:ser>
        <c:ser>
          <c:idx val="2"/>
          <c:order val="2"/>
          <c:tx>
            <c:strRef>
              <c:f>'ludność wg grup ekon. 2022-30'!$E$1</c:f>
              <c:strCache>
                <c:ptCount val="1"/>
                <c:pt idx="0">
                  <c:v>w wieku produkcyjnym [%]</c:v>
                </c:pt>
              </c:strCache>
            </c:strRef>
          </c:tx>
          <c:spPr>
            <a:solidFill>
              <a:schemeClr val="accent3">
                <a:tint val="86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'ludność wg grup ekon. 2022-30'!$A$2:$A$13</c:f>
              <c:numCache>
                <c:formatCode>General</c:formatCode>
                <c:ptCount val="11"/>
                <c:pt idx="0">
                  <c:v>2023</c:v>
                </c:pt>
                <c:pt idx="1">
                  <c:v>2024</c:v>
                </c:pt>
                <c:pt idx="2">
                  <c:v>2025</c:v>
                </c:pt>
                <c:pt idx="3">
                  <c:v>2026</c:v>
                </c:pt>
                <c:pt idx="4">
                  <c:v>2027</c:v>
                </c:pt>
                <c:pt idx="5">
                  <c:v>2028</c:v>
                </c:pt>
                <c:pt idx="6">
                  <c:v>2029</c:v>
                </c:pt>
                <c:pt idx="7">
                  <c:v>2030</c:v>
                </c:pt>
                <c:pt idx="8">
                  <c:v>2031</c:v>
                </c:pt>
                <c:pt idx="9">
                  <c:v>2032</c:v>
                </c:pt>
                <c:pt idx="10">
                  <c:v>2033</c:v>
                </c:pt>
              </c:numCache>
              <c:extLst/>
            </c:numRef>
          </c:cat>
          <c:val>
            <c:numRef>
              <c:f>'ludność wg grup ekon. 2022-30'!$C$23:$C$34</c:f>
              <c:numCache>
                <c:formatCode>0.0%</c:formatCode>
                <c:ptCount val="11"/>
                <c:pt idx="0">
                  <c:v>0.56888168557536467</c:v>
                </c:pt>
                <c:pt idx="1">
                  <c:v>0.57180675049635998</c:v>
                </c:pt>
                <c:pt idx="2">
                  <c:v>0.57409902324014817</c:v>
                </c:pt>
                <c:pt idx="3">
                  <c:v>0.57566918325326011</c:v>
                </c:pt>
                <c:pt idx="4">
                  <c:v>0.57761168086215886</c:v>
                </c:pt>
                <c:pt idx="5">
                  <c:v>0.57976379340736828</c:v>
                </c:pt>
                <c:pt idx="6">
                  <c:v>0.58069705093833779</c:v>
                </c:pt>
                <c:pt idx="7">
                  <c:v>0.58354476259514321</c:v>
                </c:pt>
                <c:pt idx="8">
                  <c:v>0.58518246836603705</c:v>
                </c:pt>
                <c:pt idx="9">
                  <c:v>0.58612351190476186</c:v>
                </c:pt>
                <c:pt idx="10">
                  <c:v>0.58696061805162991</c:v>
                </c:pt>
              </c:numCache>
              <c:extLst/>
            </c:numRef>
          </c:val>
          <c:extLst>
            <c:ext xmlns:c16="http://schemas.microsoft.com/office/drawing/2014/chart" uri="{C3380CC4-5D6E-409C-BE32-E72D297353CC}">
              <c16:uniqueId val="{00000001-DAD0-4909-ADAD-EB837ACE1A14}"/>
            </c:ext>
          </c:extLst>
        </c:ser>
        <c:ser>
          <c:idx val="3"/>
          <c:order val="3"/>
          <c:tx>
            <c:strRef>
              <c:f>'ludność wg grup ekon. 2022-30'!$F$1</c:f>
              <c:strCache>
                <c:ptCount val="1"/>
                <c:pt idx="0">
                  <c:v>w wieku poprodukcyjnym [%]</c:v>
                </c:pt>
              </c:strCache>
            </c:strRef>
          </c:tx>
          <c:spPr>
            <a:solidFill>
              <a:schemeClr val="accent3">
                <a:tint val="58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'ludność wg grup ekon. 2022-30'!$A$2:$A$13</c:f>
              <c:numCache>
                <c:formatCode>General</c:formatCode>
                <c:ptCount val="11"/>
                <c:pt idx="0">
                  <c:v>2023</c:v>
                </c:pt>
                <c:pt idx="1">
                  <c:v>2024</c:v>
                </c:pt>
                <c:pt idx="2">
                  <c:v>2025</c:v>
                </c:pt>
                <c:pt idx="3">
                  <c:v>2026</c:v>
                </c:pt>
                <c:pt idx="4">
                  <c:v>2027</c:v>
                </c:pt>
                <c:pt idx="5">
                  <c:v>2028</c:v>
                </c:pt>
                <c:pt idx="6">
                  <c:v>2029</c:v>
                </c:pt>
                <c:pt idx="7">
                  <c:v>2030</c:v>
                </c:pt>
                <c:pt idx="8">
                  <c:v>2031</c:v>
                </c:pt>
                <c:pt idx="9">
                  <c:v>2032</c:v>
                </c:pt>
                <c:pt idx="10">
                  <c:v>2033</c:v>
                </c:pt>
              </c:numCache>
              <c:extLst/>
            </c:numRef>
          </c:cat>
          <c:val>
            <c:numRef>
              <c:f>'ludność wg grup ekon. 2022-30'!$D$23:$D$34</c:f>
              <c:numCache>
                <c:formatCode>0.0%</c:formatCode>
                <c:ptCount val="11"/>
                <c:pt idx="0">
                  <c:v>0.25672609400324148</c:v>
                </c:pt>
                <c:pt idx="1">
                  <c:v>0.25827266710787555</c:v>
                </c:pt>
                <c:pt idx="2">
                  <c:v>0.2611990569215224</c:v>
                </c:pt>
                <c:pt idx="3">
                  <c:v>0.26424159231297184</c:v>
                </c:pt>
                <c:pt idx="4">
                  <c:v>0.26699113505996869</c:v>
                </c:pt>
                <c:pt idx="5">
                  <c:v>0.26881720430107525</c:v>
                </c:pt>
                <c:pt idx="6">
                  <c:v>0.27238605898123325</c:v>
                </c:pt>
                <c:pt idx="7">
                  <c:v>0.27509967379485323</c:v>
                </c:pt>
                <c:pt idx="8">
                  <c:v>0.27874564459930312</c:v>
                </c:pt>
                <c:pt idx="9">
                  <c:v>0.28255208333333331</c:v>
                </c:pt>
                <c:pt idx="10">
                  <c:v>0.28584887883926891</c:v>
                </c:pt>
              </c:numCache>
              <c:extLst/>
            </c:numRef>
          </c:val>
          <c:extLst>
            <c:ext xmlns:c16="http://schemas.microsoft.com/office/drawing/2014/chart" uri="{C3380CC4-5D6E-409C-BE32-E72D297353CC}">
              <c16:uniqueId val="{00000002-DAD0-4909-ADAD-EB837ACE1A14}"/>
            </c:ext>
          </c:extLst>
        </c:ser>
        <c:dLbls>
          <c:dLblPos val="ctr"/>
          <c:showLegendKey val="0"/>
          <c:showVal val="1"/>
          <c:showCatName val="0"/>
          <c:showSerName val="0"/>
          <c:showPercent val="0"/>
          <c:showBubbleSize val="0"/>
        </c:dLbls>
        <c:gapWidth val="0"/>
        <c:overlap val="100"/>
        <c:axId val="1640509263"/>
        <c:axId val="1640527023"/>
        <c:extLst>
          <c:ext xmlns:c15="http://schemas.microsoft.com/office/drawing/2012/chart" uri="{02D57815-91ED-43cb-92C2-25804820EDAC}">
            <c15:filteredBarSeries>
              <c15:ser>
                <c:idx val="0"/>
                <c:order val="0"/>
                <c:spPr>
                  <a:solidFill>
                    <a:schemeClr val="accent3">
                      <a:shade val="58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'ludność wg grup ekon. 2022-30'!$A$2:$A$13</c15:sqref>
                        </c15:formulaRef>
                      </c:ext>
                    </c:extLst>
                    <c:numCache>
                      <c:formatCode>General</c:formatCode>
                      <c:ptCount val="11"/>
                      <c:pt idx="0">
                        <c:v>2023</c:v>
                      </c:pt>
                      <c:pt idx="1">
                        <c:v>2024</c:v>
                      </c:pt>
                      <c:pt idx="2">
                        <c:v>2025</c:v>
                      </c:pt>
                      <c:pt idx="3">
                        <c:v>2026</c:v>
                      </c:pt>
                      <c:pt idx="4">
                        <c:v>2027</c:v>
                      </c:pt>
                      <c:pt idx="5">
                        <c:v>2028</c:v>
                      </c:pt>
                      <c:pt idx="6">
                        <c:v>2029</c:v>
                      </c:pt>
                      <c:pt idx="7">
                        <c:v>2030</c:v>
                      </c:pt>
                      <c:pt idx="8">
                        <c:v>2031</c:v>
                      </c:pt>
                      <c:pt idx="9">
                        <c:v>2032</c:v>
                      </c:pt>
                      <c:pt idx="10">
                        <c:v>2033</c:v>
                      </c:pt>
                    </c:numCache>
                  </c:numRef>
                </c:cat>
                <c:val>
                  <c:numRef>
                    <c:extLst>
                      <c:ext uri="{02D57815-91ED-43cb-92C2-25804820EDAC}">
                        <c15:formulaRef>
                          <c15:sqref>'ludność wg grup ekon. 2022-30'!$C$2:$C$13</c15:sqref>
                        </c15:formulaRef>
                      </c:ext>
                    </c:extLst>
                    <c:numCache>
                      <c:formatCode>General</c:formatCode>
                      <c:ptCount val="11"/>
                    </c:numCache>
                  </c:numRef>
                </c:val>
                <c:extLst>
                  <c:ext xmlns:c16="http://schemas.microsoft.com/office/drawing/2014/chart" uri="{C3380CC4-5D6E-409C-BE32-E72D297353CC}">
                    <c16:uniqueId val="{00000003-DAD0-4909-ADAD-EB837ACE1A14}"/>
                  </c:ext>
                </c:extLst>
              </c15:ser>
            </c15:filteredBarSeries>
          </c:ext>
        </c:extLst>
      </c:barChart>
      <c:catAx>
        <c:axId val="164050926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640527023"/>
        <c:crosses val="autoZero"/>
        <c:auto val="1"/>
        <c:lblAlgn val="ctr"/>
        <c:lblOffset val="100"/>
        <c:noMultiLvlLbl val="0"/>
      </c:catAx>
      <c:valAx>
        <c:axId val="1640527023"/>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64050926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solidFill>
      <a:round/>
    </a:ln>
    <a:effectLst/>
  </c:spPr>
  <c:txPr>
    <a:bodyPr/>
    <a:lstStyle/>
    <a:p>
      <a:pPr>
        <a:defRPr>
          <a:solidFill>
            <a:sysClr val="windowText" lastClr="000000"/>
          </a:solidFill>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1"/>
          <c:order val="0"/>
          <c:tx>
            <c:strRef>
              <c:f>'urodzenia-zgony'!$A$2</c:f>
              <c:strCache>
                <c:ptCount val="1"/>
                <c:pt idx="0">
                  <c:v>urodzenia</c:v>
                </c:pt>
              </c:strCache>
            </c:strRef>
          </c:tx>
          <c:spPr>
            <a:solidFill>
              <a:srgbClr val="9BBB59">
                <a:lumMod val="60000"/>
                <a:lumOff val="40000"/>
              </a:srgbClr>
            </a:solidFill>
            <a:ln>
              <a:solidFill>
                <a:srgbClr val="9BBB59">
                  <a:lumMod val="40000"/>
                  <a:lumOff val="60000"/>
                </a:srgbClr>
              </a:solid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'urodzenia-zgony'!$B$1:$K$1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'urodzenia-zgony'!$B$2:$K$2</c:f>
              <c:numCache>
                <c:formatCode>General</c:formatCode>
                <c:ptCount val="10"/>
                <c:pt idx="0">
                  <c:v>36</c:v>
                </c:pt>
                <c:pt idx="1">
                  <c:v>33</c:v>
                </c:pt>
                <c:pt idx="2">
                  <c:v>31</c:v>
                </c:pt>
                <c:pt idx="3">
                  <c:v>39</c:v>
                </c:pt>
                <c:pt idx="4">
                  <c:v>28</c:v>
                </c:pt>
                <c:pt idx="5">
                  <c:v>37</c:v>
                </c:pt>
                <c:pt idx="6">
                  <c:v>24</c:v>
                </c:pt>
                <c:pt idx="7">
                  <c:v>21</c:v>
                </c:pt>
                <c:pt idx="8">
                  <c:v>19</c:v>
                </c:pt>
                <c:pt idx="9">
                  <c:v>26</c:v>
                </c:pt>
              </c:numCache>
            </c:numRef>
          </c:val>
          <c:extLst>
            <c:ext xmlns:c16="http://schemas.microsoft.com/office/drawing/2014/chart" uri="{C3380CC4-5D6E-409C-BE32-E72D297353CC}">
              <c16:uniqueId val="{00000000-9789-4351-9B07-1C3831A18EFB}"/>
            </c:ext>
          </c:extLst>
        </c:ser>
        <c:ser>
          <c:idx val="0"/>
          <c:order val="1"/>
          <c:tx>
            <c:strRef>
              <c:f>'urodzenia-zgony'!$A$4</c:f>
              <c:strCache>
                <c:ptCount val="1"/>
                <c:pt idx="0">
                  <c:v>zgony</c:v>
                </c:pt>
              </c:strCache>
            </c:strRef>
          </c:tx>
          <c:spPr>
            <a:solidFill>
              <a:srgbClr val="9BBB59">
                <a:lumMod val="75000"/>
              </a:srgbClr>
            </a:solidFill>
            <a:ln>
              <a:solidFill>
                <a:srgbClr val="9BBB59">
                  <a:lumMod val="75000"/>
                </a:srgbClr>
              </a:solidFill>
            </a:ln>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'urodzenia-zgony'!$B$1:$K$1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'urodzenia-zgony'!$B$4:$K$4</c:f>
              <c:numCache>
                <c:formatCode>General</c:formatCode>
                <c:ptCount val="10"/>
                <c:pt idx="0">
                  <c:v>-30</c:v>
                </c:pt>
                <c:pt idx="1">
                  <c:v>-27</c:v>
                </c:pt>
                <c:pt idx="2">
                  <c:v>-30</c:v>
                </c:pt>
                <c:pt idx="3">
                  <c:v>-34</c:v>
                </c:pt>
                <c:pt idx="4">
                  <c:v>-28</c:v>
                </c:pt>
                <c:pt idx="5">
                  <c:v>-33</c:v>
                </c:pt>
                <c:pt idx="6">
                  <c:v>-37</c:v>
                </c:pt>
                <c:pt idx="7">
                  <c:v>-31</c:v>
                </c:pt>
                <c:pt idx="8">
                  <c:v>-33</c:v>
                </c:pt>
                <c:pt idx="9">
                  <c:v>-30</c:v>
                </c:pt>
              </c:numCache>
            </c:numRef>
          </c:val>
          <c:extLst>
            <c:ext xmlns:c16="http://schemas.microsoft.com/office/drawing/2014/chart" uri="{C3380CC4-5D6E-409C-BE32-E72D297353CC}">
              <c16:uniqueId val="{00000001-9789-4351-9B07-1C3831A18EFB}"/>
            </c:ext>
          </c:extLst>
        </c:ser>
        <c:ser>
          <c:idx val="2"/>
          <c:order val="2"/>
          <c:tx>
            <c:strRef>
              <c:f>'urodzenia-zgony'!$A$5</c:f>
              <c:strCache>
                <c:ptCount val="1"/>
                <c:pt idx="0">
                  <c:v>saldo migracji</c:v>
                </c:pt>
              </c:strCache>
            </c:strRef>
          </c:tx>
          <c:spPr>
            <a:pattFill prst="wdUpDiag">
              <a:fgClr>
                <a:srgbClr val="9BBB59">
                  <a:lumMod val="50000"/>
                </a:srgbClr>
              </a:fgClr>
              <a:bgClr>
                <a:sysClr val="window" lastClr="FFFFFF"/>
              </a:bgClr>
            </a:pattFill>
            <a:ln>
              <a:solidFill>
                <a:srgbClr val="9BBB59">
                  <a:lumMod val="75000"/>
                </a:srgbClr>
              </a:solidFill>
            </a:ln>
          </c:spPr>
          <c:invertIfNegative val="0"/>
          <c:dLbls>
            <c:dLbl>
              <c:idx val="2"/>
              <c:layout>
                <c:manualLayout>
                  <c:x val="-1.6255785434035975E-7"/>
                  <c:y val="0.3779963943651021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789-4351-9B07-1C3831A18EFB}"/>
                </c:ext>
              </c:extLst>
            </c:dLbl>
            <c:spPr>
              <a:solidFill>
                <a:srgbClr val="9BBB59">
                  <a:lumMod val="20000"/>
                  <a:lumOff val="80000"/>
                  <a:alpha val="80000"/>
                </a:srgbClr>
              </a:solidFill>
            </c:sp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'urodzenia-zgony'!$B$1:$K$1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'urodzenia-zgony'!$B$5:$K$5</c:f>
              <c:numCache>
                <c:formatCode>General</c:formatCode>
                <c:ptCount val="10"/>
                <c:pt idx="0">
                  <c:v>-15</c:v>
                </c:pt>
                <c:pt idx="1">
                  <c:v>-17</c:v>
                </c:pt>
                <c:pt idx="2">
                  <c:v>0</c:v>
                </c:pt>
                <c:pt idx="3">
                  <c:v>-34</c:v>
                </c:pt>
                <c:pt idx="4">
                  <c:v>-22</c:v>
                </c:pt>
                <c:pt idx="5">
                  <c:v>-59</c:v>
                </c:pt>
                <c:pt idx="6">
                  <c:v>-39</c:v>
                </c:pt>
                <c:pt idx="7">
                  <c:v>2</c:v>
                </c:pt>
                <c:pt idx="8">
                  <c:v>-27</c:v>
                </c:pt>
                <c:pt idx="9">
                  <c:v>-14</c:v>
                </c:pt>
              </c:numCache>
            </c:numRef>
          </c:val>
          <c:extLst>
            <c:ext xmlns:c16="http://schemas.microsoft.com/office/drawing/2014/chart" uri="{C3380CC4-5D6E-409C-BE32-E72D297353CC}">
              <c16:uniqueId val="{00000003-9789-4351-9B07-1C3831A18EFB}"/>
            </c:ext>
          </c:extLst>
        </c:ser>
        <c:dLbls>
          <c:showLegendKey val="0"/>
          <c:showVal val="0"/>
          <c:showCatName val="0"/>
          <c:showSerName val="0"/>
          <c:showPercent val="0"/>
          <c:showBubbleSize val="0"/>
        </c:dLbls>
        <c:gapWidth val="150"/>
        <c:overlap val="100"/>
        <c:axId val="357275520"/>
        <c:axId val="357277056"/>
      </c:barChart>
      <c:catAx>
        <c:axId val="357275520"/>
        <c:scaling>
          <c:orientation val="minMax"/>
        </c:scaling>
        <c:delete val="0"/>
        <c:axPos val="b"/>
        <c:majorGridlines/>
        <c:numFmt formatCode="General" sourceLinked="1"/>
        <c:majorTickMark val="out"/>
        <c:minorTickMark val="none"/>
        <c:tickLblPos val="low"/>
        <c:crossAx val="357277056"/>
        <c:crossesAt val="0"/>
        <c:auto val="1"/>
        <c:lblAlgn val="ctr"/>
        <c:lblOffset val="100"/>
        <c:noMultiLvlLbl val="0"/>
      </c:catAx>
      <c:valAx>
        <c:axId val="357277056"/>
        <c:scaling>
          <c:orientation val="minMax"/>
        </c:scaling>
        <c:delete val="0"/>
        <c:axPos val="l"/>
        <c:majorGridlines/>
        <c:title>
          <c:tx>
            <c:rich>
              <a:bodyPr rot="-5400000" vert="horz"/>
              <a:lstStyle/>
              <a:p>
                <a:pPr>
                  <a:defRPr b="0"/>
                </a:pPr>
                <a:r>
                  <a:rPr lang="pl-PL" b="0"/>
                  <a:t>[osób]</a:t>
                </a:r>
              </a:p>
            </c:rich>
          </c:tx>
          <c:overlay val="0"/>
        </c:title>
        <c:numFmt formatCode="General" sourceLinked="1"/>
        <c:majorTickMark val="out"/>
        <c:minorTickMark val="none"/>
        <c:tickLblPos val="nextTo"/>
        <c:crossAx val="357275520"/>
        <c:crosses val="autoZero"/>
        <c:crossBetween val="between"/>
      </c:valAx>
    </c:plotArea>
    <c:legend>
      <c:legendPos val="b"/>
      <c:overlay val="0"/>
    </c:legend>
    <c:plotVisOnly val="1"/>
    <c:dispBlanksAs val="gap"/>
    <c:showDLblsOverMax val="0"/>
  </c:chart>
  <c:spPr>
    <a:ln w="12700">
      <a:solidFill>
        <a:sysClr val="windowText" lastClr="000000"/>
      </a:solidFill>
    </a:ln>
  </c:spPr>
  <c:txPr>
    <a:bodyPr/>
    <a:lstStyle/>
    <a:p>
      <a:pPr>
        <a:defRPr>
          <a:solidFill>
            <a:sysClr val="windowText" lastClr="000000"/>
          </a:solidFill>
          <a:latin typeface="+mn-lt"/>
        </a:defRPr>
      </a:pPr>
      <a:endParaRPr lang="pl-PL"/>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stacked"/>
        <c:varyColors val="0"/>
        <c:ser>
          <c:idx val="0"/>
          <c:order val="0"/>
          <c:tx>
            <c:strRef>
              <c:f>'bezroborni - pracujący'!$B$2</c:f>
              <c:strCache>
                <c:ptCount val="1"/>
                <c:pt idx="0">
                  <c:v>mężczyźni</c:v>
                </c:pt>
              </c:strCache>
            </c:strRef>
          </c:tx>
          <c:spPr>
            <a:solidFill>
              <a:schemeClr val="accent1">
                <a:shade val="65000"/>
              </a:schemeClr>
            </a:solidFill>
            <a:ln>
              <a:noFill/>
            </a:ln>
            <a:effectLst/>
          </c:spPr>
          <c:invertIfNegative val="0"/>
          <c:dLbls>
            <c:spPr>
              <a:solidFill>
                <a:schemeClr val="accent3">
                  <a:lumMod val="20000"/>
                  <a:lumOff val="80000"/>
                </a:schemeClr>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'bezroborni - pracujący'!$C$1:$K$1</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'bezroborni - pracujący'!$C$2:$K$2</c:f>
              <c:numCache>
                <c:formatCode>#,##0</c:formatCode>
                <c:ptCount val="9"/>
                <c:pt idx="0">
                  <c:v>314</c:v>
                </c:pt>
                <c:pt idx="1">
                  <c:v>285</c:v>
                </c:pt>
                <c:pt idx="2">
                  <c:v>286</c:v>
                </c:pt>
                <c:pt idx="3">
                  <c:v>279</c:v>
                </c:pt>
                <c:pt idx="4">
                  <c:v>258</c:v>
                </c:pt>
                <c:pt idx="5">
                  <c:v>264</c:v>
                </c:pt>
                <c:pt idx="6">
                  <c:v>239</c:v>
                </c:pt>
                <c:pt idx="7">
                  <c:v>233</c:v>
                </c:pt>
                <c:pt idx="8">
                  <c:v>252</c:v>
                </c:pt>
              </c:numCache>
            </c:numRef>
          </c:val>
          <c:extLst>
            <c:ext xmlns:c16="http://schemas.microsoft.com/office/drawing/2014/chart" uri="{C3380CC4-5D6E-409C-BE32-E72D297353CC}">
              <c16:uniqueId val="{00000000-9D5B-415A-8E1E-ECDF4C921334}"/>
            </c:ext>
          </c:extLst>
        </c:ser>
        <c:ser>
          <c:idx val="1"/>
          <c:order val="1"/>
          <c:tx>
            <c:strRef>
              <c:f>'bezroborni - pracujący'!$B$3</c:f>
              <c:strCache>
                <c:ptCount val="1"/>
                <c:pt idx="0">
                  <c:v>kobiety</c:v>
                </c:pt>
              </c:strCache>
            </c:strRef>
          </c:tx>
          <c:spPr>
            <a:solidFill>
              <a:schemeClr val="accent1"/>
            </a:solidFill>
            <a:ln>
              <a:noFill/>
            </a:ln>
            <a:effectLst/>
          </c:spPr>
          <c:invertIfNegative val="0"/>
          <c:dLbls>
            <c:spPr>
              <a:solidFill>
                <a:schemeClr val="accent3">
                  <a:lumMod val="20000"/>
                  <a:lumOff val="80000"/>
                </a:schemeClr>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'bezroborni - pracujący'!$C$1:$K$1</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'bezroborni - pracujący'!$C$3:$K$3</c:f>
              <c:numCache>
                <c:formatCode>#,##0</c:formatCode>
                <c:ptCount val="9"/>
                <c:pt idx="0">
                  <c:v>295</c:v>
                </c:pt>
                <c:pt idx="1">
                  <c:v>309</c:v>
                </c:pt>
                <c:pt idx="2">
                  <c:v>296</c:v>
                </c:pt>
                <c:pt idx="3">
                  <c:v>296</c:v>
                </c:pt>
                <c:pt idx="4">
                  <c:v>327</c:v>
                </c:pt>
                <c:pt idx="5">
                  <c:v>314</c:v>
                </c:pt>
                <c:pt idx="6">
                  <c:v>299</c:v>
                </c:pt>
                <c:pt idx="7">
                  <c:v>301</c:v>
                </c:pt>
                <c:pt idx="8">
                  <c:v>330</c:v>
                </c:pt>
              </c:numCache>
            </c:numRef>
          </c:val>
          <c:extLst>
            <c:ext xmlns:c16="http://schemas.microsoft.com/office/drawing/2014/chart" uri="{C3380CC4-5D6E-409C-BE32-E72D297353CC}">
              <c16:uniqueId val="{00000001-9D5B-415A-8E1E-ECDF4C921334}"/>
            </c:ext>
          </c:extLst>
        </c:ser>
        <c:dLbls>
          <c:dLblPos val="ctr"/>
          <c:showLegendKey val="0"/>
          <c:showVal val="1"/>
          <c:showCatName val="0"/>
          <c:showSerName val="0"/>
          <c:showPercent val="0"/>
          <c:showBubbleSize val="0"/>
        </c:dLbls>
        <c:gapWidth val="150"/>
        <c:overlap val="100"/>
        <c:axId val="1128340768"/>
        <c:axId val="1205394784"/>
      </c:barChart>
      <c:lineChart>
        <c:grouping val="standard"/>
        <c:varyColors val="0"/>
        <c:ser>
          <c:idx val="2"/>
          <c:order val="2"/>
          <c:tx>
            <c:strRef>
              <c:f>'bezroborni - pracujący'!$B$4</c:f>
              <c:strCache>
                <c:ptCount val="1"/>
                <c:pt idx="0">
                  <c:v>ogółem</c:v>
                </c:pt>
              </c:strCache>
            </c:strRef>
          </c:tx>
          <c:spPr>
            <a:ln w="22225" cap="rnd">
              <a:solidFill>
                <a:schemeClr val="accent1">
                  <a:tint val="65000"/>
                </a:schemeClr>
              </a:solidFill>
              <a:round/>
            </a:ln>
            <a:effectLst/>
          </c:spPr>
          <c:marker>
            <c:symbol val="none"/>
          </c:marker>
          <c:dLbls>
            <c:spPr>
              <a:solidFill>
                <a:schemeClr val="bg1"/>
              </a:solid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numRef>
              <c:f>'bezroborni - pracujący'!$C$1:$K$1</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'bezroborni - pracujący'!$C$4:$K$4</c:f>
              <c:numCache>
                <c:formatCode>#,##0</c:formatCode>
                <c:ptCount val="9"/>
                <c:pt idx="0">
                  <c:v>609</c:v>
                </c:pt>
                <c:pt idx="1">
                  <c:v>594</c:v>
                </c:pt>
                <c:pt idx="2">
                  <c:v>582</c:v>
                </c:pt>
                <c:pt idx="3">
                  <c:v>575</c:v>
                </c:pt>
                <c:pt idx="4">
                  <c:v>585</c:v>
                </c:pt>
                <c:pt idx="5">
                  <c:v>578</c:v>
                </c:pt>
                <c:pt idx="6">
                  <c:v>538</c:v>
                </c:pt>
                <c:pt idx="7">
                  <c:v>534</c:v>
                </c:pt>
                <c:pt idx="8">
                  <c:v>582</c:v>
                </c:pt>
              </c:numCache>
            </c:numRef>
          </c:val>
          <c:smooth val="0"/>
          <c:extLst>
            <c:ext xmlns:c16="http://schemas.microsoft.com/office/drawing/2014/chart" uri="{C3380CC4-5D6E-409C-BE32-E72D297353CC}">
              <c16:uniqueId val="{00000002-9D5B-415A-8E1E-ECDF4C921334}"/>
            </c:ext>
          </c:extLst>
        </c:ser>
        <c:dLbls>
          <c:dLblPos val="ctr"/>
          <c:showLegendKey val="0"/>
          <c:showVal val="1"/>
          <c:showCatName val="0"/>
          <c:showSerName val="0"/>
          <c:showPercent val="0"/>
          <c:showBubbleSize val="0"/>
        </c:dLbls>
        <c:marker val="1"/>
        <c:smooth val="0"/>
        <c:axId val="1128340768"/>
        <c:axId val="1205394784"/>
      </c:lineChart>
      <c:catAx>
        <c:axId val="112834076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ysClr val="windowText" lastClr="000000"/>
                </a:solidFill>
                <a:latin typeface="+mn-lt"/>
                <a:ea typeface="+mn-ea"/>
                <a:cs typeface="+mn-cs"/>
              </a:defRPr>
            </a:pPr>
            <a:endParaRPr lang="pl-PL"/>
          </a:p>
        </c:txPr>
        <c:crossAx val="1205394784"/>
        <c:crosses val="autoZero"/>
        <c:auto val="1"/>
        <c:lblAlgn val="ctr"/>
        <c:lblOffset val="100"/>
        <c:noMultiLvlLbl val="0"/>
      </c:catAx>
      <c:valAx>
        <c:axId val="1205394784"/>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r>
                  <a:rPr lang="pl-PL" b="0"/>
                  <a:t>[liczba osób]</a:t>
                </a:r>
              </a:p>
            </c:rich>
          </c:tx>
          <c:overlay val="0"/>
          <c:spPr>
            <a:noFill/>
            <a:ln>
              <a:noFill/>
            </a:ln>
            <a:effectLst/>
          </c:spPr>
          <c:txPr>
            <a:bodyPr rot="-54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11283407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showDLblsOverMax val="0"/>
  </c:chart>
  <c:spPr>
    <a:solidFill>
      <a:schemeClr val="lt1"/>
    </a:solidFill>
    <a:ln w="9525" cap="flat" cmpd="sng" algn="ctr">
      <a:solidFill>
        <a:schemeClr val="tx1"/>
      </a:solidFill>
      <a:round/>
    </a:ln>
    <a:effectLst/>
  </c:spPr>
  <c:txPr>
    <a:bodyPr/>
    <a:lstStyle/>
    <a:p>
      <a:pPr>
        <a:defRPr>
          <a:solidFill>
            <a:sysClr val="windowText" lastClr="000000"/>
          </a:solidFill>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1"/>
          <c:order val="1"/>
          <c:tx>
            <c:strRef>
              <c:f>'bezroborni - pracujący'!$B$5</c:f>
              <c:strCache>
                <c:ptCount val="1"/>
                <c:pt idx="0">
                  <c:v>mężczyźni</c:v>
                </c:pt>
              </c:strCache>
            </c:strRef>
          </c:tx>
          <c:invertIfNegative val="0"/>
          <c:dLbls>
            <c:spPr>
              <a:solidFill>
                <a:schemeClr val="accent3">
                  <a:lumMod val="40000"/>
                  <a:lumOff val="60000"/>
                </a:schemeClr>
              </a:solidFill>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'bezroborni - pracujący'!$I$1:$M$1</c:f>
              <c:numCache>
                <c:formatCode>General</c:formatCode>
                <c:ptCount val="5"/>
                <c:pt idx="0">
                  <c:v>2019</c:v>
                </c:pt>
                <c:pt idx="1">
                  <c:v>2020</c:v>
                </c:pt>
                <c:pt idx="2">
                  <c:v>2021</c:v>
                </c:pt>
                <c:pt idx="3">
                  <c:v>2022</c:v>
                </c:pt>
                <c:pt idx="4">
                  <c:v>2023</c:v>
                </c:pt>
              </c:numCache>
            </c:numRef>
          </c:cat>
          <c:val>
            <c:numRef>
              <c:f>'bezroborni - pracujący'!$I$5:$M$5</c:f>
              <c:numCache>
                <c:formatCode>General</c:formatCode>
                <c:ptCount val="5"/>
                <c:pt idx="0">
                  <c:v>33</c:v>
                </c:pt>
                <c:pt idx="1">
                  <c:v>30</c:v>
                </c:pt>
                <c:pt idx="2">
                  <c:v>26</c:v>
                </c:pt>
                <c:pt idx="3">
                  <c:v>21</c:v>
                </c:pt>
                <c:pt idx="4">
                  <c:v>26</c:v>
                </c:pt>
              </c:numCache>
            </c:numRef>
          </c:val>
          <c:extLst>
            <c:ext xmlns:c16="http://schemas.microsoft.com/office/drawing/2014/chart" uri="{C3380CC4-5D6E-409C-BE32-E72D297353CC}">
              <c16:uniqueId val="{00000000-8A5B-4BF4-A00D-43741C6EEF6D}"/>
            </c:ext>
          </c:extLst>
        </c:ser>
        <c:ser>
          <c:idx val="2"/>
          <c:order val="2"/>
          <c:tx>
            <c:strRef>
              <c:f>'bezroborni - pracujący'!$B$6</c:f>
              <c:strCache>
                <c:ptCount val="1"/>
                <c:pt idx="0">
                  <c:v>kobiety</c:v>
                </c:pt>
              </c:strCache>
            </c:strRef>
          </c:tx>
          <c:invertIfNegative val="0"/>
          <c:dLbls>
            <c:spPr>
              <a:solidFill>
                <a:schemeClr val="accent3">
                  <a:lumMod val="20000"/>
                  <a:lumOff val="80000"/>
                </a:schemeClr>
              </a:solidFill>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'bezroborni - pracujący'!$I$1:$M$1</c:f>
              <c:numCache>
                <c:formatCode>General</c:formatCode>
                <c:ptCount val="5"/>
                <c:pt idx="0">
                  <c:v>2019</c:v>
                </c:pt>
                <c:pt idx="1">
                  <c:v>2020</c:v>
                </c:pt>
                <c:pt idx="2">
                  <c:v>2021</c:v>
                </c:pt>
                <c:pt idx="3">
                  <c:v>2022</c:v>
                </c:pt>
                <c:pt idx="4">
                  <c:v>2023</c:v>
                </c:pt>
              </c:numCache>
            </c:numRef>
          </c:cat>
          <c:val>
            <c:numRef>
              <c:f>'bezroborni - pracujący'!$I$6:$M$6</c:f>
              <c:numCache>
                <c:formatCode>General</c:formatCode>
                <c:ptCount val="5"/>
                <c:pt idx="0">
                  <c:v>38</c:v>
                </c:pt>
                <c:pt idx="1">
                  <c:v>32</c:v>
                </c:pt>
                <c:pt idx="2">
                  <c:v>27</c:v>
                </c:pt>
                <c:pt idx="3">
                  <c:v>31</c:v>
                </c:pt>
                <c:pt idx="4">
                  <c:v>26</c:v>
                </c:pt>
              </c:numCache>
            </c:numRef>
          </c:val>
          <c:extLst>
            <c:ext xmlns:c16="http://schemas.microsoft.com/office/drawing/2014/chart" uri="{C3380CC4-5D6E-409C-BE32-E72D297353CC}">
              <c16:uniqueId val="{00000001-8A5B-4BF4-A00D-43741C6EEF6D}"/>
            </c:ext>
          </c:extLst>
        </c:ser>
        <c:dLbls>
          <c:showLegendKey val="0"/>
          <c:showVal val="0"/>
          <c:showCatName val="0"/>
          <c:showSerName val="0"/>
          <c:showPercent val="0"/>
          <c:showBubbleSize val="0"/>
        </c:dLbls>
        <c:gapWidth val="150"/>
        <c:overlap val="100"/>
        <c:axId val="357465472"/>
        <c:axId val="357475840"/>
      </c:barChart>
      <c:lineChart>
        <c:grouping val="stacked"/>
        <c:varyColors val="0"/>
        <c:ser>
          <c:idx val="0"/>
          <c:order val="0"/>
          <c:tx>
            <c:strRef>
              <c:f>'bezroborni - pracujący'!$B$7</c:f>
              <c:strCache>
                <c:ptCount val="1"/>
                <c:pt idx="0">
                  <c:v>ogółem</c:v>
                </c:pt>
              </c:strCache>
            </c:strRef>
          </c:tx>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'bezroborni - pracujący'!$I$1:$M$1</c:f>
              <c:numCache>
                <c:formatCode>General</c:formatCode>
                <c:ptCount val="5"/>
                <c:pt idx="0">
                  <c:v>2019</c:v>
                </c:pt>
                <c:pt idx="1">
                  <c:v>2020</c:v>
                </c:pt>
                <c:pt idx="2">
                  <c:v>2021</c:v>
                </c:pt>
                <c:pt idx="3">
                  <c:v>2022</c:v>
                </c:pt>
                <c:pt idx="4">
                  <c:v>2023</c:v>
                </c:pt>
              </c:numCache>
            </c:numRef>
          </c:cat>
          <c:val>
            <c:numRef>
              <c:f>'bezroborni - pracujący'!$I$7:$M$7</c:f>
              <c:numCache>
                <c:formatCode>General</c:formatCode>
                <c:ptCount val="5"/>
                <c:pt idx="0">
                  <c:v>71</c:v>
                </c:pt>
                <c:pt idx="1">
                  <c:v>62</c:v>
                </c:pt>
                <c:pt idx="2">
                  <c:v>53</c:v>
                </c:pt>
                <c:pt idx="3">
                  <c:v>52</c:v>
                </c:pt>
                <c:pt idx="4">
                  <c:v>52</c:v>
                </c:pt>
              </c:numCache>
            </c:numRef>
          </c:val>
          <c:smooth val="0"/>
          <c:extLst>
            <c:ext xmlns:c16="http://schemas.microsoft.com/office/drawing/2014/chart" uri="{C3380CC4-5D6E-409C-BE32-E72D297353CC}">
              <c16:uniqueId val="{00000002-8A5B-4BF4-A00D-43741C6EEF6D}"/>
            </c:ext>
          </c:extLst>
        </c:ser>
        <c:dLbls>
          <c:showLegendKey val="0"/>
          <c:showVal val="0"/>
          <c:showCatName val="0"/>
          <c:showSerName val="0"/>
          <c:showPercent val="0"/>
          <c:showBubbleSize val="0"/>
        </c:dLbls>
        <c:marker val="1"/>
        <c:smooth val="0"/>
        <c:axId val="357465472"/>
        <c:axId val="357475840"/>
      </c:lineChart>
      <c:catAx>
        <c:axId val="357465472"/>
        <c:scaling>
          <c:orientation val="minMax"/>
        </c:scaling>
        <c:delete val="0"/>
        <c:axPos val="b"/>
        <c:numFmt formatCode="General" sourceLinked="1"/>
        <c:majorTickMark val="out"/>
        <c:minorTickMark val="none"/>
        <c:tickLblPos val="nextTo"/>
        <c:crossAx val="357475840"/>
        <c:crosses val="autoZero"/>
        <c:auto val="1"/>
        <c:lblAlgn val="ctr"/>
        <c:lblOffset val="100"/>
        <c:noMultiLvlLbl val="0"/>
      </c:catAx>
      <c:valAx>
        <c:axId val="357475840"/>
        <c:scaling>
          <c:orientation val="minMax"/>
        </c:scaling>
        <c:delete val="0"/>
        <c:axPos val="l"/>
        <c:majorGridlines/>
        <c:title>
          <c:tx>
            <c:rich>
              <a:bodyPr rot="-5400000" vert="horz"/>
              <a:lstStyle/>
              <a:p>
                <a:pPr>
                  <a:defRPr/>
                </a:pPr>
                <a:r>
                  <a:rPr lang="en-US" b="0"/>
                  <a:t>[osób]</a:t>
                </a:r>
              </a:p>
            </c:rich>
          </c:tx>
          <c:overlay val="0"/>
        </c:title>
        <c:numFmt formatCode="General" sourceLinked="1"/>
        <c:majorTickMark val="out"/>
        <c:minorTickMark val="none"/>
        <c:tickLblPos val="nextTo"/>
        <c:crossAx val="357465472"/>
        <c:crosses val="autoZero"/>
        <c:crossBetween val="between"/>
      </c:valAx>
    </c:plotArea>
    <c:legend>
      <c:legendPos val="b"/>
      <c:overlay val="0"/>
    </c:legend>
    <c:plotVisOnly val="1"/>
    <c:dispBlanksAs val="gap"/>
    <c:showDLblsOverMax val="0"/>
  </c:chart>
  <c:spPr>
    <a:ln>
      <a:solidFill>
        <a:sysClr val="windowText" lastClr="000000"/>
      </a:solidFill>
    </a:ln>
  </c:spPr>
  <c:txPr>
    <a:bodyPr/>
    <a:lstStyle/>
    <a:p>
      <a:pPr>
        <a:defRPr>
          <a:solidFill>
            <a:sysClr val="windowText" lastClr="000000"/>
          </a:solidFill>
        </a:defRPr>
      </a:pPr>
      <a:endParaRPr lang="pl-PL"/>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1"/>
          <c:order val="1"/>
          <c:tx>
            <c:strRef>
              <c:f>'podmioty gospodarcze'!$A$12</c:f>
              <c:strCache>
                <c:ptCount val="1"/>
                <c:pt idx="0">
                  <c:v>rolnictwo, leśnictwo, łowiectwo i rybactwo</c:v>
                </c:pt>
              </c:strCache>
            </c:strRef>
          </c:tx>
          <c:spPr>
            <a:solidFill>
              <a:schemeClr val="accent3">
                <a:lumMod val="50000"/>
              </a:schemeClr>
            </a:solidFill>
            <a:ln>
              <a:solidFill>
                <a:schemeClr val="accent3">
                  <a:lumMod val="50000"/>
                </a:schemeClr>
              </a:solidFill>
            </a:ln>
          </c:spPr>
          <c:invertIfNegative val="0"/>
          <c:cat>
            <c:numRef>
              <c:f>Arkusz1!$C$154:$L$154</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'podmioty gospodarcze'!$B$12:$K$12</c:f>
              <c:numCache>
                <c:formatCode>General</c:formatCode>
                <c:ptCount val="10"/>
                <c:pt idx="0">
                  <c:v>9</c:v>
                </c:pt>
                <c:pt idx="1">
                  <c:v>8</c:v>
                </c:pt>
                <c:pt idx="2">
                  <c:v>8</c:v>
                </c:pt>
                <c:pt idx="3">
                  <c:v>6</c:v>
                </c:pt>
                <c:pt idx="4">
                  <c:v>7</c:v>
                </c:pt>
                <c:pt idx="5">
                  <c:v>6</c:v>
                </c:pt>
                <c:pt idx="6">
                  <c:v>6</c:v>
                </c:pt>
                <c:pt idx="7">
                  <c:v>6</c:v>
                </c:pt>
                <c:pt idx="8">
                  <c:v>6</c:v>
                </c:pt>
                <c:pt idx="9">
                  <c:v>8</c:v>
                </c:pt>
              </c:numCache>
            </c:numRef>
          </c:val>
          <c:extLst>
            <c:ext xmlns:c16="http://schemas.microsoft.com/office/drawing/2014/chart" uri="{C3380CC4-5D6E-409C-BE32-E72D297353CC}">
              <c16:uniqueId val="{00000000-1BAD-4097-8259-1425CD5F1A29}"/>
            </c:ext>
          </c:extLst>
        </c:ser>
        <c:ser>
          <c:idx val="2"/>
          <c:order val="2"/>
          <c:tx>
            <c:strRef>
              <c:f>'podmioty gospodarcze'!$A$13</c:f>
              <c:strCache>
                <c:ptCount val="1"/>
                <c:pt idx="0">
                  <c:v>przemysł i budownictwo</c:v>
                </c:pt>
              </c:strCache>
            </c:strRef>
          </c:tx>
          <c:spPr>
            <a:pattFill prst="ltDnDiag">
              <a:fgClr>
                <a:schemeClr val="accent3">
                  <a:lumMod val="75000"/>
                </a:schemeClr>
              </a:fgClr>
              <a:bgClr>
                <a:schemeClr val="bg1"/>
              </a:bgClr>
            </a:pattFill>
            <a:ln>
              <a:solidFill>
                <a:schemeClr val="accent3">
                  <a:lumMod val="75000"/>
                </a:schemeClr>
              </a:solidFill>
            </a:ln>
          </c:spPr>
          <c:invertIfNegative val="0"/>
          <c:cat>
            <c:numRef>
              <c:f>Arkusz1!$C$154:$L$154</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'podmioty gospodarcze'!$B$13:$K$13</c:f>
              <c:numCache>
                <c:formatCode>General</c:formatCode>
                <c:ptCount val="10"/>
                <c:pt idx="0">
                  <c:v>84</c:v>
                </c:pt>
                <c:pt idx="1">
                  <c:v>79</c:v>
                </c:pt>
                <c:pt idx="2">
                  <c:v>77</c:v>
                </c:pt>
                <c:pt idx="3">
                  <c:v>76</c:v>
                </c:pt>
                <c:pt idx="4">
                  <c:v>77</c:v>
                </c:pt>
                <c:pt idx="5">
                  <c:v>75</c:v>
                </c:pt>
                <c:pt idx="6">
                  <c:v>76</c:v>
                </c:pt>
                <c:pt idx="7">
                  <c:v>83</c:v>
                </c:pt>
                <c:pt idx="8">
                  <c:v>89</c:v>
                </c:pt>
                <c:pt idx="9">
                  <c:v>95</c:v>
                </c:pt>
              </c:numCache>
            </c:numRef>
          </c:val>
          <c:extLst>
            <c:ext xmlns:c16="http://schemas.microsoft.com/office/drawing/2014/chart" uri="{C3380CC4-5D6E-409C-BE32-E72D297353CC}">
              <c16:uniqueId val="{00000001-1BAD-4097-8259-1425CD5F1A29}"/>
            </c:ext>
          </c:extLst>
        </c:ser>
        <c:ser>
          <c:idx val="3"/>
          <c:order val="3"/>
          <c:tx>
            <c:strRef>
              <c:f>'podmioty gospodarcze'!$A$14</c:f>
              <c:strCache>
                <c:ptCount val="1"/>
                <c:pt idx="0">
                  <c:v>pozostała działalność</c:v>
                </c:pt>
              </c:strCache>
            </c:strRef>
          </c:tx>
          <c:spPr>
            <a:pattFill prst="pct90">
              <a:fgClr>
                <a:schemeClr val="accent3">
                  <a:lumMod val="75000"/>
                </a:schemeClr>
              </a:fgClr>
              <a:bgClr>
                <a:schemeClr val="bg1"/>
              </a:bgClr>
            </a:pattFill>
            <a:ln>
              <a:solidFill>
                <a:schemeClr val="accent3">
                  <a:lumMod val="75000"/>
                </a:schemeClr>
              </a:solidFill>
            </a:ln>
          </c:spPr>
          <c:invertIfNegative val="0"/>
          <c:cat>
            <c:numRef>
              <c:f>Arkusz1!$C$154:$L$154</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'podmioty gospodarcze'!$B$14:$K$14</c:f>
              <c:numCache>
                <c:formatCode>General</c:formatCode>
                <c:ptCount val="10"/>
                <c:pt idx="0">
                  <c:v>240</c:v>
                </c:pt>
                <c:pt idx="1">
                  <c:v>235</c:v>
                </c:pt>
                <c:pt idx="2">
                  <c:v>234</c:v>
                </c:pt>
                <c:pt idx="3">
                  <c:v>239</c:v>
                </c:pt>
                <c:pt idx="4">
                  <c:v>238</c:v>
                </c:pt>
                <c:pt idx="5">
                  <c:v>239</c:v>
                </c:pt>
                <c:pt idx="6">
                  <c:v>249</c:v>
                </c:pt>
                <c:pt idx="7">
                  <c:v>251</c:v>
                </c:pt>
                <c:pt idx="8">
                  <c:v>255</c:v>
                </c:pt>
                <c:pt idx="9">
                  <c:v>250</c:v>
                </c:pt>
              </c:numCache>
            </c:numRef>
          </c:val>
          <c:extLst>
            <c:ext xmlns:c16="http://schemas.microsoft.com/office/drawing/2014/chart" uri="{C3380CC4-5D6E-409C-BE32-E72D297353CC}">
              <c16:uniqueId val="{00000002-1BAD-4097-8259-1425CD5F1A29}"/>
            </c:ext>
          </c:extLst>
        </c:ser>
        <c:dLbls>
          <c:showLegendKey val="0"/>
          <c:showVal val="0"/>
          <c:showCatName val="0"/>
          <c:showSerName val="0"/>
          <c:showPercent val="0"/>
          <c:showBubbleSize val="0"/>
        </c:dLbls>
        <c:gapWidth val="150"/>
        <c:overlap val="100"/>
        <c:axId val="357655296"/>
        <c:axId val="357656832"/>
      </c:barChart>
      <c:lineChart>
        <c:grouping val="standard"/>
        <c:varyColors val="0"/>
        <c:ser>
          <c:idx val="0"/>
          <c:order val="0"/>
          <c:tx>
            <c:strRef>
              <c:f>'podmioty gospodarcze'!$A$11</c:f>
              <c:strCache>
                <c:ptCount val="1"/>
                <c:pt idx="0">
                  <c:v>ogółem</c:v>
                </c:pt>
              </c:strCache>
            </c:strRef>
          </c:tx>
          <c:spPr>
            <a:ln>
              <a:solidFill>
                <a:schemeClr val="tx1"/>
              </a:solidFill>
            </a:ln>
          </c:spPr>
          <c:marker>
            <c:symbol val="diamond"/>
            <c:size val="5"/>
            <c:spPr>
              <a:solidFill>
                <a:schemeClr val="tx1"/>
              </a:solidFill>
              <a:ln>
                <a:solidFill>
                  <a:schemeClr val="tx1"/>
                </a:solidFill>
              </a:ln>
            </c:spPr>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'podmioty gospodarcze'!$B$10:$K$10</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'podmioty gospodarcze'!$B$11:$K$11</c:f>
              <c:numCache>
                <c:formatCode>General</c:formatCode>
                <c:ptCount val="10"/>
                <c:pt idx="0">
                  <c:v>333</c:v>
                </c:pt>
                <c:pt idx="1">
                  <c:v>322</c:v>
                </c:pt>
                <c:pt idx="2">
                  <c:v>319</c:v>
                </c:pt>
                <c:pt idx="3">
                  <c:v>321</c:v>
                </c:pt>
                <c:pt idx="4">
                  <c:v>322</c:v>
                </c:pt>
                <c:pt idx="5">
                  <c:v>320</c:v>
                </c:pt>
                <c:pt idx="6">
                  <c:v>331</c:v>
                </c:pt>
                <c:pt idx="7">
                  <c:v>340</c:v>
                </c:pt>
                <c:pt idx="8">
                  <c:v>350</c:v>
                </c:pt>
                <c:pt idx="9">
                  <c:v>353</c:v>
                </c:pt>
              </c:numCache>
            </c:numRef>
          </c:val>
          <c:smooth val="0"/>
          <c:extLst>
            <c:ext xmlns:c16="http://schemas.microsoft.com/office/drawing/2014/chart" uri="{C3380CC4-5D6E-409C-BE32-E72D297353CC}">
              <c16:uniqueId val="{00000003-1BAD-4097-8259-1425CD5F1A29}"/>
            </c:ext>
          </c:extLst>
        </c:ser>
        <c:dLbls>
          <c:showLegendKey val="0"/>
          <c:showVal val="0"/>
          <c:showCatName val="0"/>
          <c:showSerName val="0"/>
          <c:showPercent val="0"/>
          <c:showBubbleSize val="0"/>
        </c:dLbls>
        <c:marker val="1"/>
        <c:smooth val="0"/>
        <c:axId val="357655296"/>
        <c:axId val="357656832"/>
      </c:lineChart>
      <c:catAx>
        <c:axId val="357655296"/>
        <c:scaling>
          <c:orientation val="minMax"/>
        </c:scaling>
        <c:delete val="0"/>
        <c:axPos val="b"/>
        <c:numFmt formatCode="General" sourceLinked="1"/>
        <c:majorTickMark val="out"/>
        <c:minorTickMark val="none"/>
        <c:tickLblPos val="nextTo"/>
        <c:crossAx val="357656832"/>
        <c:crosses val="autoZero"/>
        <c:auto val="1"/>
        <c:lblAlgn val="ctr"/>
        <c:lblOffset val="100"/>
        <c:noMultiLvlLbl val="0"/>
      </c:catAx>
      <c:valAx>
        <c:axId val="357656832"/>
        <c:scaling>
          <c:orientation val="minMax"/>
        </c:scaling>
        <c:delete val="0"/>
        <c:axPos val="l"/>
        <c:majorGridlines/>
        <c:title>
          <c:tx>
            <c:rich>
              <a:bodyPr rot="-5400000" vert="horz"/>
              <a:lstStyle/>
              <a:p>
                <a:pPr>
                  <a:defRPr/>
                </a:pPr>
                <a:r>
                  <a:rPr lang="en-US" b="0"/>
                  <a:t>[liczba podmiotów]</a:t>
                </a:r>
                <a:endParaRPr lang="en-GB" b="0"/>
              </a:p>
            </c:rich>
          </c:tx>
          <c:layout>
            <c:manualLayout>
              <c:xMode val="edge"/>
              <c:yMode val="edge"/>
              <c:x val="2.7777777777777776E-2"/>
              <c:y val="3.8748177311169439E-2"/>
            </c:manualLayout>
          </c:layout>
          <c:overlay val="0"/>
        </c:title>
        <c:numFmt formatCode="General" sourceLinked="1"/>
        <c:majorTickMark val="out"/>
        <c:minorTickMark val="none"/>
        <c:tickLblPos val="nextTo"/>
        <c:crossAx val="357655296"/>
        <c:crosses val="autoZero"/>
        <c:crossBetween val="between"/>
      </c:valAx>
    </c:plotArea>
    <c:legend>
      <c:legendPos val="b"/>
      <c:layout>
        <c:manualLayout>
          <c:xMode val="edge"/>
          <c:yMode val="edge"/>
          <c:x val="2.6837170162889945E-2"/>
          <c:y val="0.82325562237416594"/>
          <c:w val="0.93614734226923924"/>
          <c:h val="0.14896672028534966"/>
        </c:manualLayout>
      </c:layout>
      <c:overlay val="0"/>
      <c:spPr>
        <a:ln>
          <a:noFill/>
        </a:ln>
      </c:spPr>
    </c:legend>
    <c:plotVisOnly val="1"/>
    <c:dispBlanksAs val="gap"/>
    <c:showDLblsOverMax val="0"/>
  </c:chart>
  <c:spPr>
    <a:ln>
      <a:solidFill>
        <a:sysClr val="windowText" lastClr="000000"/>
      </a:solidFill>
    </a:ln>
  </c:spPr>
  <c:txPr>
    <a:bodyPr/>
    <a:lstStyle/>
    <a:p>
      <a:pPr>
        <a:defRPr>
          <a:solidFill>
            <a:sysClr val="windowText" lastClr="000000"/>
          </a:solidFill>
        </a:defRPr>
      </a:pPr>
      <a:endParaRPr lang="pl-PL"/>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730410732531644"/>
          <c:y val="3.0011862956853812E-2"/>
          <c:w val="0.74737999451123138"/>
          <c:h val="0.28469303406039764"/>
        </c:manualLayout>
      </c:layout>
      <c:barChart>
        <c:barDir val="col"/>
        <c:grouping val="clustered"/>
        <c:varyColors val="0"/>
        <c:ser>
          <c:idx val="0"/>
          <c:order val="0"/>
          <c:invertIfNegative val="0"/>
          <c:dLbls>
            <c:spPr>
              <a:noFill/>
              <a:ln>
                <a:noFill/>
              </a:ln>
              <a:effectLst/>
            </c:sp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'podmioty gospodarcze'!$A$18:$A$37</c:f>
              <c:strCache>
                <c:ptCount val="20"/>
                <c:pt idx="0">
                  <c:v>Sekcja A</c:v>
                </c:pt>
                <c:pt idx="1">
                  <c:v>Sekcja B</c:v>
                </c:pt>
                <c:pt idx="2">
                  <c:v>Sekcja C</c:v>
                </c:pt>
                <c:pt idx="3">
                  <c:v>Sekcja D</c:v>
                </c:pt>
                <c:pt idx="4">
                  <c:v>Sekcja E</c:v>
                </c:pt>
                <c:pt idx="5">
                  <c:v>Sekcja F</c:v>
                </c:pt>
                <c:pt idx="6">
                  <c:v>Sekcja G</c:v>
                </c:pt>
                <c:pt idx="7">
                  <c:v>Sekcja H</c:v>
                </c:pt>
                <c:pt idx="8">
                  <c:v>Sekcja I</c:v>
                </c:pt>
                <c:pt idx="9">
                  <c:v>Sekcja J</c:v>
                </c:pt>
                <c:pt idx="10">
                  <c:v>Sekcja K</c:v>
                </c:pt>
                <c:pt idx="11">
                  <c:v>Sekcja L</c:v>
                </c:pt>
                <c:pt idx="12">
                  <c:v>Sekcja M</c:v>
                </c:pt>
                <c:pt idx="13">
                  <c:v>Sekcja N</c:v>
                </c:pt>
                <c:pt idx="14">
                  <c:v>Sekcja O</c:v>
                </c:pt>
                <c:pt idx="15">
                  <c:v>Sekcja P</c:v>
                </c:pt>
                <c:pt idx="16">
                  <c:v>Sekcja Q</c:v>
                </c:pt>
                <c:pt idx="17">
                  <c:v>Sekcja R</c:v>
                </c:pt>
                <c:pt idx="18">
                  <c:v>Sekcje S i T</c:v>
                </c:pt>
                <c:pt idx="19">
                  <c:v>Sekcja U</c:v>
                </c:pt>
              </c:strCache>
            </c:strRef>
          </c:cat>
          <c:val>
            <c:numRef>
              <c:f>'podmioty gospodarcze'!$C$18:$C$37</c:f>
              <c:numCache>
                <c:formatCode>General</c:formatCode>
                <c:ptCount val="20"/>
                <c:pt idx="0">
                  <c:v>8</c:v>
                </c:pt>
                <c:pt idx="1">
                  <c:v>0</c:v>
                </c:pt>
                <c:pt idx="2">
                  <c:v>30</c:v>
                </c:pt>
                <c:pt idx="3">
                  <c:v>1</c:v>
                </c:pt>
                <c:pt idx="4">
                  <c:v>0</c:v>
                </c:pt>
                <c:pt idx="5">
                  <c:v>72</c:v>
                </c:pt>
                <c:pt idx="6">
                  <c:v>100</c:v>
                </c:pt>
                <c:pt idx="7">
                  <c:v>15</c:v>
                </c:pt>
                <c:pt idx="8">
                  <c:v>6</c:v>
                </c:pt>
                <c:pt idx="9">
                  <c:v>7</c:v>
                </c:pt>
                <c:pt idx="10">
                  <c:v>7</c:v>
                </c:pt>
                <c:pt idx="11">
                  <c:v>7</c:v>
                </c:pt>
                <c:pt idx="12">
                  <c:v>25</c:v>
                </c:pt>
                <c:pt idx="13">
                  <c:v>7</c:v>
                </c:pt>
                <c:pt idx="14">
                  <c:v>3</c:v>
                </c:pt>
                <c:pt idx="15">
                  <c:v>7</c:v>
                </c:pt>
                <c:pt idx="16">
                  <c:v>18</c:v>
                </c:pt>
                <c:pt idx="17">
                  <c:v>8</c:v>
                </c:pt>
                <c:pt idx="18">
                  <c:v>38</c:v>
                </c:pt>
                <c:pt idx="19">
                  <c:v>0</c:v>
                </c:pt>
              </c:numCache>
            </c:numRef>
          </c:val>
          <c:extLst>
            <c:ext xmlns:c16="http://schemas.microsoft.com/office/drawing/2014/chart" uri="{C3380CC4-5D6E-409C-BE32-E72D297353CC}">
              <c16:uniqueId val="{00000000-84A3-45FD-8B6C-40A80287A0A8}"/>
            </c:ext>
          </c:extLst>
        </c:ser>
        <c:dLbls>
          <c:showLegendKey val="0"/>
          <c:showVal val="0"/>
          <c:showCatName val="0"/>
          <c:showSerName val="0"/>
          <c:showPercent val="0"/>
          <c:showBubbleSize val="0"/>
        </c:dLbls>
        <c:gapWidth val="100"/>
        <c:axId val="357565184"/>
        <c:axId val="357681792"/>
      </c:barChart>
      <c:valAx>
        <c:axId val="357681792"/>
        <c:scaling>
          <c:orientation val="minMax"/>
        </c:scaling>
        <c:delete val="0"/>
        <c:axPos val="l"/>
        <c:majorGridlines/>
        <c:title>
          <c:tx>
            <c:rich>
              <a:bodyPr/>
              <a:lstStyle/>
              <a:p>
                <a:pPr>
                  <a:defRPr/>
                </a:pPr>
                <a:r>
                  <a:rPr lang="pl-PL"/>
                  <a:t>[liczba podmiotów]</a:t>
                </a:r>
                <a:endParaRPr lang="en-GB"/>
              </a:p>
            </c:rich>
          </c:tx>
          <c:overlay val="0"/>
        </c:title>
        <c:numFmt formatCode="General" sourceLinked="1"/>
        <c:majorTickMark val="out"/>
        <c:minorTickMark val="none"/>
        <c:tickLblPos val="nextTo"/>
        <c:crossAx val="357565184"/>
        <c:crosses val="autoZero"/>
        <c:crossBetween val="between"/>
      </c:valAx>
      <c:catAx>
        <c:axId val="357565184"/>
        <c:scaling>
          <c:orientation val="minMax"/>
        </c:scaling>
        <c:delete val="0"/>
        <c:axPos val="b"/>
        <c:numFmt formatCode="General" sourceLinked="0"/>
        <c:majorTickMark val="out"/>
        <c:minorTickMark val="none"/>
        <c:tickLblPos val="nextTo"/>
        <c:txPr>
          <a:bodyPr rot="-3600000"/>
          <a:lstStyle/>
          <a:p>
            <a:pPr>
              <a:defRPr/>
            </a:pPr>
            <a:endParaRPr lang="pl-PL"/>
          </a:p>
        </c:txPr>
        <c:crossAx val="357681792"/>
        <c:crosses val="autoZero"/>
        <c:auto val="1"/>
        <c:lblAlgn val="ctr"/>
        <c:lblOffset val="100"/>
        <c:noMultiLvlLbl val="0"/>
      </c:catAx>
    </c:plotArea>
    <c:plotVisOnly val="1"/>
    <c:dispBlanksAs val="gap"/>
    <c:showDLblsOverMax val="0"/>
  </c:chart>
  <c:spPr>
    <a:ln>
      <a:solidFill>
        <a:sysClr val="windowText" lastClr="000000"/>
      </a:solidFill>
    </a:ln>
  </c:spPr>
  <c:txPr>
    <a:bodyPr/>
    <a:lstStyle/>
    <a:p>
      <a:pPr>
        <a:defRPr>
          <a:solidFill>
            <a:sysClr val="windowText" lastClr="000000"/>
          </a:solidFill>
        </a:defRPr>
      </a:pPr>
      <a:endParaRPr lang="pl-PL"/>
    </a:p>
  </c:txPr>
  <c:externalData r:id="rId2">
    <c:autoUpdate val="0"/>
  </c:externalData>
  <c:userShapes r:id="rId3"/>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'dochody i wydatki'!$A$3</c:f>
              <c:strCache>
                <c:ptCount val="1"/>
                <c:pt idx="0">
                  <c:v>Dochody na 1 mieszkańca</c:v>
                </c:pt>
              </c:strCache>
            </c:strRef>
          </c:tx>
          <c:invertIfNegative val="0"/>
          <c:cat>
            <c:numRef>
              <c:f>'dochody i wydatki'!$B$1:$K$1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'dochody i wydatki'!$B$3:$K$3</c:f>
              <c:numCache>
                <c:formatCode>#,##0</c:formatCode>
                <c:ptCount val="10"/>
                <c:pt idx="0">
                  <c:v>2938.28</c:v>
                </c:pt>
                <c:pt idx="1">
                  <c:v>3748.73</c:v>
                </c:pt>
                <c:pt idx="2">
                  <c:v>3628.17</c:v>
                </c:pt>
                <c:pt idx="3">
                  <c:v>3737.44</c:v>
                </c:pt>
                <c:pt idx="4">
                  <c:v>4720.2299999999996</c:v>
                </c:pt>
                <c:pt idx="5">
                  <c:v>4469.34</c:v>
                </c:pt>
                <c:pt idx="6">
                  <c:v>5245.62</c:v>
                </c:pt>
                <c:pt idx="7">
                  <c:v>6476.3</c:v>
                </c:pt>
                <c:pt idx="8">
                  <c:v>5724.06</c:v>
                </c:pt>
                <c:pt idx="9">
                  <c:v>6789.19</c:v>
                </c:pt>
              </c:numCache>
            </c:numRef>
          </c:val>
          <c:extLst>
            <c:ext xmlns:c16="http://schemas.microsoft.com/office/drawing/2014/chart" uri="{C3380CC4-5D6E-409C-BE32-E72D297353CC}">
              <c16:uniqueId val="{00000000-942A-4BD0-A8F2-F08A9AB5B77D}"/>
            </c:ext>
          </c:extLst>
        </c:ser>
        <c:ser>
          <c:idx val="1"/>
          <c:order val="1"/>
          <c:tx>
            <c:strRef>
              <c:f>'dochody i wydatki'!$A$2</c:f>
              <c:strCache>
                <c:ptCount val="1"/>
                <c:pt idx="0">
                  <c:v>Wydatki na 1 mieszkańca</c:v>
                </c:pt>
              </c:strCache>
            </c:strRef>
          </c:tx>
          <c:invertIfNegative val="0"/>
          <c:cat>
            <c:numRef>
              <c:f>'dochody i wydatki'!$B$1:$K$1</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'dochody i wydatki'!$B$2:$K$2</c:f>
              <c:numCache>
                <c:formatCode>#,##0</c:formatCode>
                <c:ptCount val="10"/>
                <c:pt idx="0">
                  <c:v>2729.92</c:v>
                </c:pt>
                <c:pt idx="1">
                  <c:v>3709.13</c:v>
                </c:pt>
                <c:pt idx="2">
                  <c:v>3477.92</c:v>
                </c:pt>
                <c:pt idx="3">
                  <c:v>3447.54</c:v>
                </c:pt>
                <c:pt idx="4">
                  <c:v>4425.24</c:v>
                </c:pt>
                <c:pt idx="5">
                  <c:v>4589.38</c:v>
                </c:pt>
                <c:pt idx="6">
                  <c:v>5489.05</c:v>
                </c:pt>
                <c:pt idx="7">
                  <c:v>6267.65</c:v>
                </c:pt>
                <c:pt idx="8">
                  <c:v>5613.81</c:v>
                </c:pt>
                <c:pt idx="9">
                  <c:v>7626.32</c:v>
                </c:pt>
              </c:numCache>
            </c:numRef>
          </c:val>
          <c:extLst>
            <c:ext xmlns:c16="http://schemas.microsoft.com/office/drawing/2014/chart" uri="{C3380CC4-5D6E-409C-BE32-E72D297353CC}">
              <c16:uniqueId val="{00000001-942A-4BD0-A8F2-F08A9AB5B77D}"/>
            </c:ext>
          </c:extLst>
        </c:ser>
        <c:dLbls>
          <c:showLegendKey val="0"/>
          <c:showVal val="0"/>
          <c:showCatName val="0"/>
          <c:showSerName val="0"/>
          <c:showPercent val="0"/>
          <c:showBubbleSize val="0"/>
        </c:dLbls>
        <c:gapWidth val="150"/>
        <c:axId val="357741696"/>
        <c:axId val="357743232"/>
      </c:barChart>
      <c:lineChart>
        <c:grouping val="stacked"/>
        <c:varyColors val="0"/>
        <c:ser>
          <c:idx val="2"/>
          <c:order val="2"/>
          <c:tx>
            <c:strRef>
              <c:f>'dochody i wydatki'!$A$4</c:f>
              <c:strCache>
                <c:ptCount val="1"/>
                <c:pt idx="0">
                  <c:v>Różnica między dochodami a wydatkami</c:v>
                </c:pt>
              </c:strCache>
            </c:strRef>
          </c:tx>
          <c:spPr>
            <a:ln>
              <a:noFill/>
            </a:ln>
          </c:spPr>
          <c:marker>
            <c:symbol val="none"/>
          </c:marker>
          <c:cat>
            <c:numRef>
              <c:f>Arkusz1!$D$277:$M$277</c:f>
              <c:numCache>
                <c:formatCode>General</c:formatCode>
                <c:ptCount val="10"/>
                <c:pt idx="0">
                  <c:v>2013</c:v>
                </c:pt>
                <c:pt idx="1">
                  <c:v>2014</c:v>
                </c:pt>
                <c:pt idx="2">
                  <c:v>2015</c:v>
                </c:pt>
                <c:pt idx="3">
                  <c:v>2016</c:v>
                </c:pt>
                <c:pt idx="4">
                  <c:v>2017</c:v>
                </c:pt>
                <c:pt idx="5">
                  <c:v>2018</c:v>
                </c:pt>
                <c:pt idx="6">
                  <c:v>2019</c:v>
                </c:pt>
                <c:pt idx="7">
                  <c:v>2020</c:v>
                </c:pt>
                <c:pt idx="8">
                  <c:v>2021</c:v>
                </c:pt>
                <c:pt idx="9">
                  <c:v>2022</c:v>
                </c:pt>
              </c:numCache>
            </c:numRef>
          </c:cat>
          <c:val>
            <c:numRef>
              <c:f>'dochody i wydatki'!$B$4:$K$4</c:f>
              <c:numCache>
                <c:formatCode>#,##0</c:formatCode>
                <c:ptCount val="10"/>
                <c:pt idx="0">
                  <c:v>208.36000000000013</c:v>
                </c:pt>
                <c:pt idx="1">
                  <c:v>39.599999999999909</c:v>
                </c:pt>
                <c:pt idx="2">
                  <c:v>150.25</c:v>
                </c:pt>
                <c:pt idx="3">
                  <c:v>289.90000000000009</c:v>
                </c:pt>
                <c:pt idx="4">
                  <c:v>294.98999999999978</c:v>
                </c:pt>
                <c:pt idx="5">
                  <c:v>-120.03999999999996</c:v>
                </c:pt>
                <c:pt idx="6">
                  <c:v>-243.43000000000029</c:v>
                </c:pt>
                <c:pt idx="7">
                  <c:v>208.65000000000055</c:v>
                </c:pt>
                <c:pt idx="8">
                  <c:v>110.25</c:v>
                </c:pt>
                <c:pt idx="9">
                  <c:v>-837.13000000000011</c:v>
                </c:pt>
              </c:numCache>
            </c:numRef>
          </c:val>
          <c:smooth val="0"/>
          <c:extLst>
            <c:ext xmlns:c16="http://schemas.microsoft.com/office/drawing/2014/chart" uri="{C3380CC4-5D6E-409C-BE32-E72D297353CC}">
              <c16:uniqueId val="{00000002-942A-4BD0-A8F2-F08A9AB5B77D}"/>
            </c:ext>
          </c:extLst>
        </c:ser>
        <c:dLbls>
          <c:showLegendKey val="0"/>
          <c:showVal val="0"/>
          <c:showCatName val="0"/>
          <c:showSerName val="0"/>
          <c:showPercent val="0"/>
          <c:showBubbleSize val="0"/>
        </c:dLbls>
        <c:marker val="1"/>
        <c:smooth val="0"/>
        <c:axId val="357741696"/>
        <c:axId val="357743232"/>
      </c:lineChart>
      <c:catAx>
        <c:axId val="357741696"/>
        <c:scaling>
          <c:orientation val="minMax"/>
        </c:scaling>
        <c:delete val="0"/>
        <c:axPos val="b"/>
        <c:numFmt formatCode="General" sourceLinked="1"/>
        <c:majorTickMark val="out"/>
        <c:minorTickMark val="none"/>
        <c:tickLblPos val="nextTo"/>
        <c:crossAx val="357743232"/>
        <c:crosses val="autoZero"/>
        <c:auto val="1"/>
        <c:lblAlgn val="l"/>
        <c:lblOffset val="100"/>
        <c:noMultiLvlLbl val="0"/>
      </c:catAx>
      <c:valAx>
        <c:axId val="357743232"/>
        <c:scaling>
          <c:orientation val="minMax"/>
          <c:min val="0"/>
        </c:scaling>
        <c:delete val="0"/>
        <c:axPos val="l"/>
        <c:majorGridlines/>
        <c:title>
          <c:tx>
            <c:rich>
              <a:bodyPr anchor="b" anchorCtr="1"/>
              <a:lstStyle/>
              <a:p>
                <a:pPr>
                  <a:defRPr/>
                </a:pPr>
                <a:r>
                  <a:rPr lang="en-US" b="0"/>
                  <a:t>[</a:t>
                </a:r>
                <a:r>
                  <a:rPr lang="pl-PL" b="0"/>
                  <a:t>z</a:t>
                </a:r>
                <a:r>
                  <a:rPr lang="pl-PL" b="0" baseline="0"/>
                  <a:t>ł</a:t>
                </a:r>
                <a:r>
                  <a:rPr lang="pl-PL" b="0"/>
                  <a:t>]</a:t>
                </a:r>
                <a:endParaRPr lang="en-US" b="0"/>
              </a:p>
            </c:rich>
          </c:tx>
          <c:layout>
            <c:manualLayout>
              <c:xMode val="edge"/>
              <c:yMode val="edge"/>
              <c:x val="0.24917309812568908"/>
              <c:y val="0.33105729044409227"/>
            </c:manualLayout>
          </c:layout>
          <c:overlay val="0"/>
        </c:title>
        <c:numFmt formatCode="#,##0" sourceLinked="1"/>
        <c:majorTickMark val="out"/>
        <c:minorTickMark val="none"/>
        <c:tickLblPos val="nextTo"/>
        <c:crossAx val="357741696"/>
        <c:crosses val="autoZero"/>
        <c:crossBetween val="between"/>
      </c:valAx>
      <c:dTable>
        <c:showHorzBorder val="1"/>
        <c:showVertBorder val="1"/>
        <c:showOutline val="1"/>
        <c:showKeys val="0"/>
        <c:txPr>
          <a:bodyPr/>
          <a:lstStyle/>
          <a:p>
            <a:pPr rtl="0">
              <a:defRPr sz="900"/>
            </a:pPr>
            <a:endParaRPr lang="pl-PL"/>
          </a:p>
        </c:txPr>
      </c:dTable>
    </c:plotArea>
    <c:legend>
      <c:legendPos val="b"/>
      <c:layout>
        <c:manualLayout>
          <c:xMode val="edge"/>
          <c:yMode val="edge"/>
          <c:x val="3.4454678832180168E-2"/>
          <c:y val="0.86936799093295147"/>
          <c:w val="0.92165449825938239"/>
          <c:h val="0.12252684323550465"/>
        </c:manualLayout>
      </c:layout>
      <c:overlay val="0"/>
    </c:legend>
    <c:plotVisOnly val="1"/>
    <c:dispBlanksAs val="gap"/>
    <c:showDLblsOverMax val="0"/>
  </c:chart>
  <c:spPr>
    <a:ln w="12700">
      <a:solidFill>
        <a:sysClr val="windowText" lastClr="000000"/>
      </a:solidFill>
    </a:ln>
  </c:spPr>
  <c:txPr>
    <a:bodyPr/>
    <a:lstStyle/>
    <a:p>
      <a:pPr>
        <a:defRPr>
          <a:solidFill>
            <a:sysClr val="windowText" lastClr="000000"/>
          </a:solidFill>
        </a:defRPr>
      </a:pPr>
      <a:endParaRPr lang="pl-PL"/>
    </a:p>
  </c:txPr>
  <c:externalData r:id="rId2">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colors2.xml><?xml version="1.0" encoding="utf-8"?>
<cs:colorStyle xmlns:cs="http://schemas.microsoft.com/office/drawing/2012/chartStyle" xmlns:a="http://schemas.openxmlformats.org/drawingml/2006/main" meth="withinLinear" id="14">
  <a:schemeClr val="accent1"/>
</cs:colorStyle>
</file>

<file path=word/charts/colors3.xml><?xml version="1.0" encoding="utf-8"?>
<cs:colorStyle xmlns:cs="http://schemas.microsoft.com/office/drawing/2012/chartStyle" xmlns:a="http://schemas.openxmlformats.org/drawingml/2006/main" meth="withinLinear" id="16">
  <a:schemeClr val="accent3"/>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5.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3_4">
  <dgm:title val=""/>
  <dgm:desc val=""/>
  <dgm:catLst>
    <dgm:cat type="accent3" pri="11400"/>
  </dgm:catLst>
  <dgm:styleLbl name="node0">
    <dgm:fillClrLst meth="cycle">
      <a:schemeClr val="accent3">
        <a:shade val="60000"/>
      </a:schemeClr>
    </dgm:fillClrLst>
    <dgm:linClrLst meth="repeat">
      <a:schemeClr val="lt1"/>
    </dgm:linClrLst>
    <dgm:effectClrLst/>
    <dgm:txLinClrLst/>
    <dgm:txFillClrLst/>
    <dgm:txEffectClrLst/>
  </dgm:styleLbl>
  <dgm:styleLbl name="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alignNode1">
    <dgm:fillClrLst meth="cycle">
      <a:schemeClr val="accent3">
        <a:shade val="50000"/>
      </a:schemeClr>
      <a:schemeClr val="accent3">
        <a:tint val="55000"/>
      </a:schemeClr>
    </dgm:fillClrLst>
    <dgm:linClrLst meth="cycle">
      <a:schemeClr val="accent3">
        <a:shade val="50000"/>
      </a:schemeClr>
      <a:schemeClr val="accent3">
        <a:tint val="55000"/>
      </a:schemeClr>
    </dgm:linClrLst>
    <dgm:effectClrLst/>
    <dgm:txLinClrLst/>
    <dgm:txFillClrLst/>
    <dgm:txEffectClrLst/>
  </dgm:styleLbl>
  <dgm:styleLbl name="lnNode1">
    <dgm:fillClrLst meth="cycle">
      <a:schemeClr val="accent3">
        <a:shade val="50000"/>
      </a:schemeClr>
      <a:schemeClr val="accent3">
        <a:tint val="55000"/>
      </a:schemeClr>
    </dgm:fillClrLst>
    <dgm:linClrLst meth="repeat">
      <a:schemeClr val="lt1"/>
    </dgm:linClrLst>
    <dgm:effectClrLst/>
    <dgm:txLinClrLst/>
    <dgm:txFillClrLst/>
    <dgm:txEffectClrLst/>
  </dgm:styleLbl>
  <dgm:styleLbl name="vennNode1">
    <dgm:fillClrLst meth="cycle">
      <a:schemeClr val="accent3">
        <a:shade val="80000"/>
        <a:alpha val="50000"/>
      </a:schemeClr>
      <a:schemeClr val="accent3">
        <a:tint val="50000"/>
        <a:alpha val="50000"/>
      </a:schemeClr>
    </dgm:fillClrLst>
    <dgm:linClrLst meth="repeat">
      <a:schemeClr val="lt1"/>
    </dgm:linClrLst>
    <dgm:effectClrLst/>
    <dgm:txLinClrLst/>
    <dgm:txFillClrLst/>
    <dgm:txEffectClrLst/>
  </dgm:styleLbl>
  <dgm:styleLbl name="node2">
    <dgm:fillClrLst>
      <a:schemeClr val="accent3">
        <a:shade val="80000"/>
      </a:schemeClr>
    </dgm:fillClrLst>
    <dgm:linClrLst meth="repeat">
      <a:schemeClr val="lt1"/>
    </dgm:linClrLst>
    <dgm:effectClrLst/>
    <dgm:txLinClrLst/>
    <dgm:txFillClrLst/>
    <dgm:txEffectClrLst/>
  </dgm:styleLbl>
  <dgm:styleLbl name="node3">
    <dgm:fillClrLst>
      <a:schemeClr val="accent3">
        <a:tint val="99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f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bgSibTrans2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dgm:txEffectClrLst/>
  </dgm:styleLbl>
  <dgm:styleLbl name="sibTrans1D1">
    <dgm:fillClrLst meth="cycle">
      <a:schemeClr val="accent3">
        <a:shade val="90000"/>
      </a:schemeClr>
      <a:schemeClr val="accent3">
        <a:tint val="50000"/>
      </a:schemeClr>
    </dgm:fillClrLst>
    <dgm:linClrLst meth="cycle">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0000"/>
      </a:schemeClr>
    </dgm:fillClrLst>
    <dgm:linClrLst meth="repeat">
      <a:schemeClr val="lt1"/>
    </dgm:linClrLst>
    <dgm:effectClrLst/>
    <dgm:txLinClrLst/>
    <dgm:txFillClrLst/>
    <dgm:txEffectClrLst/>
  </dgm:styleLbl>
  <dgm:styleLbl name="asst3">
    <dgm:fillClrLst>
      <a:schemeClr val="accent3">
        <a:tint val="70000"/>
      </a:schemeClr>
    </dgm:fillClrLst>
    <dgm:linClrLst meth="repeat">
      <a:schemeClr val="lt1"/>
    </dgm:linClrLst>
    <dgm:effectClrLst/>
    <dgm:txLinClrLst/>
    <dgm:txFillClrLst/>
    <dgm:txEffectClrLst/>
  </dgm:styleLbl>
  <dgm:styleLbl name="asst4">
    <dgm:fillClrLst>
      <a:schemeClr val="accent3">
        <a:tint val="5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3">
        <a:shade val="50000"/>
      </a:schemeClr>
      <a:schemeClr val="accent3">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alignAccFollowNode1">
    <dgm:fillClrLst meth="repeat">
      <a:schemeClr val="accent3">
        <a:alpha val="90000"/>
        <a:tint val="55000"/>
      </a:schemeClr>
    </dgm:fillClrLst>
    <dgm:linClrLst meth="repeat">
      <a:schemeClr val="accent3">
        <a:alpha val="90000"/>
        <a:tint val="55000"/>
      </a:schemeClr>
    </dgm:linClrLst>
    <dgm:effectClrLst/>
    <dgm:txLinClrLst/>
    <dgm:txFillClrLst meth="repeat">
      <a:schemeClr val="dk1"/>
    </dgm:txFillClrLst>
    <dgm:txEffectClrLst/>
  </dgm:styleLbl>
  <dgm:styleLbl name="bgAccFollowNode1">
    <dgm:fillClrLst meth="repeat">
      <a:schemeClr val="accent3">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55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2C966CB-5D4D-4322-8EB2-E0CBB0D5C886}" type="doc">
      <dgm:prSet loTypeId="urn:microsoft.com/office/officeart/2005/8/layout/list1" loCatId="list" qsTypeId="urn:microsoft.com/office/officeart/2005/8/quickstyle/simple1" qsCatId="simple" csTypeId="urn:microsoft.com/office/officeart/2005/8/colors/accent3_3" csCatId="accent3" phldr="1"/>
      <dgm:spPr/>
      <dgm:t>
        <a:bodyPr/>
        <a:lstStyle/>
        <a:p>
          <a:endParaRPr lang="pl-PL"/>
        </a:p>
      </dgm:t>
    </dgm:pt>
    <dgm:pt modelId="{7A117C5F-F33A-444D-AC9C-C7AB5ABFCFA2}">
      <dgm:prSet phldrT="[Tekst]" custT="1"/>
      <dgm:spPr>
        <a:xfrm>
          <a:off x="374505" y="121862"/>
          <a:ext cx="4894359" cy="693731"/>
        </a:xfrm>
        <a:solidFill>
          <a:srgbClr val="9BBB59">
            <a:lumMod val="50000"/>
          </a:srgbClr>
        </a:solidFill>
        <a:ln w="25400" cap="flat" cmpd="sng" algn="ctr">
          <a:solidFill>
            <a:sysClr val="window" lastClr="FFFFFF">
              <a:hueOff val="0"/>
              <a:satOff val="0"/>
              <a:lumOff val="0"/>
              <a:alphaOff val="0"/>
            </a:sysClr>
          </a:solidFill>
          <a:prstDash val="solid"/>
        </a:ln>
        <a:effectLst/>
      </dgm:spPr>
      <dgm:t>
        <a:bodyPr/>
        <a:lstStyle/>
        <a:p>
          <a:pPr algn="ctr"/>
          <a:r>
            <a:rPr lang="pl-PL" sz="1200" b="1">
              <a:solidFill>
                <a:sysClr val="window" lastClr="FFFFFF"/>
              </a:solidFill>
              <a:latin typeface="Arial" panose="020B0604020202020204" pitchFamily="34" charset="0"/>
              <a:ea typeface="+mn-ea"/>
              <a:cs typeface="Arial" panose="020B0604020202020204" pitchFamily="34" charset="0"/>
            </a:rPr>
            <a:t>Celem nadrzędnym opracowania zapewnienie zrównoważonego rozwoju oraz efektywnego funkcjonowania gospodarki i społeczeństwa w warunkach zmian klimatu</a:t>
          </a:r>
        </a:p>
      </dgm:t>
    </dgm:pt>
    <dgm:pt modelId="{13376E12-26BD-4A16-BD53-8CBC3F0A3912}" type="parTrans" cxnId="{7B790116-DFEC-45FE-BAFC-D32463513117}">
      <dgm:prSet/>
      <dgm:spPr/>
      <dgm:t>
        <a:bodyPr/>
        <a:lstStyle/>
        <a:p>
          <a:endParaRPr lang="pl-PL"/>
        </a:p>
      </dgm:t>
    </dgm:pt>
    <dgm:pt modelId="{57CBE148-DFCC-4BA7-9BA8-2503AB5CC108}" type="sibTrans" cxnId="{7B790116-DFEC-45FE-BAFC-D32463513117}">
      <dgm:prSet/>
      <dgm:spPr/>
      <dgm:t>
        <a:bodyPr/>
        <a:lstStyle/>
        <a:p>
          <a:endParaRPr lang="pl-PL"/>
        </a:p>
      </dgm:t>
    </dgm:pt>
    <dgm:pt modelId="{9D93879B-80B7-4388-AAF6-CB1B0A029769}" type="pres">
      <dgm:prSet presAssocID="{02C966CB-5D4D-4322-8EB2-E0CBB0D5C886}" presName="linear" presStyleCnt="0">
        <dgm:presLayoutVars>
          <dgm:dir/>
          <dgm:animLvl val="lvl"/>
          <dgm:resizeHandles val="exact"/>
        </dgm:presLayoutVars>
      </dgm:prSet>
      <dgm:spPr/>
    </dgm:pt>
    <dgm:pt modelId="{38CBE1DD-7D95-4598-8863-C2E7480CA9B4}" type="pres">
      <dgm:prSet presAssocID="{7A117C5F-F33A-444D-AC9C-C7AB5ABFCFA2}" presName="parentLin" presStyleCnt="0"/>
      <dgm:spPr/>
    </dgm:pt>
    <dgm:pt modelId="{8E6C9774-EBDC-4976-BA1F-01D68D815A53}" type="pres">
      <dgm:prSet presAssocID="{7A117C5F-F33A-444D-AC9C-C7AB5ABFCFA2}" presName="parentLeftMargin" presStyleLbl="node1" presStyleIdx="0" presStyleCnt="1"/>
      <dgm:spPr>
        <a:prstGeom prst="roundRect">
          <a:avLst/>
        </a:prstGeom>
      </dgm:spPr>
    </dgm:pt>
    <dgm:pt modelId="{835564A4-7921-4905-B6FE-E7828F236B5E}" type="pres">
      <dgm:prSet presAssocID="{7A117C5F-F33A-444D-AC9C-C7AB5ABFCFA2}" presName="parentText" presStyleLbl="node1" presStyleIdx="0" presStyleCnt="1" custScaleX="121155" custScaleY="41965" custLinFactNeighborX="29787" custLinFactNeighborY="-711">
        <dgm:presLayoutVars>
          <dgm:chMax val="0"/>
          <dgm:bulletEnabled val="1"/>
        </dgm:presLayoutVars>
      </dgm:prSet>
      <dgm:spPr/>
    </dgm:pt>
    <dgm:pt modelId="{3FDCB001-E924-417E-AE94-2331D2A446ED}" type="pres">
      <dgm:prSet presAssocID="{7A117C5F-F33A-444D-AC9C-C7AB5ABFCFA2}" presName="negativeSpace" presStyleCnt="0"/>
      <dgm:spPr/>
    </dgm:pt>
    <dgm:pt modelId="{77D7B335-AE2F-4986-A065-EF23ECB396F9}" type="pres">
      <dgm:prSet presAssocID="{7A117C5F-F33A-444D-AC9C-C7AB5ABFCFA2}" presName="childText" presStyleLbl="conFgAcc1" presStyleIdx="0" presStyleCnt="1" custScaleX="99808" custScaleY="30769" custLinFactNeighborY="61509">
        <dgm:presLayoutVars>
          <dgm:bulletEnabled val="1"/>
        </dgm:presLayoutVars>
      </dgm:prSet>
      <dgm:spPr>
        <a:xfrm>
          <a:off x="0" y="393922"/>
          <a:ext cx="5771071" cy="434212"/>
        </a:xfrm>
        <a:prstGeom prst="rect">
          <a:avLst/>
        </a:prstGeom>
        <a:solidFill>
          <a:sysClr val="window" lastClr="FFFFFF">
            <a:alpha val="90000"/>
            <a:hueOff val="0"/>
            <a:satOff val="0"/>
            <a:lumOff val="0"/>
            <a:alphaOff val="0"/>
          </a:sysClr>
        </a:solidFill>
        <a:ln w="25400" cap="flat" cmpd="sng" algn="ctr">
          <a:solidFill>
            <a:srgbClr val="9BBB59">
              <a:shade val="80000"/>
              <a:hueOff val="0"/>
              <a:satOff val="0"/>
              <a:lumOff val="0"/>
              <a:alphaOff val="0"/>
            </a:srgbClr>
          </a:solidFill>
          <a:prstDash val="solid"/>
        </a:ln>
        <a:effectLst/>
      </dgm:spPr>
    </dgm:pt>
  </dgm:ptLst>
  <dgm:cxnLst>
    <dgm:cxn modelId="{7B790116-DFEC-45FE-BAFC-D32463513117}" srcId="{02C966CB-5D4D-4322-8EB2-E0CBB0D5C886}" destId="{7A117C5F-F33A-444D-AC9C-C7AB5ABFCFA2}" srcOrd="0" destOrd="0" parTransId="{13376E12-26BD-4A16-BD53-8CBC3F0A3912}" sibTransId="{57CBE148-DFCC-4BA7-9BA8-2503AB5CC108}"/>
    <dgm:cxn modelId="{89295F48-6938-4EA1-B53E-306A5FF3362C}" type="presOf" srcId="{7A117C5F-F33A-444D-AC9C-C7AB5ABFCFA2}" destId="{8E6C9774-EBDC-4976-BA1F-01D68D815A53}" srcOrd="0" destOrd="0" presId="urn:microsoft.com/office/officeart/2005/8/layout/list1"/>
    <dgm:cxn modelId="{87320383-D9C1-49EC-8CF5-1A7759215024}" type="presOf" srcId="{02C966CB-5D4D-4322-8EB2-E0CBB0D5C886}" destId="{9D93879B-80B7-4388-AAF6-CB1B0A029769}" srcOrd="0" destOrd="0" presId="urn:microsoft.com/office/officeart/2005/8/layout/list1"/>
    <dgm:cxn modelId="{9AE305FC-2F5F-4F34-BE57-74AADFF8786D}" type="presOf" srcId="{7A117C5F-F33A-444D-AC9C-C7AB5ABFCFA2}" destId="{835564A4-7921-4905-B6FE-E7828F236B5E}" srcOrd="1" destOrd="0" presId="urn:microsoft.com/office/officeart/2005/8/layout/list1"/>
    <dgm:cxn modelId="{7A930B40-D726-4971-AAF7-1134DE6C9E0E}" type="presParOf" srcId="{9D93879B-80B7-4388-AAF6-CB1B0A029769}" destId="{38CBE1DD-7D95-4598-8863-C2E7480CA9B4}" srcOrd="0" destOrd="0" presId="urn:microsoft.com/office/officeart/2005/8/layout/list1"/>
    <dgm:cxn modelId="{3F960BAD-B8DB-42BD-9F1A-71FBB742350B}" type="presParOf" srcId="{38CBE1DD-7D95-4598-8863-C2E7480CA9B4}" destId="{8E6C9774-EBDC-4976-BA1F-01D68D815A53}" srcOrd="0" destOrd="0" presId="urn:microsoft.com/office/officeart/2005/8/layout/list1"/>
    <dgm:cxn modelId="{CCD55A90-C5B2-4788-9BDB-CE10910C925C}" type="presParOf" srcId="{38CBE1DD-7D95-4598-8863-C2E7480CA9B4}" destId="{835564A4-7921-4905-B6FE-E7828F236B5E}" srcOrd="1" destOrd="0" presId="urn:microsoft.com/office/officeart/2005/8/layout/list1"/>
    <dgm:cxn modelId="{066568DE-68B2-49A8-BE3A-20BF2ED85952}" type="presParOf" srcId="{9D93879B-80B7-4388-AAF6-CB1B0A029769}" destId="{3FDCB001-E924-417E-AE94-2331D2A446ED}" srcOrd="1" destOrd="0" presId="urn:microsoft.com/office/officeart/2005/8/layout/list1"/>
    <dgm:cxn modelId="{E32D553B-0036-4BB1-A002-DCC986F74B94}" type="presParOf" srcId="{9D93879B-80B7-4388-AAF6-CB1B0A029769}" destId="{77D7B335-AE2F-4986-A065-EF23ECB396F9}" srcOrd="2" destOrd="0" presId="urn:microsoft.com/office/officeart/2005/8/layout/list1"/>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DF7295F4-C485-4931-A1A1-A9947068E4E8}" type="doc">
      <dgm:prSet loTypeId="urn:microsoft.com/office/officeart/2005/8/layout/venn1" loCatId="relationship" qsTypeId="urn:microsoft.com/office/officeart/2005/8/quickstyle/simple2" qsCatId="simple" csTypeId="urn:microsoft.com/office/officeart/2005/8/colors/colorful3" csCatId="colorful" phldr="1"/>
      <dgm:spPr/>
    </dgm:pt>
    <dgm:pt modelId="{8A5FCC59-6DE9-4FAC-9A26-C2F11386D6F0}">
      <dgm:prSet phldrT="[Tekst]" custT="1"/>
      <dgm:spPr>
        <a:xfrm>
          <a:off x="-13" y="0"/>
          <a:ext cx="3959990" cy="3024002"/>
        </a:xfrm>
        <a:solidFill>
          <a:srgbClr val="C0CF3A">
            <a:alpha val="50000"/>
            <a:hueOff val="0"/>
            <a:satOff val="0"/>
            <a:lumOff val="0"/>
            <a:alphaOff val="0"/>
          </a:srgbClr>
        </a:solidFill>
        <a:ln w="38100" cap="flat" cmpd="sng" algn="ctr">
          <a:solidFill>
            <a:sysClr val="window" lastClr="FFFFFF">
              <a:hueOff val="0"/>
              <a:satOff val="0"/>
              <a:lumOff val="0"/>
              <a:alphaOff val="0"/>
            </a:sysClr>
          </a:solidFill>
          <a:prstDash val="solid"/>
        </a:ln>
        <a:effectLst/>
      </dgm:spPr>
      <dgm:t>
        <a:bodyPr/>
        <a:lstStyle/>
        <a:p>
          <a:r>
            <a:rPr lang="pl-PL" sz="900">
              <a:solidFill>
                <a:sysClr val="windowText" lastClr="000000">
                  <a:hueOff val="0"/>
                  <a:satOff val="0"/>
                  <a:lumOff val="0"/>
                  <a:alphaOff val="0"/>
                </a:sysClr>
              </a:solidFill>
              <a:latin typeface="Calibri"/>
              <a:ea typeface="+mn-ea"/>
              <a:cs typeface="+mn-cs"/>
            </a:rPr>
            <a:t> </a:t>
          </a:r>
          <a:endParaRPr lang="en-GB" sz="900">
            <a:solidFill>
              <a:sysClr val="windowText" lastClr="000000">
                <a:hueOff val="0"/>
                <a:satOff val="0"/>
                <a:lumOff val="0"/>
                <a:alphaOff val="0"/>
              </a:sysClr>
            </a:solidFill>
            <a:latin typeface="Calibri"/>
            <a:ea typeface="+mn-ea"/>
            <a:cs typeface="+mn-cs"/>
          </a:endParaRPr>
        </a:p>
      </dgm:t>
    </dgm:pt>
    <dgm:pt modelId="{749C777B-E347-4666-BF8E-390B460A0BA2}" type="parTrans" cxnId="{6FC3038C-5BD1-41E9-B6D1-832329ED8AF0}">
      <dgm:prSet/>
      <dgm:spPr/>
      <dgm:t>
        <a:bodyPr/>
        <a:lstStyle/>
        <a:p>
          <a:endParaRPr lang="en-GB" sz="900"/>
        </a:p>
      </dgm:t>
    </dgm:pt>
    <dgm:pt modelId="{38279AD9-CD74-4706-AA9C-2758C0D26760}" type="sibTrans" cxnId="{6FC3038C-5BD1-41E9-B6D1-832329ED8AF0}">
      <dgm:prSet/>
      <dgm:spPr/>
      <dgm:t>
        <a:bodyPr/>
        <a:lstStyle/>
        <a:p>
          <a:endParaRPr lang="en-GB" sz="900"/>
        </a:p>
      </dgm:t>
    </dgm:pt>
    <dgm:pt modelId="{606008CC-D0B0-469D-ABDA-22BD2897E599}">
      <dgm:prSet phldrT="[Tekst]" custT="1"/>
      <dgm:spPr>
        <a:xfrm>
          <a:off x="1641400" y="109722"/>
          <a:ext cx="3959990" cy="3024002"/>
        </a:xfrm>
        <a:solidFill>
          <a:srgbClr val="4AB5C4">
            <a:lumMod val="60000"/>
            <a:lumOff val="40000"/>
            <a:alpha val="50000"/>
          </a:srgbClr>
        </a:solidFill>
        <a:ln w="38100" cap="flat" cmpd="sng" algn="ctr">
          <a:solidFill>
            <a:sysClr val="window" lastClr="FFFFFF">
              <a:hueOff val="0"/>
              <a:satOff val="0"/>
              <a:lumOff val="0"/>
              <a:alphaOff val="0"/>
            </a:sysClr>
          </a:solidFill>
          <a:prstDash val="solid"/>
        </a:ln>
        <a:effectLst/>
      </dgm:spPr>
      <dgm:t>
        <a:bodyPr/>
        <a:lstStyle/>
        <a:p>
          <a:r>
            <a:rPr lang="pl-PL" sz="900">
              <a:solidFill>
                <a:sysClr val="windowText" lastClr="000000">
                  <a:hueOff val="0"/>
                  <a:satOff val="0"/>
                  <a:lumOff val="0"/>
                  <a:alphaOff val="0"/>
                </a:sysClr>
              </a:solidFill>
              <a:latin typeface="Calibri"/>
              <a:ea typeface="+mn-ea"/>
              <a:cs typeface="+mn-cs"/>
            </a:rPr>
            <a:t> </a:t>
          </a:r>
          <a:endParaRPr lang="en-GB" sz="900">
            <a:solidFill>
              <a:sysClr val="windowText" lastClr="000000">
                <a:hueOff val="0"/>
                <a:satOff val="0"/>
                <a:lumOff val="0"/>
                <a:alphaOff val="0"/>
              </a:sysClr>
            </a:solidFill>
            <a:latin typeface="Calibri"/>
            <a:ea typeface="+mn-ea"/>
            <a:cs typeface="+mn-cs"/>
          </a:endParaRPr>
        </a:p>
      </dgm:t>
    </dgm:pt>
    <dgm:pt modelId="{3AD99DB3-E916-4841-B2F4-7CC2E425A2EC}" type="parTrans" cxnId="{21535674-57F7-44AA-87F0-C1618C27AB72}">
      <dgm:prSet/>
      <dgm:spPr/>
      <dgm:t>
        <a:bodyPr/>
        <a:lstStyle/>
        <a:p>
          <a:endParaRPr lang="en-GB" sz="900"/>
        </a:p>
      </dgm:t>
    </dgm:pt>
    <dgm:pt modelId="{C21AC3C9-5098-4AE3-B931-786AF542F9D6}" type="sibTrans" cxnId="{21535674-57F7-44AA-87F0-C1618C27AB72}">
      <dgm:prSet/>
      <dgm:spPr/>
      <dgm:t>
        <a:bodyPr/>
        <a:lstStyle/>
        <a:p>
          <a:endParaRPr lang="en-GB" sz="900"/>
        </a:p>
      </dgm:t>
    </dgm:pt>
    <dgm:pt modelId="{EF65EFE8-B633-4738-AD92-C2039A91C381}" type="pres">
      <dgm:prSet presAssocID="{DF7295F4-C485-4931-A1A1-A9947068E4E8}" presName="compositeShape" presStyleCnt="0">
        <dgm:presLayoutVars>
          <dgm:chMax val="7"/>
          <dgm:dir/>
          <dgm:resizeHandles val="exact"/>
        </dgm:presLayoutVars>
      </dgm:prSet>
      <dgm:spPr/>
    </dgm:pt>
    <dgm:pt modelId="{0B6C6726-9C95-4E5F-AEB8-89010EE9B70A}" type="pres">
      <dgm:prSet presAssocID="{8A5FCC59-6DE9-4FAC-9A26-C2F11386D6F0}" presName="circ1" presStyleLbl="vennNode1" presStyleIdx="0" presStyleCnt="2" custScaleX="130051" custScaleY="99312" custLinFactNeighborX="10971" custLinFactNeighborY="-2553"/>
      <dgm:spPr>
        <a:prstGeom prst="ellipse">
          <a:avLst/>
        </a:prstGeom>
      </dgm:spPr>
    </dgm:pt>
    <dgm:pt modelId="{8524B917-7600-4028-8435-D2DD207DAE50}" type="pres">
      <dgm:prSet presAssocID="{8A5FCC59-6DE9-4FAC-9A26-C2F11386D6F0}" presName="circ1Tx" presStyleLbl="revTx" presStyleIdx="0" presStyleCnt="0">
        <dgm:presLayoutVars>
          <dgm:chMax val="0"/>
          <dgm:chPref val="0"/>
          <dgm:bulletEnabled val="1"/>
        </dgm:presLayoutVars>
      </dgm:prSet>
      <dgm:spPr/>
    </dgm:pt>
    <dgm:pt modelId="{41545029-A804-49DA-BDBD-0B7A212A207D}" type="pres">
      <dgm:prSet presAssocID="{606008CC-D0B0-469D-ABDA-22BD2897E599}" presName="circ2" presStyleLbl="vennNode1" presStyleIdx="1" presStyleCnt="2" custScaleX="130051" custScaleY="99312" custLinFactNeighborX="-5034" custLinFactNeighborY="477"/>
      <dgm:spPr>
        <a:prstGeom prst="ellipse">
          <a:avLst/>
        </a:prstGeom>
      </dgm:spPr>
    </dgm:pt>
    <dgm:pt modelId="{6161D680-DBAE-4498-9202-A6ED3C46D51A}" type="pres">
      <dgm:prSet presAssocID="{606008CC-D0B0-469D-ABDA-22BD2897E599}" presName="circ2Tx" presStyleLbl="revTx" presStyleIdx="0" presStyleCnt="0">
        <dgm:presLayoutVars>
          <dgm:chMax val="0"/>
          <dgm:chPref val="0"/>
          <dgm:bulletEnabled val="1"/>
        </dgm:presLayoutVars>
      </dgm:prSet>
      <dgm:spPr/>
    </dgm:pt>
  </dgm:ptLst>
  <dgm:cxnLst>
    <dgm:cxn modelId="{1447370B-8346-428F-A3AB-7E1CB6B41C5F}" type="presOf" srcId="{8A5FCC59-6DE9-4FAC-9A26-C2F11386D6F0}" destId="{8524B917-7600-4028-8435-D2DD207DAE50}" srcOrd="1" destOrd="0" presId="urn:microsoft.com/office/officeart/2005/8/layout/venn1"/>
    <dgm:cxn modelId="{2D516041-C26A-4C4E-8686-350D74875972}" type="presOf" srcId="{606008CC-D0B0-469D-ABDA-22BD2897E599}" destId="{41545029-A804-49DA-BDBD-0B7A212A207D}" srcOrd="0" destOrd="0" presId="urn:microsoft.com/office/officeart/2005/8/layout/venn1"/>
    <dgm:cxn modelId="{8A31F944-1027-43EB-94A1-D744CB76E2B0}" type="presOf" srcId="{DF7295F4-C485-4931-A1A1-A9947068E4E8}" destId="{EF65EFE8-B633-4738-AD92-C2039A91C381}" srcOrd="0" destOrd="0" presId="urn:microsoft.com/office/officeart/2005/8/layout/venn1"/>
    <dgm:cxn modelId="{21535674-57F7-44AA-87F0-C1618C27AB72}" srcId="{DF7295F4-C485-4931-A1A1-A9947068E4E8}" destId="{606008CC-D0B0-469D-ABDA-22BD2897E599}" srcOrd="1" destOrd="0" parTransId="{3AD99DB3-E916-4841-B2F4-7CC2E425A2EC}" sibTransId="{C21AC3C9-5098-4AE3-B931-786AF542F9D6}"/>
    <dgm:cxn modelId="{1385D478-1103-44F9-9243-301E232A8C3A}" type="presOf" srcId="{606008CC-D0B0-469D-ABDA-22BD2897E599}" destId="{6161D680-DBAE-4498-9202-A6ED3C46D51A}" srcOrd="1" destOrd="0" presId="urn:microsoft.com/office/officeart/2005/8/layout/venn1"/>
    <dgm:cxn modelId="{6FC3038C-5BD1-41E9-B6D1-832329ED8AF0}" srcId="{DF7295F4-C485-4931-A1A1-A9947068E4E8}" destId="{8A5FCC59-6DE9-4FAC-9A26-C2F11386D6F0}" srcOrd="0" destOrd="0" parTransId="{749C777B-E347-4666-BF8E-390B460A0BA2}" sibTransId="{38279AD9-CD74-4706-AA9C-2758C0D26760}"/>
    <dgm:cxn modelId="{A2D09DF1-DF28-4872-AD7B-825C77102ABB}" type="presOf" srcId="{8A5FCC59-6DE9-4FAC-9A26-C2F11386D6F0}" destId="{0B6C6726-9C95-4E5F-AEB8-89010EE9B70A}" srcOrd="0" destOrd="0" presId="urn:microsoft.com/office/officeart/2005/8/layout/venn1"/>
    <dgm:cxn modelId="{EE4386E8-7EA3-4761-854C-08C62252FC95}" type="presParOf" srcId="{EF65EFE8-B633-4738-AD92-C2039A91C381}" destId="{0B6C6726-9C95-4E5F-AEB8-89010EE9B70A}" srcOrd="0" destOrd="0" presId="urn:microsoft.com/office/officeart/2005/8/layout/venn1"/>
    <dgm:cxn modelId="{02AD63CE-AF3B-4637-8747-5DD95E52F5EF}" type="presParOf" srcId="{EF65EFE8-B633-4738-AD92-C2039A91C381}" destId="{8524B917-7600-4028-8435-D2DD207DAE50}" srcOrd="1" destOrd="0" presId="urn:microsoft.com/office/officeart/2005/8/layout/venn1"/>
    <dgm:cxn modelId="{C21298C7-ED43-4114-B3B3-CC912D61A871}" type="presParOf" srcId="{EF65EFE8-B633-4738-AD92-C2039A91C381}" destId="{41545029-A804-49DA-BDBD-0B7A212A207D}" srcOrd="2" destOrd="0" presId="urn:microsoft.com/office/officeart/2005/8/layout/venn1"/>
    <dgm:cxn modelId="{13167876-38A8-4851-B33B-FC0D8B0E9668}" type="presParOf" srcId="{EF65EFE8-B633-4738-AD92-C2039A91C381}" destId="{6161D680-DBAE-4498-9202-A6ED3C46D51A}" srcOrd="3" destOrd="0" presId="urn:microsoft.com/office/officeart/2005/8/layout/venn1"/>
  </dgm:cxnLst>
  <dgm:bg/>
  <dgm:whole/>
  <dgm:extLst>
    <a:ext uri="http://schemas.microsoft.com/office/drawing/2008/diagram">
      <dsp:dataModelExt xmlns:dsp="http://schemas.microsoft.com/office/drawing/2008/diagram" relId="rId154"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A233248A-2574-409C-A1BD-27C26DCF4A83}" type="doc">
      <dgm:prSet loTypeId="urn:microsoft.com/office/officeart/2005/8/layout/hList1" loCatId="list" qsTypeId="urn:microsoft.com/office/officeart/2005/8/quickstyle/simple1" qsCatId="simple" csTypeId="urn:microsoft.com/office/officeart/2005/8/colors/accent1_2" csCatId="accent1" phldr="1"/>
      <dgm:spPr/>
      <dgm:t>
        <a:bodyPr/>
        <a:lstStyle/>
        <a:p>
          <a:endParaRPr lang="pl-PL"/>
        </a:p>
      </dgm:t>
    </dgm:pt>
    <dgm:pt modelId="{2ED9A06D-BFE8-4EAF-9FE5-C425E80D82B1}">
      <dgm:prSet phldrT="[Tekst]"/>
      <dgm:spPr/>
      <dgm:t>
        <a:bodyPr/>
        <a:lstStyle/>
        <a:p>
          <a:r>
            <a:rPr lang="pl-PL"/>
            <a:t>Wskaźniki produktu</a:t>
          </a:r>
        </a:p>
      </dgm:t>
    </dgm:pt>
    <dgm:pt modelId="{3A87248A-F326-49EE-8E2E-4C29B14CB31E}" type="parTrans" cxnId="{69127B62-E15C-4936-BE52-1BAEFF88F513}">
      <dgm:prSet/>
      <dgm:spPr/>
      <dgm:t>
        <a:bodyPr/>
        <a:lstStyle/>
        <a:p>
          <a:endParaRPr lang="pl-PL"/>
        </a:p>
      </dgm:t>
    </dgm:pt>
    <dgm:pt modelId="{83B920DF-D860-4230-9459-52737A998D74}" type="sibTrans" cxnId="{69127B62-E15C-4936-BE52-1BAEFF88F513}">
      <dgm:prSet/>
      <dgm:spPr/>
      <dgm:t>
        <a:bodyPr/>
        <a:lstStyle/>
        <a:p>
          <a:endParaRPr lang="pl-PL"/>
        </a:p>
      </dgm:t>
    </dgm:pt>
    <dgm:pt modelId="{0D25E4F7-73B7-4387-AEDB-62C1110E1500}">
      <dgm:prSet phldrT="[Tekst]"/>
      <dgm:spPr/>
      <dgm:t>
        <a:bodyPr/>
        <a:lstStyle/>
        <a:p>
          <a:pPr algn="l"/>
          <a:r>
            <a:rPr lang="pl-PL"/>
            <a:t>Określają to, co powstanie w wyniku realizacji działania adaptacyjnego. Produkt stanowi „dowód”, że działanie zostało wykonane. Wskaźniki produktu mogą mieć również charakter binarny (tak/nie)</a:t>
          </a:r>
        </a:p>
      </dgm:t>
    </dgm:pt>
    <dgm:pt modelId="{A9E7B6F4-8EAA-4E42-9D56-55044A11AB17}" type="parTrans" cxnId="{D3EA6A92-54FF-4D8C-907E-C8C7429A3602}">
      <dgm:prSet/>
      <dgm:spPr/>
      <dgm:t>
        <a:bodyPr/>
        <a:lstStyle/>
        <a:p>
          <a:endParaRPr lang="pl-PL"/>
        </a:p>
      </dgm:t>
    </dgm:pt>
    <dgm:pt modelId="{029CE9A9-2DCB-41D6-BFD5-6C69DB1C161B}" type="sibTrans" cxnId="{D3EA6A92-54FF-4D8C-907E-C8C7429A3602}">
      <dgm:prSet/>
      <dgm:spPr/>
      <dgm:t>
        <a:bodyPr/>
        <a:lstStyle/>
        <a:p>
          <a:endParaRPr lang="pl-PL"/>
        </a:p>
      </dgm:t>
    </dgm:pt>
    <dgm:pt modelId="{0E7F65DF-95B3-4A83-9A21-D2B3AD360494}">
      <dgm:prSet phldrT="[Tekst]"/>
      <dgm:spPr/>
      <dgm:t>
        <a:bodyPr/>
        <a:lstStyle/>
        <a:p>
          <a:r>
            <a:rPr lang="pl-PL"/>
            <a:t>Wskaźniki rezultatu</a:t>
          </a:r>
        </a:p>
      </dgm:t>
    </dgm:pt>
    <dgm:pt modelId="{77ACAFFA-1859-4826-8349-5B1EAA9BF168}" type="parTrans" cxnId="{9AA7ACC6-7E64-476E-8685-9E286D4A8A6F}">
      <dgm:prSet/>
      <dgm:spPr/>
      <dgm:t>
        <a:bodyPr/>
        <a:lstStyle/>
        <a:p>
          <a:endParaRPr lang="pl-PL"/>
        </a:p>
      </dgm:t>
    </dgm:pt>
    <dgm:pt modelId="{A39DF740-1011-4188-B126-D2A15993A741}" type="sibTrans" cxnId="{9AA7ACC6-7E64-476E-8685-9E286D4A8A6F}">
      <dgm:prSet/>
      <dgm:spPr/>
      <dgm:t>
        <a:bodyPr/>
        <a:lstStyle/>
        <a:p>
          <a:endParaRPr lang="pl-PL"/>
        </a:p>
      </dgm:t>
    </dgm:pt>
    <dgm:pt modelId="{7EC387CC-0F4E-40F5-8771-E088EB81583B}">
      <dgm:prSet phldrT="[Tekst]"/>
      <dgm:spPr/>
      <dgm:t>
        <a:bodyPr/>
        <a:lstStyle/>
        <a:p>
          <a:r>
            <a:rPr lang="pl-PL"/>
            <a:t>Bezpośredni skutek realizacji działania adaptacyjnego. Skutek ten powstaje w krótkim czasie po zakończeniu realizacji działania</a:t>
          </a:r>
        </a:p>
      </dgm:t>
    </dgm:pt>
    <dgm:pt modelId="{5DBD4EE2-9E42-4431-9C97-50B0A55D866C}" type="parTrans" cxnId="{F304CE3D-B3F5-414C-A72F-14AFA3DE8FE3}">
      <dgm:prSet/>
      <dgm:spPr/>
      <dgm:t>
        <a:bodyPr/>
        <a:lstStyle/>
        <a:p>
          <a:endParaRPr lang="pl-PL"/>
        </a:p>
      </dgm:t>
    </dgm:pt>
    <dgm:pt modelId="{7ED30C96-EB71-4614-98B9-F8B8D0156108}" type="sibTrans" cxnId="{F304CE3D-B3F5-414C-A72F-14AFA3DE8FE3}">
      <dgm:prSet/>
      <dgm:spPr/>
      <dgm:t>
        <a:bodyPr/>
        <a:lstStyle/>
        <a:p>
          <a:endParaRPr lang="pl-PL"/>
        </a:p>
      </dgm:t>
    </dgm:pt>
    <dgm:pt modelId="{DD4E7575-2DC0-40D3-BABF-8E798C0A0205}">
      <dgm:prSet phldrT="[Tekst]"/>
      <dgm:spPr/>
      <dgm:t>
        <a:bodyPr/>
        <a:lstStyle/>
        <a:p>
          <a:r>
            <a:rPr lang="pl-PL"/>
            <a:t>Wskaźniki oddziaływania</a:t>
          </a:r>
        </a:p>
      </dgm:t>
    </dgm:pt>
    <dgm:pt modelId="{D98DB074-A40E-4DF9-AD04-6343AB2CFABC}" type="parTrans" cxnId="{0735AFFE-F650-4AA7-92E0-140453A11330}">
      <dgm:prSet/>
      <dgm:spPr/>
      <dgm:t>
        <a:bodyPr/>
        <a:lstStyle/>
        <a:p>
          <a:endParaRPr lang="pl-PL"/>
        </a:p>
      </dgm:t>
    </dgm:pt>
    <dgm:pt modelId="{7E89902C-674D-4EAB-B754-2493D00804EC}" type="sibTrans" cxnId="{0735AFFE-F650-4AA7-92E0-140453A11330}">
      <dgm:prSet/>
      <dgm:spPr/>
      <dgm:t>
        <a:bodyPr/>
        <a:lstStyle/>
        <a:p>
          <a:endParaRPr lang="pl-PL"/>
        </a:p>
      </dgm:t>
    </dgm:pt>
    <dgm:pt modelId="{1893037A-73AB-418F-BEE7-0B2C3F3674A4}">
      <dgm:prSet phldrT="[Tekst]"/>
      <dgm:spPr/>
      <dgm:t>
        <a:bodyPr/>
        <a:lstStyle/>
        <a:p>
          <a:r>
            <a:rPr lang="pl-PL"/>
            <a:t>Długookresowy wynik realizacji planu (poprawa sytuacji w mieście w zakresie odczuwania skutków zmian klimatu), mierzone również w sposób jakościowy (opisowo)</a:t>
          </a:r>
        </a:p>
      </dgm:t>
    </dgm:pt>
    <dgm:pt modelId="{798B460C-AEA3-4512-BD29-F3479F6BC953}" type="parTrans" cxnId="{75F635A9-146D-4D18-8070-9F44557F2FA8}">
      <dgm:prSet/>
      <dgm:spPr/>
      <dgm:t>
        <a:bodyPr/>
        <a:lstStyle/>
        <a:p>
          <a:endParaRPr lang="pl-PL"/>
        </a:p>
      </dgm:t>
    </dgm:pt>
    <dgm:pt modelId="{EE3E2B87-88B3-4E03-9DE3-EA7B5BCCD3DA}" type="sibTrans" cxnId="{75F635A9-146D-4D18-8070-9F44557F2FA8}">
      <dgm:prSet/>
      <dgm:spPr/>
      <dgm:t>
        <a:bodyPr/>
        <a:lstStyle/>
        <a:p>
          <a:endParaRPr lang="pl-PL"/>
        </a:p>
      </dgm:t>
    </dgm:pt>
    <dgm:pt modelId="{3A7C3089-DC77-43BB-9FBC-7CED1AA213D5}" type="pres">
      <dgm:prSet presAssocID="{A233248A-2574-409C-A1BD-27C26DCF4A83}" presName="Name0" presStyleCnt="0">
        <dgm:presLayoutVars>
          <dgm:dir/>
          <dgm:animLvl val="lvl"/>
          <dgm:resizeHandles val="exact"/>
        </dgm:presLayoutVars>
      </dgm:prSet>
      <dgm:spPr/>
    </dgm:pt>
    <dgm:pt modelId="{CCF34AEC-B517-4AEA-8180-F8F3A75EFC5C}" type="pres">
      <dgm:prSet presAssocID="{2ED9A06D-BFE8-4EAF-9FE5-C425E80D82B1}" presName="composite" presStyleCnt="0"/>
      <dgm:spPr/>
    </dgm:pt>
    <dgm:pt modelId="{7B3CB8E7-7DB5-48CD-9FC0-F46148E4578F}" type="pres">
      <dgm:prSet presAssocID="{2ED9A06D-BFE8-4EAF-9FE5-C425E80D82B1}" presName="parTx" presStyleLbl="alignNode1" presStyleIdx="0" presStyleCnt="3">
        <dgm:presLayoutVars>
          <dgm:chMax val="0"/>
          <dgm:chPref val="0"/>
          <dgm:bulletEnabled val="1"/>
        </dgm:presLayoutVars>
      </dgm:prSet>
      <dgm:spPr/>
    </dgm:pt>
    <dgm:pt modelId="{CCD6D66D-27BE-4397-A599-85A9413274A0}" type="pres">
      <dgm:prSet presAssocID="{2ED9A06D-BFE8-4EAF-9FE5-C425E80D82B1}" presName="desTx" presStyleLbl="alignAccFollowNode1" presStyleIdx="0" presStyleCnt="3">
        <dgm:presLayoutVars>
          <dgm:bulletEnabled val="1"/>
        </dgm:presLayoutVars>
      </dgm:prSet>
      <dgm:spPr/>
    </dgm:pt>
    <dgm:pt modelId="{1AB58638-CB7B-41AD-A429-4B8A3777BFD6}" type="pres">
      <dgm:prSet presAssocID="{83B920DF-D860-4230-9459-52737A998D74}" presName="space" presStyleCnt="0"/>
      <dgm:spPr/>
    </dgm:pt>
    <dgm:pt modelId="{B474A0CF-1FE1-4995-8B81-377032640B72}" type="pres">
      <dgm:prSet presAssocID="{0E7F65DF-95B3-4A83-9A21-D2B3AD360494}" presName="composite" presStyleCnt="0"/>
      <dgm:spPr/>
    </dgm:pt>
    <dgm:pt modelId="{27BE6D52-FFD6-4E06-BF9B-C1AE5FC81032}" type="pres">
      <dgm:prSet presAssocID="{0E7F65DF-95B3-4A83-9A21-D2B3AD360494}" presName="parTx" presStyleLbl="alignNode1" presStyleIdx="1" presStyleCnt="3">
        <dgm:presLayoutVars>
          <dgm:chMax val="0"/>
          <dgm:chPref val="0"/>
          <dgm:bulletEnabled val="1"/>
        </dgm:presLayoutVars>
      </dgm:prSet>
      <dgm:spPr/>
    </dgm:pt>
    <dgm:pt modelId="{0C632FD6-430C-4E9A-9259-876A27C1314F}" type="pres">
      <dgm:prSet presAssocID="{0E7F65DF-95B3-4A83-9A21-D2B3AD360494}" presName="desTx" presStyleLbl="alignAccFollowNode1" presStyleIdx="1" presStyleCnt="3">
        <dgm:presLayoutVars>
          <dgm:bulletEnabled val="1"/>
        </dgm:presLayoutVars>
      </dgm:prSet>
      <dgm:spPr/>
    </dgm:pt>
    <dgm:pt modelId="{93E86F7F-1C39-4B71-84A4-61BC52395E57}" type="pres">
      <dgm:prSet presAssocID="{A39DF740-1011-4188-B126-D2A15993A741}" presName="space" presStyleCnt="0"/>
      <dgm:spPr/>
    </dgm:pt>
    <dgm:pt modelId="{40F10E56-242A-4D81-9287-F53AF1EC4D36}" type="pres">
      <dgm:prSet presAssocID="{DD4E7575-2DC0-40D3-BABF-8E798C0A0205}" presName="composite" presStyleCnt="0"/>
      <dgm:spPr/>
    </dgm:pt>
    <dgm:pt modelId="{D25AB72A-4B35-4B0B-A81D-B3DD593BD207}" type="pres">
      <dgm:prSet presAssocID="{DD4E7575-2DC0-40D3-BABF-8E798C0A0205}" presName="parTx" presStyleLbl="alignNode1" presStyleIdx="2" presStyleCnt="3">
        <dgm:presLayoutVars>
          <dgm:chMax val="0"/>
          <dgm:chPref val="0"/>
          <dgm:bulletEnabled val="1"/>
        </dgm:presLayoutVars>
      </dgm:prSet>
      <dgm:spPr/>
    </dgm:pt>
    <dgm:pt modelId="{A7F15FF3-BE18-4BFC-A8B1-A3D344A6BEA3}" type="pres">
      <dgm:prSet presAssocID="{DD4E7575-2DC0-40D3-BABF-8E798C0A0205}" presName="desTx" presStyleLbl="alignAccFollowNode1" presStyleIdx="2" presStyleCnt="3">
        <dgm:presLayoutVars>
          <dgm:bulletEnabled val="1"/>
        </dgm:presLayoutVars>
      </dgm:prSet>
      <dgm:spPr/>
    </dgm:pt>
  </dgm:ptLst>
  <dgm:cxnLst>
    <dgm:cxn modelId="{FF914216-50F2-4DA0-B97C-99F191EC4783}" type="presOf" srcId="{DD4E7575-2DC0-40D3-BABF-8E798C0A0205}" destId="{D25AB72A-4B35-4B0B-A81D-B3DD593BD207}" srcOrd="0" destOrd="0" presId="urn:microsoft.com/office/officeart/2005/8/layout/hList1"/>
    <dgm:cxn modelId="{F304CE3D-B3F5-414C-A72F-14AFA3DE8FE3}" srcId="{0E7F65DF-95B3-4A83-9A21-D2B3AD360494}" destId="{7EC387CC-0F4E-40F5-8771-E088EB81583B}" srcOrd="0" destOrd="0" parTransId="{5DBD4EE2-9E42-4431-9C97-50B0A55D866C}" sibTransId="{7ED30C96-EB71-4614-98B9-F8B8D0156108}"/>
    <dgm:cxn modelId="{69127B62-E15C-4936-BE52-1BAEFF88F513}" srcId="{A233248A-2574-409C-A1BD-27C26DCF4A83}" destId="{2ED9A06D-BFE8-4EAF-9FE5-C425E80D82B1}" srcOrd="0" destOrd="0" parTransId="{3A87248A-F326-49EE-8E2E-4C29B14CB31E}" sibTransId="{83B920DF-D860-4230-9459-52737A998D74}"/>
    <dgm:cxn modelId="{EF095B43-BD6D-48C8-9A32-92DC8933E005}" type="presOf" srcId="{A233248A-2574-409C-A1BD-27C26DCF4A83}" destId="{3A7C3089-DC77-43BB-9FBC-7CED1AA213D5}" srcOrd="0" destOrd="0" presId="urn:microsoft.com/office/officeart/2005/8/layout/hList1"/>
    <dgm:cxn modelId="{7BBBFD4C-528A-4E18-8AA6-480B78020B26}" type="presOf" srcId="{0E7F65DF-95B3-4A83-9A21-D2B3AD360494}" destId="{27BE6D52-FFD6-4E06-BF9B-C1AE5FC81032}" srcOrd="0" destOrd="0" presId="urn:microsoft.com/office/officeart/2005/8/layout/hList1"/>
    <dgm:cxn modelId="{18067D82-711D-45EE-A941-66F7B0729B29}" type="presOf" srcId="{7EC387CC-0F4E-40F5-8771-E088EB81583B}" destId="{0C632FD6-430C-4E9A-9259-876A27C1314F}" srcOrd="0" destOrd="0" presId="urn:microsoft.com/office/officeart/2005/8/layout/hList1"/>
    <dgm:cxn modelId="{94800C8C-0A20-439D-B28C-BA8CEA1BA13D}" type="presOf" srcId="{1893037A-73AB-418F-BEE7-0B2C3F3674A4}" destId="{A7F15FF3-BE18-4BFC-A8B1-A3D344A6BEA3}" srcOrd="0" destOrd="0" presId="urn:microsoft.com/office/officeart/2005/8/layout/hList1"/>
    <dgm:cxn modelId="{D3EA6A92-54FF-4D8C-907E-C8C7429A3602}" srcId="{2ED9A06D-BFE8-4EAF-9FE5-C425E80D82B1}" destId="{0D25E4F7-73B7-4387-AEDB-62C1110E1500}" srcOrd="0" destOrd="0" parTransId="{A9E7B6F4-8EAA-4E42-9D56-55044A11AB17}" sibTransId="{029CE9A9-2DCB-41D6-BFD5-6C69DB1C161B}"/>
    <dgm:cxn modelId="{75F635A9-146D-4D18-8070-9F44557F2FA8}" srcId="{DD4E7575-2DC0-40D3-BABF-8E798C0A0205}" destId="{1893037A-73AB-418F-BEE7-0B2C3F3674A4}" srcOrd="0" destOrd="0" parTransId="{798B460C-AEA3-4512-BD29-F3479F6BC953}" sibTransId="{EE3E2B87-88B3-4E03-9DE3-EA7B5BCCD3DA}"/>
    <dgm:cxn modelId="{E20F5DBA-16C7-49A4-9DB4-0F49E04276FD}" type="presOf" srcId="{2ED9A06D-BFE8-4EAF-9FE5-C425E80D82B1}" destId="{7B3CB8E7-7DB5-48CD-9FC0-F46148E4578F}" srcOrd="0" destOrd="0" presId="urn:microsoft.com/office/officeart/2005/8/layout/hList1"/>
    <dgm:cxn modelId="{9AA7ACC6-7E64-476E-8685-9E286D4A8A6F}" srcId="{A233248A-2574-409C-A1BD-27C26DCF4A83}" destId="{0E7F65DF-95B3-4A83-9A21-D2B3AD360494}" srcOrd="1" destOrd="0" parTransId="{77ACAFFA-1859-4826-8349-5B1EAA9BF168}" sibTransId="{A39DF740-1011-4188-B126-D2A15993A741}"/>
    <dgm:cxn modelId="{399FA0E8-B2ED-44F4-AF53-A3A45A6299EF}" type="presOf" srcId="{0D25E4F7-73B7-4387-AEDB-62C1110E1500}" destId="{CCD6D66D-27BE-4397-A599-85A9413274A0}" srcOrd="0" destOrd="0" presId="urn:microsoft.com/office/officeart/2005/8/layout/hList1"/>
    <dgm:cxn modelId="{0735AFFE-F650-4AA7-92E0-140453A11330}" srcId="{A233248A-2574-409C-A1BD-27C26DCF4A83}" destId="{DD4E7575-2DC0-40D3-BABF-8E798C0A0205}" srcOrd="2" destOrd="0" parTransId="{D98DB074-A40E-4DF9-AD04-6343AB2CFABC}" sibTransId="{7E89902C-674D-4EAB-B754-2493D00804EC}"/>
    <dgm:cxn modelId="{74DCF59C-1298-4C5F-A3FA-359F39DBDCA7}" type="presParOf" srcId="{3A7C3089-DC77-43BB-9FBC-7CED1AA213D5}" destId="{CCF34AEC-B517-4AEA-8180-F8F3A75EFC5C}" srcOrd="0" destOrd="0" presId="urn:microsoft.com/office/officeart/2005/8/layout/hList1"/>
    <dgm:cxn modelId="{B0B0A6BA-8C10-431F-AF58-99D8F1ED1956}" type="presParOf" srcId="{CCF34AEC-B517-4AEA-8180-F8F3A75EFC5C}" destId="{7B3CB8E7-7DB5-48CD-9FC0-F46148E4578F}" srcOrd="0" destOrd="0" presId="urn:microsoft.com/office/officeart/2005/8/layout/hList1"/>
    <dgm:cxn modelId="{2F3C8D84-DFFF-48CC-A6B7-676CF55E965E}" type="presParOf" srcId="{CCF34AEC-B517-4AEA-8180-F8F3A75EFC5C}" destId="{CCD6D66D-27BE-4397-A599-85A9413274A0}" srcOrd="1" destOrd="0" presId="urn:microsoft.com/office/officeart/2005/8/layout/hList1"/>
    <dgm:cxn modelId="{38D7056E-3B6A-4845-9689-D106A17E4F15}" type="presParOf" srcId="{3A7C3089-DC77-43BB-9FBC-7CED1AA213D5}" destId="{1AB58638-CB7B-41AD-A429-4B8A3777BFD6}" srcOrd="1" destOrd="0" presId="urn:microsoft.com/office/officeart/2005/8/layout/hList1"/>
    <dgm:cxn modelId="{3D908F64-ED64-494B-AA5F-642E9E087BD2}" type="presParOf" srcId="{3A7C3089-DC77-43BB-9FBC-7CED1AA213D5}" destId="{B474A0CF-1FE1-4995-8B81-377032640B72}" srcOrd="2" destOrd="0" presId="urn:microsoft.com/office/officeart/2005/8/layout/hList1"/>
    <dgm:cxn modelId="{D8E79E22-677B-4254-80D6-2CB35A5FC010}" type="presParOf" srcId="{B474A0CF-1FE1-4995-8B81-377032640B72}" destId="{27BE6D52-FFD6-4E06-BF9B-C1AE5FC81032}" srcOrd="0" destOrd="0" presId="urn:microsoft.com/office/officeart/2005/8/layout/hList1"/>
    <dgm:cxn modelId="{078F7EF7-E234-4FD8-920C-7D9DAA13A5A0}" type="presParOf" srcId="{B474A0CF-1FE1-4995-8B81-377032640B72}" destId="{0C632FD6-430C-4E9A-9259-876A27C1314F}" srcOrd="1" destOrd="0" presId="urn:microsoft.com/office/officeart/2005/8/layout/hList1"/>
    <dgm:cxn modelId="{AD4EF925-10BF-4EB9-A7A6-820364F32E92}" type="presParOf" srcId="{3A7C3089-DC77-43BB-9FBC-7CED1AA213D5}" destId="{93E86F7F-1C39-4B71-84A4-61BC52395E57}" srcOrd="3" destOrd="0" presId="urn:microsoft.com/office/officeart/2005/8/layout/hList1"/>
    <dgm:cxn modelId="{58E45A09-4775-4572-A587-F53307474DD4}" type="presParOf" srcId="{3A7C3089-DC77-43BB-9FBC-7CED1AA213D5}" destId="{40F10E56-242A-4D81-9287-F53AF1EC4D36}" srcOrd="4" destOrd="0" presId="urn:microsoft.com/office/officeart/2005/8/layout/hList1"/>
    <dgm:cxn modelId="{BA020347-A96E-4875-8B9A-6068ADC304E9}" type="presParOf" srcId="{40F10E56-242A-4D81-9287-F53AF1EC4D36}" destId="{D25AB72A-4B35-4B0B-A81D-B3DD593BD207}" srcOrd="0" destOrd="0" presId="urn:microsoft.com/office/officeart/2005/8/layout/hList1"/>
    <dgm:cxn modelId="{DCDC42E9-7A0F-4866-9962-CAFDA437ADB6}" type="presParOf" srcId="{40F10E56-242A-4D81-9287-F53AF1EC4D36}" destId="{A7F15FF3-BE18-4BFC-A8B1-A3D344A6BEA3}" srcOrd="1" destOrd="0" presId="urn:microsoft.com/office/officeart/2005/8/layout/hList1"/>
  </dgm:cxnLst>
  <dgm:bg/>
  <dgm:whole/>
  <dgm:extLst>
    <a:ext uri="http://schemas.microsoft.com/office/drawing/2008/diagram">
      <dsp:dataModelExt xmlns:dsp="http://schemas.microsoft.com/office/drawing/2008/diagram" relId="rId19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D75E4D5-04DE-4A8E-BB2C-415FF6A37C34}" type="doc">
      <dgm:prSet loTypeId="urn:microsoft.com/office/officeart/2005/8/layout/list1" loCatId="list" qsTypeId="urn:microsoft.com/office/officeart/2005/8/quickstyle/simple1" qsCatId="simple" csTypeId="urn:microsoft.com/office/officeart/2005/8/colors/accent3_3" csCatId="accent3" phldr="1"/>
      <dgm:spPr/>
      <dgm:t>
        <a:bodyPr/>
        <a:lstStyle/>
        <a:p>
          <a:endParaRPr lang="pl-PL"/>
        </a:p>
      </dgm:t>
    </dgm:pt>
    <dgm:pt modelId="{EFB5E83A-A899-4D00-A505-04FDE27742A7}">
      <dgm:prSet phldrT="[Tekst]" custT="1"/>
      <dgm:spPr>
        <a:xfrm>
          <a:off x="288650" y="65673"/>
          <a:ext cx="5291984" cy="441000"/>
        </a:xfrm>
        <a:solidFill>
          <a:srgbClr val="9BBB59">
            <a:shade val="8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pl-PL" sz="1000"/>
            <a:t>Cel 1. Zapewnienie bezpieczeństwa energetycznego i dobrego stanu środowiska</a:t>
          </a:r>
          <a:endParaRPr lang="pl-PL" sz="1000">
            <a:solidFill>
              <a:sysClr val="windowText" lastClr="000000"/>
            </a:solidFill>
            <a:latin typeface="Arial" panose="020B0604020202020204" pitchFamily="34" charset="0"/>
            <a:ea typeface="+mn-ea"/>
            <a:cs typeface="Arial" panose="020B0604020202020204" pitchFamily="34" charset="0"/>
          </a:endParaRPr>
        </a:p>
      </dgm:t>
    </dgm:pt>
    <dgm:pt modelId="{CFB42DF6-12BB-4130-AEBF-FCE63A25AA76}" type="parTrans" cxnId="{D4B63E05-8821-4EB8-BB54-A869ABE8BBBC}">
      <dgm:prSet/>
      <dgm:spPr/>
      <dgm:t>
        <a:bodyPr/>
        <a:lstStyle/>
        <a:p>
          <a:endParaRPr lang="pl-PL"/>
        </a:p>
      </dgm:t>
    </dgm:pt>
    <dgm:pt modelId="{36F4FF93-9D2D-4613-BDA8-F7F7AFB9865F}" type="sibTrans" cxnId="{D4B63E05-8821-4EB8-BB54-A869ABE8BBBC}">
      <dgm:prSet/>
      <dgm:spPr/>
      <dgm:t>
        <a:bodyPr/>
        <a:lstStyle/>
        <a:p>
          <a:endParaRPr lang="pl-PL"/>
        </a:p>
      </dgm:t>
    </dgm:pt>
    <dgm:pt modelId="{90E464D9-7A16-47C2-9450-60B054A49C82}">
      <dgm:prSet custT="1"/>
      <dgm:spPr/>
      <dgm:t>
        <a:bodyPr/>
        <a:lstStyle/>
        <a:p>
          <a:r>
            <a:rPr lang="pl-PL" sz="1000"/>
            <a:t>Cel 2. Odpowiedzialna gospodarka wodna, przeciwdziałająca występowaniu powodzi i suszy</a:t>
          </a:r>
          <a:endParaRPr lang="en-GB" sz="1000"/>
        </a:p>
      </dgm:t>
    </dgm:pt>
    <dgm:pt modelId="{516F990F-22F7-4BEA-B394-B41FDA8A1F2F}" type="parTrans" cxnId="{D9557A61-E360-405F-BC37-79F5131A0646}">
      <dgm:prSet/>
      <dgm:spPr/>
      <dgm:t>
        <a:bodyPr/>
        <a:lstStyle/>
        <a:p>
          <a:endParaRPr lang="en-GB"/>
        </a:p>
      </dgm:t>
    </dgm:pt>
    <dgm:pt modelId="{E2D74917-C934-48D9-8405-C534A68CA81E}" type="sibTrans" cxnId="{D9557A61-E360-405F-BC37-79F5131A0646}">
      <dgm:prSet/>
      <dgm:spPr/>
      <dgm:t>
        <a:bodyPr/>
        <a:lstStyle/>
        <a:p>
          <a:endParaRPr lang="en-GB"/>
        </a:p>
      </dgm:t>
    </dgm:pt>
    <dgm:pt modelId="{3A5E63BC-9216-41C9-AEA3-4E925935E55C}">
      <dgm:prSet custT="1"/>
      <dgm:spPr/>
      <dgm:t>
        <a:bodyPr/>
        <a:lstStyle/>
        <a:p>
          <a:r>
            <a:rPr lang="pl-PL" sz="1000"/>
            <a:t>Cel 3. Rozwój transportu w warunkach zmian klimatu</a:t>
          </a:r>
          <a:endParaRPr lang="en-GB" sz="1000"/>
        </a:p>
      </dgm:t>
    </dgm:pt>
    <dgm:pt modelId="{5D4D647C-932C-4D64-9475-245446A9712A}" type="parTrans" cxnId="{F8FA83DC-91CC-4472-B5CB-0CE324504A5D}">
      <dgm:prSet/>
      <dgm:spPr/>
      <dgm:t>
        <a:bodyPr/>
        <a:lstStyle/>
        <a:p>
          <a:endParaRPr lang="en-GB"/>
        </a:p>
      </dgm:t>
    </dgm:pt>
    <dgm:pt modelId="{5770FA70-A4E4-4055-B234-6FD8CE9558CC}" type="sibTrans" cxnId="{F8FA83DC-91CC-4472-B5CB-0CE324504A5D}">
      <dgm:prSet/>
      <dgm:spPr/>
      <dgm:t>
        <a:bodyPr/>
        <a:lstStyle/>
        <a:p>
          <a:endParaRPr lang="en-GB"/>
        </a:p>
      </dgm:t>
    </dgm:pt>
    <dgm:pt modelId="{17F62854-329D-4C88-A8F9-2ABE3B3C7D57}">
      <dgm:prSet custT="1"/>
      <dgm:spPr/>
      <dgm:t>
        <a:bodyPr/>
        <a:lstStyle/>
        <a:p>
          <a:r>
            <a:rPr lang="pl-PL" sz="1000"/>
            <a:t>Cel 4. Zapewnienie zrównoważonego rozwoju, także obszarów wiejskich, z uwzględnieniem zmian klimatu </a:t>
          </a:r>
          <a:endParaRPr lang="en-GB" sz="1000"/>
        </a:p>
      </dgm:t>
    </dgm:pt>
    <dgm:pt modelId="{DD546234-BB5F-4CF2-80C1-D9CBA036F0AA}" type="parTrans" cxnId="{7BEAE2FF-C33C-4AA9-A303-E3724BB4B9E0}">
      <dgm:prSet/>
      <dgm:spPr/>
      <dgm:t>
        <a:bodyPr/>
        <a:lstStyle/>
        <a:p>
          <a:endParaRPr lang="en-GB"/>
        </a:p>
      </dgm:t>
    </dgm:pt>
    <dgm:pt modelId="{A51D03A0-4A54-4241-A54A-75D4903C9AA0}" type="sibTrans" cxnId="{7BEAE2FF-C33C-4AA9-A303-E3724BB4B9E0}">
      <dgm:prSet/>
      <dgm:spPr/>
      <dgm:t>
        <a:bodyPr/>
        <a:lstStyle/>
        <a:p>
          <a:endParaRPr lang="en-GB"/>
        </a:p>
      </dgm:t>
    </dgm:pt>
    <dgm:pt modelId="{2F11FFA7-2579-4B1B-9374-B2D8C262CF5A}">
      <dgm:prSet custT="1"/>
      <dgm:spPr/>
      <dgm:t>
        <a:bodyPr/>
        <a:lstStyle/>
        <a:p>
          <a:r>
            <a:rPr lang="pl-PL" sz="1000"/>
            <a:t>Cel 5. Stymulowanie innowacji sprzyjających adaptacji do zmian klimatu</a:t>
          </a:r>
          <a:endParaRPr lang="en-GB" sz="1000"/>
        </a:p>
      </dgm:t>
    </dgm:pt>
    <dgm:pt modelId="{EE654F91-DD49-42D1-8AD3-6B2039569FF8}" type="parTrans" cxnId="{2C7D377F-D950-45BF-98C3-23EE93AE7D40}">
      <dgm:prSet/>
      <dgm:spPr/>
      <dgm:t>
        <a:bodyPr/>
        <a:lstStyle/>
        <a:p>
          <a:endParaRPr lang="en-GB"/>
        </a:p>
      </dgm:t>
    </dgm:pt>
    <dgm:pt modelId="{43F9F9FE-9836-46D1-9332-A93B7945F58F}" type="sibTrans" cxnId="{2C7D377F-D950-45BF-98C3-23EE93AE7D40}">
      <dgm:prSet/>
      <dgm:spPr/>
      <dgm:t>
        <a:bodyPr/>
        <a:lstStyle/>
        <a:p>
          <a:endParaRPr lang="en-GB"/>
        </a:p>
      </dgm:t>
    </dgm:pt>
    <dgm:pt modelId="{1385E797-E69C-472C-8A8C-1E6EB83B30FF}">
      <dgm:prSet custT="1"/>
      <dgm:spPr/>
      <dgm:t>
        <a:bodyPr/>
        <a:lstStyle/>
        <a:p>
          <a:r>
            <a:rPr lang="pl-PL" sz="1000"/>
            <a:t>Cel 6. Kształtowanie postaw społecznych sprzyjających adaptacji do zmian klimatu </a:t>
          </a:r>
          <a:endParaRPr lang="en-GB" sz="1000"/>
        </a:p>
      </dgm:t>
    </dgm:pt>
    <dgm:pt modelId="{3FD171EC-4650-427E-87BD-DB7E53DBA3C6}" type="parTrans" cxnId="{F6751547-DA52-4A06-8DA8-508BC39B157F}">
      <dgm:prSet/>
      <dgm:spPr/>
      <dgm:t>
        <a:bodyPr/>
        <a:lstStyle/>
        <a:p>
          <a:endParaRPr lang="en-GB"/>
        </a:p>
      </dgm:t>
    </dgm:pt>
    <dgm:pt modelId="{5A0FBA35-62C4-49CC-BDAE-A8DA58E4A7E7}" type="sibTrans" cxnId="{F6751547-DA52-4A06-8DA8-508BC39B157F}">
      <dgm:prSet/>
      <dgm:spPr/>
      <dgm:t>
        <a:bodyPr/>
        <a:lstStyle/>
        <a:p>
          <a:endParaRPr lang="en-GB"/>
        </a:p>
      </dgm:t>
    </dgm:pt>
    <dgm:pt modelId="{F58DA8B8-8E89-46CC-9298-D8F99BF2D9BE}" type="pres">
      <dgm:prSet presAssocID="{2D75E4D5-04DE-4A8E-BB2C-415FF6A37C34}" presName="linear" presStyleCnt="0">
        <dgm:presLayoutVars>
          <dgm:dir/>
          <dgm:animLvl val="lvl"/>
          <dgm:resizeHandles val="exact"/>
        </dgm:presLayoutVars>
      </dgm:prSet>
      <dgm:spPr/>
    </dgm:pt>
    <dgm:pt modelId="{E5735BEC-B990-4973-9043-DF86116E02E1}" type="pres">
      <dgm:prSet presAssocID="{EFB5E83A-A899-4D00-A505-04FDE27742A7}" presName="parentLin" presStyleCnt="0"/>
      <dgm:spPr/>
    </dgm:pt>
    <dgm:pt modelId="{DBD96B79-3F04-4FEC-BA4F-71248EECCE40}" type="pres">
      <dgm:prSet presAssocID="{EFB5E83A-A899-4D00-A505-04FDE27742A7}" presName="parentLeftMargin" presStyleLbl="node1" presStyleIdx="0" presStyleCnt="6"/>
      <dgm:spPr>
        <a:prstGeom prst="roundRect">
          <a:avLst/>
        </a:prstGeom>
      </dgm:spPr>
    </dgm:pt>
    <dgm:pt modelId="{30A4C196-EEF4-4CF5-A8A1-2CA7C4A9A7FB}" type="pres">
      <dgm:prSet presAssocID="{EFB5E83A-A899-4D00-A505-04FDE27742A7}" presName="parentText" presStyleLbl="node1" presStyleIdx="0" presStyleCnt="6" custScaleX="133666" custScaleY="152439">
        <dgm:presLayoutVars>
          <dgm:chMax val="0"/>
          <dgm:bulletEnabled val="1"/>
        </dgm:presLayoutVars>
      </dgm:prSet>
      <dgm:spPr/>
    </dgm:pt>
    <dgm:pt modelId="{5B701859-0590-42C6-992E-6DDF931446B3}" type="pres">
      <dgm:prSet presAssocID="{EFB5E83A-A899-4D00-A505-04FDE27742A7}" presName="negativeSpace" presStyleCnt="0"/>
      <dgm:spPr/>
    </dgm:pt>
    <dgm:pt modelId="{B2E99AB1-EF37-42D5-92EF-82965D78B082}" type="pres">
      <dgm:prSet presAssocID="{EFB5E83A-A899-4D00-A505-04FDE27742A7}" presName="childText" presStyleLbl="conFgAcc1" presStyleIdx="0" presStyleCnt="6">
        <dgm:presLayoutVars>
          <dgm:bulletEnabled val="1"/>
        </dgm:presLayoutVars>
      </dgm:prSet>
      <dgm:spPr>
        <a:xfrm>
          <a:off x="0" y="403353"/>
          <a:ext cx="5773002" cy="176400"/>
        </a:xfrm>
        <a:prstGeom prst="rect">
          <a:avLst/>
        </a:prstGeom>
        <a:solidFill>
          <a:sysClr val="window" lastClr="FFFFFF">
            <a:alpha val="90000"/>
            <a:hueOff val="0"/>
            <a:satOff val="0"/>
            <a:lumOff val="0"/>
            <a:alphaOff val="0"/>
          </a:sysClr>
        </a:solidFill>
        <a:ln w="25400" cap="flat" cmpd="sng" algn="ctr">
          <a:solidFill>
            <a:srgbClr val="9BBB59">
              <a:shade val="80000"/>
              <a:hueOff val="0"/>
              <a:satOff val="0"/>
              <a:lumOff val="0"/>
              <a:alphaOff val="0"/>
            </a:srgbClr>
          </a:solidFill>
          <a:prstDash val="solid"/>
        </a:ln>
        <a:effectLst/>
      </dgm:spPr>
    </dgm:pt>
    <dgm:pt modelId="{22DFE2D3-6FD2-457B-87D9-4AF59CDA32E1}" type="pres">
      <dgm:prSet presAssocID="{36F4FF93-9D2D-4613-BDA8-F7F7AFB9865F}" presName="spaceBetweenRectangles" presStyleCnt="0"/>
      <dgm:spPr/>
    </dgm:pt>
    <dgm:pt modelId="{72FB6C5F-57A1-4433-A628-4C5269EA437F}" type="pres">
      <dgm:prSet presAssocID="{90E464D9-7A16-47C2-9450-60B054A49C82}" presName="parentLin" presStyleCnt="0"/>
      <dgm:spPr/>
    </dgm:pt>
    <dgm:pt modelId="{2A8CEEA6-3217-41BD-B924-90359745573D}" type="pres">
      <dgm:prSet presAssocID="{90E464D9-7A16-47C2-9450-60B054A49C82}" presName="parentLeftMargin" presStyleLbl="node1" presStyleIdx="0" presStyleCnt="6"/>
      <dgm:spPr/>
    </dgm:pt>
    <dgm:pt modelId="{9A426A98-5749-4127-A302-C86BA45F7E34}" type="pres">
      <dgm:prSet presAssocID="{90E464D9-7A16-47C2-9450-60B054A49C82}" presName="parentText" presStyleLbl="node1" presStyleIdx="1" presStyleCnt="6" custScaleX="133632" custScaleY="152439">
        <dgm:presLayoutVars>
          <dgm:chMax val="0"/>
          <dgm:bulletEnabled val="1"/>
        </dgm:presLayoutVars>
      </dgm:prSet>
      <dgm:spPr/>
    </dgm:pt>
    <dgm:pt modelId="{D691D374-E774-4F8A-AEF6-FC771D669D73}" type="pres">
      <dgm:prSet presAssocID="{90E464D9-7A16-47C2-9450-60B054A49C82}" presName="negativeSpace" presStyleCnt="0"/>
      <dgm:spPr/>
    </dgm:pt>
    <dgm:pt modelId="{B7D6AB0E-4537-41EB-9AB6-1F3BD7D4EC95}" type="pres">
      <dgm:prSet presAssocID="{90E464D9-7A16-47C2-9450-60B054A49C82}" presName="childText" presStyleLbl="conFgAcc1" presStyleIdx="1" presStyleCnt="6">
        <dgm:presLayoutVars>
          <dgm:bulletEnabled val="1"/>
        </dgm:presLayoutVars>
      </dgm:prSet>
      <dgm:spPr/>
    </dgm:pt>
    <dgm:pt modelId="{8D9B93ED-CDC0-49D5-808E-19E4AA33F65E}" type="pres">
      <dgm:prSet presAssocID="{E2D74917-C934-48D9-8405-C534A68CA81E}" presName="spaceBetweenRectangles" presStyleCnt="0"/>
      <dgm:spPr/>
    </dgm:pt>
    <dgm:pt modelId="{2ADE60C6-2CE2-4AB2-ADD7-23C41E8B9DA4}" type="pres">
      <dgm:prSet presAssocID="{3A5E63BC-9216-41C9-AEA3-4E925935E55C}" presName="parentLin" presStyleCnt="0"/>
      <dgm:spPr/>
    </dgm:pt>
    <dgm:pt modelId="{9F419363-ADFC-46F5-B5D8-DFBCA173268D}" type="pres">
      <dgm:prSet presAssocID="{3A5E63BC-9216-41C9-AEA3-4E925935E55C}" presName="parentLeftMargin" presStyleLbl="node1" presStyleIdx="1" presStyleCnt="6"/>
      <dgm:spPr/>
    </dgm:pt>
    <dgm:pt modelId="{8CDEC3E4-5529-4DA2-B426-9C92BC841D69}" type="pres">
      <dgm:prSet presAssocID="{3A5E63BC-9216-41C9-AEA3-4E925935E55C}" presName="parentText" presStyleLbl="node1" presStyleIdx="2" presStyleCnt="6" custScaleX="133632" custScaleY="135501">
        <dgm:presLayoutVars>
          <dgm:chMax val="0"/>
          <dgm:bulletEnabled val="1"/>
        </dgm:presLayoutVars>
      </dgm:prSet>
      <dgm:spPr/>
    </dgm:pt>
    <dgm:pt modelId="{D9C38FD3-46C2-41BE-A3C6-A9BB929F6615}" type="pres">
      <dgm:prSet presAssocID="{3A5E63BC-9216-41C9-AEA3-4E925935E55C}" presName="negativeSpace" presStyleCnt="0"/>
      <dgm:spPr/>
    </dgm:pt>
    <dgm:pt modelId="{1D2FEF17-B57A-49A1-AD36-6D2609D227BF}" type="pres">
      <dgm:prSet presAssocID="{3A5E63BC-9216-41C9-AEA3-4E925935E55C}" presName="childText" presStyleLbl="conFgAcc1" presStyleIdx="2" presStyleCnt="6">
        <dgm:presLayoutVars>
          <dgm:bulletEnabled val="1"/>
        </dgm:presLayoutVars>
      </dgm:prSet>
      <dgm:spPr/>
    </dgm:pt>
    <dgm:pt modelId="{8E721544-62EE-419A-B435-855BF2518D37}" type="pres">
      <dgm:prSet presAssocID="{5770FA70-A4E4-4055-B234-6FD8CE9558CC}" presName="spaceBetweenRectangles" presStyleCnt="0"/>
      <dgm:spPr/>
    </dgm:pt>
    <dgm:pt modelId="{4614EDEF-72DC-4212-B140-ECEF9A72BAB3}" type="pres">
      <dgm:prSet presAssocID="{17F62854-329D-4C88-A8F9-2ABE3B3C7D57}" presName="parentLin" presStyleCnt="0"/>
      <dgm:spPr/>
    </dgm:pt>
    <dgm:pt modelId="{268D7A25-52A7-457B-9189-A9588936AF5C}" type="pres">
      <dgm:prSet presAssocID="{17F62854-329D-4C88-A8F9-2ABE3B3C7D57}" presName="parentLeftMargin" presStyleLbl="node1" presStyleIdx="2" presStyleCnt="6"/>
      <dgm:spPr/>
    </dgm:pt>
    <dgm:pt modelId="{75C88A80-1771-411D-BE50-6C68EE289D2C}" type="pres">
      <dgm:prSet presAssocID="{17F62854-329D-4C88-A8F9-2ABE3B3C7D57}" presName="parentText" presStyleLbl="node1" presStyleIdx="3" presStyleCnt="6" custScaleX="133632" custScaleY="135501">
        <dgm:presLayoutVars>
          <dgm:chMax val="0"/>
          <dgm:bulletEnabled val="1"/>
        </dgm:presLayoutVars>
      </dgm:prSet>
      <dgm:spPr/>
    </dgm:pt>
    <dgm:pt modelId="{D5A26F5C-5953-4B31-ABC3-384C18A5044F}" type="pres">
      <dgm:prSet presAssocID="{17F62854-329D-4C88-A8F9-2ABE3B3C7D57}" presName="negativeSpace" presStyleCnt="0"/>
      <dgm:spPr/>
    </dgm:pt>
    <dgm:pt modelId="{8E81B518-CFA2-46B3-8B7D-1956B15883A5}" type="pres">
      <dgm:prSet presAssocID="{17F62854-329D-4C88-A8F9-2ABE3B3C7D57}" presName="childText" presStyleLbl="conFgAcc1" presStyleIdx="3" presStyleCnt="6">
        <dgm:presLayoutVars>
          <dgm:bulletEnabled val="1"/>
        </dgm:presLayoutVars>
      </dgm:prSet>
      <dgm:spPr/>
    </dgm:pt>
    <dgm:pt modelId="{68DFE302-9471-4950-8509-6B533900EB7A}" type="pres">
      <dgm:prSet presAssocID="{A51D03A0-4A54-4241-A54A-75D4903C9AA0}" presName="spaceBetweenRectangles" presStyleCnt="0"/>
      <dgm:spPr/>
    </dgm:pt>
    <dgm:pt modelId="{194168B8-A666-4798-BF15-BBAE5842D7E7}" type="pres">
      <dgm:prSet presAssocID="{2F11FFA7-2579-4B1B-9374-B2D8C262CF5A}" presName="parentLin" presStyleCnt="0"/>
      <dgm:spPr/>
    </dgm:pt>
    <dgm:pt modelId="{03858B66-6D0D-4615-BD85-FD5DAF9A359A}" type="pres">
      <dgm:prSet presAssocID="{2F11FFA7-2579-4B1B-9374-B2D8C262CF5A}" presName="parentLeftMargin" presStyleLbl="node1" presStyleIdx="3" presStyleCnt="6"/>
      <dgm:spPr/>
    </dgm:pt>
    <dgm:pt modelId="{61EE3443-4587-4FEF-A652-FA6B161B166E}" type="pres">
      <dgm:prSet presAssocID="{2F11FFA7-2579-4B1B-9374-B2D8C262CF5A}" presName="parentText" presStyleLbl="node1" presStyleIdx="4" presStyleCnt="6" custScaleX="133632" custScaleY="135501">
        <dgm:presLayoutVars>
          <dgm:chMax val="0"/>
          <dgm:bulletEnabled val="1"/>
        </dgm:presLayoutVars>
      </dgm:prSet>
      <dgm:spPr/>
    </dgm:pt>
    <dgm:pt modelId="{05565C73-FCAB-4A7C-849D-44B5F69585B2}" type="pres">
      <dgm:prSet presAssocID="{2F11FFA7-2579-4B1B-9374-B2D8C262CF5A}" presName="negativeSpace" presStyleCnt="0"/>
      <dgm:spPr/>
    </dgm:pt>
    <dgm:pt modelId="{D53E6275-9D3A-4C3D-BF44-FCF3C98FB744}" type="pres">
      <dgm:prSet presAssocID="{2F11FFA7-2579-4B1B-9374-B2D8C262CF5A}" presName="childText" presStyleLbl="conFgAcc1" presStyleIdx="4" presStyleCnt="6">
        <dgm:presLayoutVars>
          <dgm:bulletEnabled val="1"/>
        </dgm:presLayoutVars>
      </dgm:prSet>
      <dgm:spPr/>
    </dgm:pt>
    <dgm:pt modelId="{04F90957-A4EA-491B-8A16-551999E9A245}" type="pres">
      <dgm:prSet presAssocID="{43F9F9FE-9836-46D1-9332-A93B7945F58F}" presName="spaceBetweenRectangles" presStyleCnt="0"/>
      <dgm:spPr/>
    </dgm:pt>
    <dgm:pt modelId="{D967407A-889B-4C41-83AC-2B0829CECDD9}" type="pres">
      <dgm:prSet presAssocID="{1385E797-E69C-472C-8A8C-1E6EB83B30FF}" presName="parentLin" presStyleCnt="0"/>
      <dgm:spPr/>
    </dgm:pt>
    <dgm:pt modelId="{0E690DDB-3895-491D-B112-C4B4E8EC3A81}" type="pres">
      <dgm:prSet presAssocID="{1385E797-E69C-472C-8A8C-1E6EB83B30FF}" presName="parentLeftMargin" presStyleLbl="node1" presStyleIdx="4" presStyleCnt="6"/>
      <dgm:spPr/>
    </dgm:pt>
    <dgm:pt modelId="{CCEBAE98-B5F2-4AC9-99A9-32EE887A811E}" type="pres">
      <dgm:prSet presAssocID="{1385E797-E69C-472C-8A8C-1E6EB83B30FF}" presName="parentText" presStyleLbl="node1" presStyleIdx="5" presStyleCnt="6" custScaleX="133632" custScaleY="135501">
        <dgm:presLayoutVars>
          <dgm:chMax val="0"/>
          <dgm:bulletEnabled val="1"/>
        </dgm:presLayoutVars>
      </dgm:prSet>
      <dgm:spPr/>
    </dgm:pt>
    <dgm:pt modelId="{81024171-21B9-4D6B-994F-1F15411D3F6C}" type="pres">
      <dgm:prSet presAssocID="{1385E797-E69C-472C-8A8C-1E6EB83B30FF}" presName="negativeSpace" presStyleCnt="0"/>
      <dgm:spPr/>
    </dgm:pt>
    <dgm:pt modelId="{24CD0E43-34CE-4771-8DCA-BB83F990C965}" type="pres">
      <dgm:prSet presAssocID="{1385E797-E69C-472C-8A8C-1E6EB83B30FF}" presName="childText" presStyleLbl="conFgAcc1" presStyleIdx="5" presStyleCnt="6">
        <dgm:presLayoutVars>
          <dgm:bulletEnabled val="1"/>
        </dgm:presLayoutVars>
      </dgm:prSet>
      <dgm:spPr/>
    </dgm:pt>
  </dgm:ptLst>
  <dgm:cxnLst>
    <dgm:cxn modelId="{E87E8E01-B64A-4DBD-9E82-C37548F71D2E}" type="presOf" srcId="{17F62854-329D-4C88-A8F9-2ABE3B3C7D57}" destId="{268D7A25-52A7-457B-9189-A9588936AF5C}" srcOrd="0" destOrd="0" presId="urn:microsoft.com/office/officeart/2005/8/layout/list1"/>
    <dgm:cxn modelId="{D4B63E05-8821-4EB8-BB54-A869ABE8BBBC}" srcId="{2D75E4D5-04DE-4A8E-BB2C-415FF6A37C34}" destId="{EFB5E83A-A899-4D00-A505-04FDE27742A7}" srcOrd="0" destOrd="0" parTransId="{CFB42DF6-12BB-4130-AEBF-FCE63A25AA76}" sibTransId="{36F4FF93-9D2D-4613-BDA8-F7F7AFB9865F}"/>
    <dgm:cxn modelId="{9D6FCF07-5A5F-4AF4-87B3-887F703E6A0C}" type="presOf" srcId="{2D75E4D5-04DE-4A8E-BB2C-415FF6A37C34}" destId="{F58DA8B8-8E89-46CC-9298-D8F99BF2D9BE}" srcOrd="0" destOrd="0" presId="urn:microsoft.com/office/officeart/2005/8/layout/list1"/>
    <dgm:cxn modelId="{52E69710-90EB-4E09-B100-F7E5D528E633}" type="presOf" srcId="{17F62854-329D-4C88-A8F9-2ABE3B3C7D57}" destId="{75C88A80-1771-411D-BE50-6C68EE289D2C}" srcOrd="1" destOrd="0" presId="urn:microsoft.com/office/officeart/2005/8/layout/list1"/>
    <dgm:cxn modelId="{122F7A17-D86B-4D33-928D-E0D989B6EF14}" type="presOf" srcId="{3A5E63BC-9216-41C9-AEA3-4E925935E55C}" destId="{8CDEC3E4-5529-4DA2-B426-9C92BC841D69}" srcOrd="1" destOrd="0" presId="urn:microsoft.com/office/officeart/2005/8/layout/list1"/>
    <dgm:cxn modelId="{9E8FD95F-F033-4FF1-B80D-26DD4EE788E2}" type="presOf" srcId="{2F11FFA7-2579-4B1B-9374-B2D8C262CF5A}" destId="{61EE3443-4587-4FEF-A652-FA6B161B166E}" srcOrd="1" destOrd="0" presId="urn:microsoft.com/office/officeart/2005/8/layout/list1"/>
    <dgm:cxn modelId="{D9557A61-E360-405F-BC37-79F5131A0646}" srcId="{2D75E4D5-04DE-4A8E-BB2C-415FF6A37C34}" destId="{90E464D9-7A16-47C2-9450-60B054A49C82}" srcOrd="1" destOrd="0" parTransId="{516F990F-22F7-4BEA-B394-B41FDA8A1F2F}" sibTransId="{E2D74917-C934-48D9-8405-C534A68CA81E}"/>
    <dgm:cxn modelId="{9FA3C065-C43D-452B-B6A4-DFDEB137A47A}" type="presOf" srcId="{90E464D9-7A16-47C2-9450-60B054A49C82}" destId="{2A8CEEA6-3217-41BD-B924-90359745573D}" srcOrd="0" destOrd="0" presId="urn:microsoft.com/office/officeart/2005/8/layout/list1"/>
    <dgm:cxn modelId="{F6751547-DA52-4A06-8DA8-508BC39B157F}" srcId="{2D75E4D5-04DE-4A8E-BB2C-415FF6A37C34}" destId="{1385E797-E69C-472C-8A8C-1E6EB83B30FF}" srcOrd="5" destOrd="0" parTransId="{3FD171EC-4650-427E-87BD-DB7E53DBA3C6}" sibTransId="{5A0FBA35-62C4-49CC-BDAE-A8DA58E4A7E7}"/>
    <dgm:cxn modelId="{CA93F16D-577D-4F5A-BE30-939180C073CA}" type="presOf" srcId="{1385E797-E69C-472C-8A8C-1E6EB83B30FF}" destId="{CCEBAE98-B5F2-4AC9-99A9-32EE887A811E}" srcOrd="1" destOrd="0" presId="urn:microsoft.com/office/officeart/2005/8/layout/list1"/>
    <dgm:cxn modelId="{9DA91853-0669-402A-A9BC-CDD08573247F}" type="presOf" srcId="{1385E797-E69C-472C-8A8C-1E6EB83B30FF}" destId="{0E690DDB-3895-491D-B112-C4B4E8EC3A81}" srcOrd="0" destOrd="0" presId="urn:microsoft.com/office/officeart/2005/8/layout/list1"/>
    <dgm:cxn modelId="{2C7D377F-D950-45BF-98C3-23EE93AE7D40}" srcId="{2D75E4D5-04DE-4A8E-BB2C-415FF6A37C34}" destId="{2F11FFA7-2579-4B1B-9374-B2D8C262CF5A}" srcOrd="4" destOrd="0" parTransId="{EE654F91-DD49-42D1-8AD3-6B2039569FF8}" sibTransId="{43F9F9FE-9836-46D1-9332-A93B7945F58F}"/>
    <dgm:cxn modelId="{3695528D-C20E-462B-B2AE-4BE5AC59C023}" type="presOf" srcId="{EFB5E83A-A899-4D00-A505-04FDE27742A7}" destId="{30A4C196-EEF4-4CF5-A8A1-2CA7C4A9A7FB}" srcOrd="1" destOrd="0" presId="urn:microsoft.com/office/officeart/2005/8/layout/list1"/>
    <dgm:cxn modelId="{67EEA5A5-ECEA-457C-A8A9-33F6F692DCE1}" type="presOf" srcId="{EFB5E83A-A899-4D00-A505-04FDE27742A7}" destId="{DBD96B79-3F04-4FEC-BA4F-71248EECCE40}" srcOrd="0" destOrd="0" presId="urn:microsoft.com/office/officeart/2005/8/layout/list1"/>
    <dgm:cxn modelId="{D9160AB9-28F5-4837-9BAD-48F5585C34A4}" type="presOf" srcId="{90E464D9-7A16-47C2-9450-60B054A49C82}" destId="{9A426A98-5749-4127-A302-C86BA45F7E34}" srcOrd="1" destOrd="0" presId="urn:microsoft.com/office/officeart/2005/8/layout/list1"/>
    <dgm:cxn modelId="{B07648CF-3925-4CC1-A03A-C5AD7F2C5BA4}" type="presOf" srcId="{2F11FFA7-2579-4B1B-9374-B2D8C262CF5A}" destId="{03858B66-6D0D-4615-BD85-FD5DAF9A359A}" srcOrd="0" destOrd="0" presId="urn:microsoft.com/office/officeart/2005/8/layout/list1"/>
    <dgm:cxn modelId="{F8FA83DC-91CC-4472-B5CB-0CE324504A5D}" srcId="{2D75E4D5-04DE-4A8E-BB2C-415FF6A37C34}" destId="{3A5E63BC-9216-41C9-AEA3-4E925935E55C}" srcOrd="2" destOrd="0" parTransId="{5D4D647C-932C-4D64-9475-245446A9712A}" sibTransId="{5770FA70-A4E4-4055-B234-6FD8CE9558CC}"/>
    <dgm:cxn modelId="{B2D329E1-A652-4DD8-B0B9-469E579350D3}" type="presOf" srcId="{3A5E63BC-9216-41C9-AEA3-4E925935E55C}" destId="{9F419363-ADFC-46F5-B5D8-DFBCA173268D}" srcOrd="0" destOrd="0" presId="urn:microsoft.com/office/officeart/2005/8/layout/list1"/>
    <dgm:cxn modelId="{7BEAE2FF-C33C-4AA9-A303-E3724BB4B9E0}" srcId="{2D75E4D5-04DE-4A8E-BB2C-415FF6A37C34}" destId="{17F62854-329D-4C88-A8F9-2ABE3B3C7D57}" srcOrd="3" destOrd="0" parTransId="{DD546234-BB5F-4CF2-80C1-D9CBA036F0AA}" sibTransId="{A51D03A0-4A54-4241-A54A-75D4903C9AA0}"/>
    <dgm:cxn modelId="{1D3B1307-20F2-4135-AD62-F0A2BCC3FBDA}" type="presParOf" srcId="{F58DA8B8-8E89-46CC-9298-D8F99BF2D9BE}" destId="{E5735BEC-B990-4973-9043-DF86116E02E1}" srcOrd="0" destOrd="0" presId="urn:microsoft.com/office/officeart/2005/8/layout/list1"/>
    <dgm:cxn modelId="{7F9F8EF5-CAF2-45C9-BA5F-DED3A0F6AF36}" type="presParOf" srcId="{E5735BEC-B990-4973-9043-DF86116E02E1}" destId="{DBD96B79-3F04-4FEC-BA4F-71248EECCE40}" srcOrd="0" destOrd="0" presId="urn:microsoft.com/office/officeart/2005/8/layout/list1"/>
    <dgm:cxn modelId="{6AB55486-441A-48AD-A614-2C9C932CE7FF}" type="presParOf" srcId="{E5735BEC-B990-4973-9043-DF86116E02E1}" destId="{30A4C196-EEF4-4CF5-A8A1-2CA7C4A9A7FB}" srcOrd="1" destOrd="0" presId="urn:microsoft.com/office/officeart/2005/8/layout/list1"/>
    <dgm:cxn modelId="{4734F224-9C6F-49F0-9CDD-CEB4351BD94E}" type="presParOf" srcId="{F58DA8B8-8E89-46CC-9298-D8F99BF2D9BE}" destId="{5B701859-0590-42C6-992E-6DDF931446B3}" srcOrd="1" destOrd="0" presId="urn:microsoft.com/office/officeart/2005/8/layout/list1"/>
    <dgm:cxn modelId="{EAA1FE75-C0FD-49F3-8744-1BD330F6A51E}" type="presParOf" srcId="{F58DA8B8-8E89-46CC-9298-D8F99BF2D9BE}" destId="{B2E99AB1-EF37-42D5-92EF-82965D78B082}" srcOrd="2" destOrd="0" presId="urn:microsoft.com/office/officeart/2005/8/layout/list1"/>
    <dgm:cxn modelId="{0512E386-96EC-42F3-B591-1EE9CD58CDEB}" type="presParOf" srcId="{F58DA8B8-8E89-46CC-9298-D8F99BF2D9BE}" destId="{22DFE2D3-6FD2-457B-87D9-4AF59CDA32E1}" srcOrd="3" destOrd="0" presId="urn:microsoft.com/office/officeart/2005/8/layout/list1"/>
    <dgm:cxn modelId="{A15B40A1-56FC-4A77-8EF7-0A85826327F0}" type="presParOf" srcId="{F58DA8B8-8E89-46CC-9298-D8F99BF2D9BE}" destId="{72FB6C5F-57A1-4433-A628-4C5269EA437F}" srcOrd="4" destOrd="0" presId="urn:microsoft.com/office/officeart/2005/8/layout/list1"/>
    <dgm:cxn modelId="{0059345C-0904-4D5E-A683-F6DD6807BCFA}" type="presParOf" srcId="{72FB6C5F-57A1-4433-A628-4C5269EA437F}" destId="{2A8CEEA6-3217-41BD-B924-90359745573D}" srcOrd="0" destOrd="0" presId="urn:microsoft.com/office/officeart/2005/8/layout/list1"/>
    <dgm:cxn modelId="{864DEC52-FC76-44F7-9340-6976DDF0412E}" type="presParOf" srcId="{72FB6C5F-57A1-4433-A628-4C5269EA437F}" destId="{9A426A98-5749-4127-A302-C86BA45F7E34}" srcOrd="1" destOrd="0" presId="urn:microsoft.com/office/officeart/2005/8/layout/list1"/>
    <dgm:cxn modelId="{7A10C11D-5018-43AA-8EAB-19BF47D30724}" type="presParOf" srcId="{F58DA8B8-8E89-46CC-9298-D8F99BF2D9BE}" destId="{D691D374-E774-4F8A-AEF6-FC771D669D73}" srcOrd="5" destOrd="0" presId="urn:microsoft.com/office/officeart/2005/8/layout/list1"/>
    <dgm:cxn modelId="{39457B52-7618-40DB-A80A-C2130859EC68}" type="presParOf" srcId="{F58DA8B8-8E89-46CC-9298-D8F99BF2D9BE}" destId="{B7D6AB0E-4537-41EB-9AB6-1F3BD7D4EC95}" srcOrd="6" destOrd="0" presId="urn:microsoft.com/office/officeart/2005/8/layout/list1"/>
    <dgm:cxn modelId="{8B5F7602-88AB-418D-B0C4-ED69E7642826}" type="presParOf" srcId="{F58DA8B8-8E89-46CC-9298-D8F99BF2D9BE}" destId="{8D9B93ED-CDC0-49D5-808E-19E4AA33F65E}" srcOrd="7" destOrd="0" presId="urn:microsoft.com/office/officeart/2005/8/layout/list1"/>
    <dgm:cxn modelId="{82F32C87-0218-496A-9538-567861BB046F}" type="presParOf" srcId="{F58DA8B8-8E89-46CC-9298-D8F99BF2D9BE}" destId="{2ADE60C6-2CE2-4AB2-ADD7-23C41E8B9DA4}" srcOrd="8" destOrd="0" presId="urn:microsoft.com/office/officeart/2005/8/layout/list1"/>
    <dgm:cxn modelId="{9CFEC9F2-0076-40EC-AE49-39FFBEAC6AAC}" type="presParOf" srcId="{2ADE60C6-2CE2-4AB2-ADD7-23C41E8B9DA4}" destId="{9F419363-ADFC-46F5-B5D8-DFBCA173268D}" srcOrd="0" destOrd="0" presId="urn:microsoft.com/office/officeart/2005/8/layout/list1"/>
    <dgm:cxn modelId="{ED4B3D65-2327-47AE-B81A-4511D9809EC2}" type="presParOf" srcId="{2ADE60C6-2CE2-4AB2-ADD7-23C41E8B9DA4}" destId="{8CDEC3E4-5529-4DA2-B426-9C92BC841D69}" srcOrd="1" destOrd="0" presId="urn:microsoft.com/office/officeart/2005/8/layout/list1"/>
    <dgm:cxn modelId="{10803701-8053-443A-94B9-7B32630D611D}" type="presParOf" srcId="{F58DA8B8-8E89-46CC-9298-D8F99BF2D9BE}" destId="{D9C38FD3-46C2-41BE-A3C6-A9BB929F6615}" srcOrd="9" destOrd="0" presId="urn:microsoft.com/office/officeart/2005/8/layout/list1"/>
    <dgm:cxn modelId="{83501EE7-220A-48F1-B4D3-55E31CB4387E}" type="presParOf" srcId="{F58DA8B8-8E89-46CC-9298-D8F99BF2D9BE}" destId="{1D2FEF17-B57A-49A1-AD36-6D2609D227BF}" srcOrd="10" destOrd="0" presId="urn:microsoft.com/office/officeart/2005/8/layout/list1"/>
    <dgm:cxn modelId="{3C737C23-89C1-4ADA-882F-F76F727195D6}" type="presParOf" srcId="{F58DA8B8-8E89-46CC-9298-D8F99BF2D9BE}" destId="{8E721544-62EE-419A-B435-855BF2518D37}" srcOrd="11" destOrd="0" presId="urn:microsoft.com/office/officeart/2005/8/layout/list1"/>
    <dgm:cxn modelId="{BBABAD83-0763-4EA5-9F04-248A76C186C8}" type="presParOf" srcId="{F58DA8B8-8E89-46CC-9298-D8F99BF2D9BE}" destId="{4614EDEF-72DC-4212-B140-ECEF9A72BAB3}" srcOrd="12" destOrd="0" presId="urn:microsoft.com/office/officeart/2005/8/layout/list1"/>
    <dgm:cxn modelId="{256AEFFF-A9C7-441F-BE6A-9B408B91BE37}" type="presParOf" srcId="{4614EDEF-72DC-4212-B140-ECEF9A72BAB3}" destId="{268D7A25-52A7-457B-9189-A9588936AF5C}" srcOrd="0" destOrd="0" presId="urn:microsoft.com/office/officeart/2005/8/layout/list1"/>
    <dgm:cxn modelId="{7DC405B9-4477-480E-B383-C0227A85FEE7}" type="presParOf" srcId="{4614EDEF-72DC-4212-B140-ECEF9A72BAB3}" destId="{75C88A80-1771-411D-BE50-6C68EE289D2C}" srcOrd="1" destOrd="0" presId="urn:microsoft.com/office/officeart/2005/8/layout/list1"/>
    <dgm:cxn modelId="{74CDEA00-C7FE-45E4-89B1-F01BF217CBC8}" type="presParOf" srcId="{F58DA8B8-8E89-46CC-9298-D8F99BF2D9BE}" destId="{D5A26F5C-5953-4B31-ABC3-384C18A5044F}" srcOrd="13" destOrd="0" presId="urn:microsoft.com/office/officeart/2005/8/layout/list1"/>
    <dgm:cxn modelId="{501C2A41-7552-436F-A67E-565576D9BCD6}" type="presParOf" srcId="{F58DA8B8-8E89-46CC-9298-D8F99BF2D9BE}" destId="{8E81B518-CFA2-46B3-8B7D-1956B15883A5}" srcOrd="14" destOrd="0" presId="urn:microsoft.com/office/officeart/2005/8/layout/list1"/>
    <dgm:cxn modelId="{97472B24-B735-4684-A646-DE2996D1F9B7}" type="presParOf" srcId="{F58DA8B8-8E89-46CC-9298-D8F99BF2D9BE}" destId="{68DFE302-9471-4950-8509-6B533900EB7A}" srcOrd="15" destOrd="0" presId="urn:microsoft.com/office/officeart/2005/8/layout/list1"/>
    <dgm:cxn modelId="{901299AB-33A2-487B-8E43-879C3DA91FB1}" type="presParOf" srcId="{F58DA8B8-8E89-46CC-9298-D8F99BF2D9BE}" destId="{194168B8-A666-4798-BF15-BBAE5842D7E7}" srcOrd="16" destOrd="0" presId="urn:microsoft.com/office/officeart/2005/8/layout/list1"/>
    <dgm:cxn modelId="{627BB601-FA99-447D-B86F-96C1F71D685E}" type="presParOf" srcId="{194168B8-A666-4798-BF15-BBAE5842D7E7}" destId="{03858B66-6D0D-4615-BD85-FD5DAF9A359A}" srcOrd="0" destOrd="0" presId="urn:microsoft.com/office/officeart/2005/8/layout/list1"/>
    <dgm:cxn modelId="{2C086DEA-7336-4924-A724-CE501DF6EABB}" type="presParOf" srcId="{194168B8-A666-4798-BF15-BBAE5842D7E7}" destId="{61EE3443-4587-4FEF-A652-FA6B161B166E}" srcOrd="1" destOrd="0" presId="urn:microsoft.com/office/officeart/2005/8/layout/list1"/>
    <dgm:cxn modelId="{D2F115A3-58EE-4B10-9CF0-1B03D100B6D2}" type="presParOf" srcId="{F58DA8B8-8E89-46CC-9298-D8F99BF2D9BE}" destId="{05565C73-FCAB-4A7C-849D-44B5F69585B2}" srcOrd="17" destOrd="0" presId="urn:microsoft.com/office/officeart/2005/8/layout/list1"/>
    <dgm:cxn modelId="{9637F93D-5D0F-40AC-96AD-D3883C8EC8CB}" type="presParOf" srcId="{F58DA8B8-8E89-46CC-9298-D8F99BF2D9BE}" destId="{D53E6275-9D3A-4C3D-BF44-FCF3C98FB744}" srcOrd="18" destOrd="0" presId="urn:microsoft.com/office/officeart/2005/8/layout/list1"/>
    <dgm:cxn modelId="{7727F80B-7830-4F71-8E28-9689FBE6106A}" type="presParOf" srcId="{F58DA8B8-8E89-46CC-9298-D8F99BF2D9BE}" destId="{04F90957-A4EA-491B-8A16-551999E9A245}" srcOrd="19" destOrd="0" presId="urn:microsoft.com/office/officeart/2005/8/layout/list1"/>
    <dgm:cxn modelId="{A5D2B140-463C-44B6-A1A1-44CF92217EA0}" type="presParOf" srcId="{F58DA8B8-8E89-46CC-9298-D8F99BF2D9BE}" destId="{D967407A-889B-4C41-83AC-2B0829CECDD9}" srcOrd="20" destOrd="0" presId="urn:microsoft.com/office/officeart/2005/8/layout/list1"/>
    <dgm:cxn modelId="{0749A831-4735-48A9-A5A4-40DC7654061E}" type="presParOf" srcId="{D967407A-889B-4C41-83AC-2B0829CECDD9}" destId="{0E690DDB-3895-491D-B112-C4B4E8EC3A81}" srcOrd="0" destOrd="0" presId="urn:microsoft.com/office/officeart/2005/8/layout/list1"/>
    <dgm:cxn modelId="{9FE2678F-CCF4-49F5-B787-31268B34FEA2}" type="presParOf" srcId="{D967407A-889B-4C41-83AC-2B0829CECDD9}" destId="{CCEBAE98-B5F2-4AC9-99A9-32EE887A811E}" srcOrd="1" destOrd="0" presId="urn:microsoft.com/office/officeart/2005/8/layout/list1"/>
    <dgm:cxn modelId="{A75D82B1-D8BD-40B8-BBF5-26FA5B532705}" type="presParOf" srcId="{F58DA8B8-8E89-46CC-9298-D8F99BF2D9BE}" destId="{81024171-21B9-4D6B-994F-1F15411D3F6C}" srcOrd="21" destOrd="0" presId="urn:microsoft.com/office/officeart/2005/8/layout/list1"/>
    <dgm:cxn modelId="{3056114C-8317-4AD8-BACE-BD584D63E78D}" type="presParOf" srcId="{F58DA8B8-8E89-46CC-9298-D8F99BF2D9BE}" destId="{24CD0E43-34CE-4771-8DCA-BB83F990C965}" srcOrd="22" destOrd="0" presId="urn:microsoft.com/office/officeart/2005/8/layout/list1"/>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597D986-E7ED-45EE-B581-32C8BD944B6C}" type="doc">
      <dgm:prSet loTypeId="urn:microsoft.com/office/officeart/2005/8/layout/default" loCatId="list" qsTypeId="urn:microsoft.com/office/officeart/2005/8/quickstyle/simple3" qsCatId="simple" csTypeId="urn:microsoft.com/office/officeart/2005/8/colors/accent1_2" csCatId="accent1" phldr="1"/>
      <dgm:spPr/>
      <dgm:t>
        <a:bodyPr/>
        <a:lstStyle/>
        <a:p>
          <a:endParaRPr lang="pl-PL"/>
        </a:p>
      </dgm:t>
    </dgm:pt>
    <dgm:pt modelId="{DF3D62C6-A5BA-4953-8B85-9E922187F0F8}">
      <dgm:prSet phldrT="[Tekst]" custT="1"/>
      <dgm:spPr/>
      <dgm:t>
        <a:bodyPr/>
        <a:lstStyle/>
        <a:p>
          <a:r>
            <a:rPr lang="pl-PL" sz="1400"/>
            <a:t>Projekt opracowania Planu Adaptacji do zmian klimatu dla Miasta Tarnogród dofinansowany został z programu </a:t>
          </a:r>
          <a:r>
            <a:rPr lang="pl-PL" sz="1400" b="1"/>
            <a:t>Fundusze Europejskie dla Lubelskiego 2021-2027</a:t>
          </a:r>
          <a:r>
            <a:rPr lang="pl-PL" sz="1400"/>
            <a:t>, będącego częścią </a:t>
          </a:r>
          <a:r>
            <a:rPr lang="pl-PL" sz="1400" b="1"/>
            <a:t>Europejskiego Funduszu Rozwoju Regionalnego</a:t>
          </a:r>
          <a:r>
            <a:rPr lang="pl-PL" sz="1400"/>
            <a:t>, w ramach działania </a:t>
          </a:r>
          <a:r>
            <a:rPr lang="pl-PL" sz="1400" b="1"/>
            <a:t>3.2. Dostosowanie do zmian klimatu i zapobieganie powodziom i suszy</a:t>
          </a:r>
          <a:r>
            <a:rPr lang="pl-PL" sz="1400"/>
            <a:t>.</a:t>
          </a:r>
        </a:p>
        <a:p>
          <a:r>
            <a:rPr lang="pl-PL" sz="1400"/>
            <a:t>Więcej informacji: https://mapadotacji.gov.pl/projekty/1668312 </a:t>
          </a:r>
        </a:p>
      </dgm:t>
    </dgm:pt>
    <dgm:pt modelId="{2B427111-CA9B-40AE-A11C-4B4DD34AF54C}" type="parTrans" cxnId="{25100892-58B1-4CE4-8A08-8864806C5398}">
      <dgm:prSet/>
      <dgm:spPr/>
      <dgm:t>
        <a:bodyPr/>
        <a:lstStyle/>
        <a:p>
          <a:endParaRPr lang="pl-PL"/>
        </a:p>
      </dgm:t>
    </dgm:pt>
    <dgm:pt modelId="{7FF3D9D8-B63A-4F95-9900-D871AA0A2BF8}" type="sibTrans" cxnId="{25100892-58B1-4CE4-8A08-8864806C5398}">
      <dgm:prSet/>
      <dgm:spPr/>
      <dgm:t>
        <a:bodyPr/>
        <a:lstStyle/>
        <a:p>
          <a:endParaRPr lang="pl-PL"/>
        </a:p>
      </dgm:t>
    </dgm:pt>
    <dgm:pt modelId="{D70DE506-C729-4489-82AA-56287E356B1E}" type="pres">
      <dgm:prSet presAssocID="{3597D986-E7ED-45EE-B581-32C8BD944B6C}" presName="diagram" presStyleCnt="0">
        <dgm:presLayoutVars>
          <dgm:dir/>
          <dgm:resizeHandles val="exact"/>
        </dgm:presLayoutVars>
      </dgm:prSet>
      <dgm:spPr/>
    </dgm:pt>
    <dgm:pt modelId="{54D78DCB-61FD-4465-BA8C-FCB9F85681E5}" type="pres">
      <dgm:prSet presAssocID="{DF3D62C6-A5BA-4953-8B85-9E922187F0F8}" presName="node" presStyleLbl="node1" presStyleIdx="0" presStyleCnt="1" custScaleX="195048">
        <dgm:presLayoutVars>
          <dgm:bulletEnabled val="1"/>
        </dgm:presLayoutVars>
      </dgm:prSet>
      <dgm:spPr/>
    </dgm:pt>
  </dgm:ptLst>
  <dgm:cxnLst>
    <dgm:cxn modelId="{25100892-58B1-4CE4-8A08-8864806C5398}" srcId="{3597D986-E7ED-45EE-B581-32C8BD944B6C}" destId="{DF3D62C6-A5BA-4953-8B85-9E922187F0F8}" srcOrd="0" destOrd="0" parTransId="{2B427111-CA9B-40AE-A11C-4B4DD34AF54C}" sibTransId="{7FF3D9D8-B63A-4F95-9900-D871AA0A2BF8}"/>
    <dgm:cxn modelId="{457E9FC6-CAFC-43B8-A624-591E625A42B2}" type="presOf" srcId="{3597D986-E7ED-45EE-B581-32C8BD944B6C}" destId="{D70DE506-C729-4489-82AA-56287E356B1E}" srcOrd="0" destOrd="0" presId="urn:microsoft.com/office/officeart/2005/8/layout/default"/>
    <dgm:cxn modelId="{E3803DD6-159D-4264-B9BE-9181A004F508}" type="presOf" srcId="{DF3D62C6-A5BA-4953-8B85-9E922187F0F8}" destId="{54D78DCB-61FD-4465-BA8C-FCB9F85681E5}" srcOrd="0" destOrd="0" presId="urn:microsoft.com/office/officeart/2005/8/layout/default"/>
    <dgm:cxn modelId="{8E0912E7-92FE-4EA3-88A9-103E4D1E5F33}" type="presParOf" srcId="{D70DE506-C729-4489-82AA-56287E356B1E}" destId="{54D78DCB-61FD-4465-BA8C-FCB9F85681E5}" srcOrd="0" destOrd="0" presId="urn:microsoft.com/office/officeart/2005/8/layout/default"/>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09BDDE9-3A27-47F4-85D8-1664A7BBC9D7}" type="doc">
      <dgm:prSet loTypeId="urn:microsoft.com/office/officeart/2005/8/layout/cycle2" loCatId="cycle" qsTypeId="urn:microsoft.com/office/officeart/2005/8/quickstyle/simple5" qsCatId="simple" csTypeId="urn:microsoft.com/office/officeart/2005/8/colors/accent3_2" csCatId="accent3" phldr="1"/>
      <dgm:spPr/>
      <dgm:t>
        <a:bodyPr/>
        <a:lstStyle/>
        <a:p>
          <a:endParaRPr lang="pl-PL"/>
        </a:p>
      </dgm:t>
    </dgm:pt>
    <dgm:pt modelId="{1A0C3854-8B65-4B05-A6EB-6710F9F75662}">
      <dgm:prSet phldrT="[Tekst]" custT="1"/>
      <dgm:spPr>
        <a:xfrm>
          <a:off x="2860" y="355204"/>
          <a:ext cx="731602" cy="629292"/>
        </a:xfrm>
        <a:scene3d>
          <a:camera prst="orthographicFront">
            <a:rot lat="0" lon="0" rev="0"/>
          </a:camera>
          <a:lightRig rig="threePt" dir="t">
            <a:rot lat="0" lon="0" rev="1200000"/>
          </a:lightRig>
        </a:scene3d>
        <a:sp3d>
          <a:bevelT w="63500" h="25400"/>
        </a:sp3d>
      </dgm:spPr>
      <dgm:t>
        <a:bodyPr/>
        <a:lstStyle/>
        <a:p>
          <a:r>
            <a:rPr lang="pl-PL" sz="800" b="1">
              <a:solidFill>
                <a:sysClr val="windowText" lastClr="000000"/>
              </a:solidFill>
              <a:latin typeface="Arial" panose="020B0604020202020204" pitchFamily="34" charset="0"/>
              <a:ea typeface="+mn-ea"/>
              <a:cs typeface="Arial" panose="020B0604020202020204" pitchFamily="34" charset="0"/>
            </a:rPr>
            <a:t>Etap 1.</a:t>
          </a:r>
        </a:p>
        <a:p>
          <a:r>
            <a:rPr lang="pl-PL" sz="800" b="1">
              <a:solidFill>
                <a:sysClr val="windowText" lastClr="000000"/>
              </a:solidFill>
              <a:latin typeface="Arial" panose="020B0604020202020204" pitchFamily="34" charset="0"/>
              <a:ea typeface="+mn-ea"/>
              <a:cs typeface="Arial" panose="020B0604020202020204" pitchFamily="34" charset="0"/>
            </a:rPr>
            <a:t>Przogotowanie do procesu adaptacji miasta do zmian klimatu</a:t>
          </a:r>
        </a:p>
      </dgm:t>
    </dgm:pt>
    <dgm:pt modelId="{EE98F953-C7A9-478B-A7B1-411308DB6765}" type="parTrans" cxnId="{631B366E-2994-4AB5-BE41-FBD5E4AB848A}">
      <dgm:prSet/>
      <dgm:spPr/>
      <dgm:t>
        <a:bodyPr/>
        <a:lstStyle/>
        <a:p>
          <a:endParaRPr lang="pl-PL" b="1">
            <a:solidFill>
              <a:sysClr val="windowText" lastClr="000000"/>
            </a:solidFill>
          </a:endParaRPr>
        </a:p>
      </dgm:t>
    </dgm:pt>
    <dgm:pt modelId="{96874471-6847-477F-A484-6DD5C11D0A1A}" type="sibTrans" cxnId="{631B366E-2994-4AB5-BE41-FBD5E4AB848A}">
      <dgm:prSet custT="1"/>
      <dgm:spPr>
        <a:xfrm>
          <a:off x="807623" y="579132"/>
          <a:ext cx="155099" cy="181437"/>
        </a:xfrm>
        <a:scene3d>
          <a:camera prst="orthographicFront">
            <a:rot lat="0" lon="0" rev="0"/>
          </a:camera>
          <a:lightRig rig="threePt" dir="t">
            <a:rot lat="0" lon="0" rev="1200000"/>
          </a:lightRig>
        </a:scene3d>
        <a:sp3d>
          <a:bevelT w="63500" h="25400"/>
        </a:sp3d>
      </dgm:spPr>
      <dgm:t>
        <a:bodyPr/>
        <a:lstStyle/>
        <a:p>
          <a:endParaRPr lang="pl-PL" sz="800" b="1">
            <a:solidFill>
              <a:sysClr val="windowText" lastClr="000000"/>
            </a:solidFill>
            <a:latin typeface="Arial" panose="020B0604020202020204" pitchFamily="34" charset="0"/>
            <a:ea typeface="+mn-ea"/>
            <a:cs typeface="Arial" panose="020B0604020202020204" pitchFamily="34" charset="0"/>
          </a:endParaRPr>
        </a:p>
      </dgm:t>
    </dgm:pt>
    <dgm:pt modelId="{E9E65DD9-9FA0-4A4B-BC5D-41B05A654040}">
      <dgm:prSet phldrT="[Tekst]" custT="1"/>
      <dgm:spPr>
        <a:xfrm>
          <a:off x="1027103" y="355204"/>
          <a:ext cx="731602" cy="629292"/>
        </a:xfrm>
        <a:scene3d>
          <a:camera prst="orthographicFront">
            <a:rot lat="0" lon="0" rev="0"/>
          </a:camera>
          <a:lightRig rig="threePt" dir="t">
            <a:rot lat="0" lon="0" rev="1200000"/>
          </a:lightRig>
        </a:scene3d>
        <a:sp3d>
          <a:bevelT w="63500" h="25400"/>
        </a:sp3d>
      </dgm:spPr>
      <dgm:t>
        <a:bodyPr/>
        <a:lstStyle/>
        <a:p>
          <a:r>
            <a:rPr lang="pl-PL" sz="800" b="1">
              <a:solidFill>
                <a:sysClr val="windowText" lastClr="000000"/>
              </a:solidFill>
              <a:latin typeface="Arial" panose="020B0604020202020204" pitchFamily="34" charset="0"/>
              <a:ea typeface="+mn-ea"/>
              <a:cs typeface="Arial" panose="020B0604020202020204" pitchFamily="34" charset="0"/>
            </a:rPr>
            <a:t>Etap 2.</a:t>
          </a:r>
        </a:p>
        <a:p>
          <a:r>
            <a:rPr lang="pl-PL" sz="800" b="1">
              <a:solidFill>
                <a:sysClr val="windowText" lastClr="000000"/>
              </a:solidFill>
              <a:latin typeface="Arial" panose="020B0604020202020204" pitchFamily="34" charset="0"/>
              <a:ea typeface="+mn-ea"/>
              <a:cs typeface="Arial" panose="020B0604020202020204" pitchFamily="34" charset="0"/>
            </a:rPr>
            <a:t>Ocena podstności i analiza ryzyka klimatycznego</a:t>
          </a:r>
        </a:p>
      </dgm:t>
    </dgm:pt>
    <dgm:pt modelId="{09C393F6-ACF4-4AAC-976D-A6B5A8E73C4F}" type="parTrans" cxnId="{A20C7714-E1C1-4FF3-9B82-1E2851089F72}">
      <dgm:prSet/>
      <dgm:spPr/>
      <dgm:t>
        <a:bodyPr/>
        <a:lstStyle/>
        <a:p>
          <a:endParaRPr lang="pl-PL" b="1">
            <a:solidFill>
              <a:sysClr val="windowText" lastClr="000000"/>
            </a:solidFill>
          </a:endParaRPr>
        </a:p>
      </dgm:t>
    </dgm:pt>
    <dgm:pt modelId="{529E484A-5BEE-4858-9F0F-CD3B92BA1D53}" type="sibTrans" cxnId="{A20C7714-E1C1-4FF3-9B82-1E2851089F72}">
      <dgm:prSet custT="1"/>
      <dgm:spPr>
        <a:xfrm>
          <a:off x="1831866" y="579132"/>
          <a:ext cx="155099" cy="181437"/>
        </a:xfrm>
        <a:scene3d>
          <a:camera prst="orthographicFront">
            <a:rot lat="0" lon="0" rev="0"/>
          </a:camera>
          <a:lightRig rig="threePt" dir="t">
            <a:rot lat="0" lon="0" rev="1200000"/>
          </a:lightRig>
        </a:scene3d>
        <a:sp3d>
          <a:bevelT w="63500" h="25400"/>
        </a:sp3d>
      </dgm:spPr>
      <dgm:t>
        <a:bodyPr/>
        <a:lstStyle/>
        <a:p>
          <a:endParaRPr lang="pl-PL" sz="800" b="1">
            <a:solidFill>
              <a:sysClr val="windowText" lastClr="000000"/>
            </a:solidFill>
            <a:latin typeface="Arial" panose="020B0604020202020204" pitchFamily="34" charset="0"/>
            <a:ea typeface="+mn-ea"/>
            <a:cs typeface="Arial" panose="020B0604020202020204" pitchFamily="34" charset="0"/>
          </a:endParaRPr>
        </a:p>
      </dgm:t>
    </dgm:pt>
    <dgm:pt modelId="{997E7CD2-FFAA-429A-AC20-343E029AF0B7}">
      <dgm:prSet phldrT="[Tekst]" custT="1"/>
      <dgm:spPr>
        <a:xfrm>
          <a:off x="2051347" y="355204"/>
          <a:ext cx="731602" cy="629292"/>
        </a:xfrm>
        <a:scene3d>
          <a:camera prst="orthographicFront">
            <a:rot lat="0" lon="0" rev="0"/>
          </a:camera>
          <a:lightRig rig="threePt" dir="t">
            <a:rot lat="0" lon="0" rev="1200000"/>
          </a:lightRig>
        </a:scene3d>
        <a:sp3d>
          <a:bevelT w="63500" h="25400"/>
        </a:sp3d>
      </dgm:spPr>
      <dgm:t>
        <a:bodyPr/>
        <a:lstStyle/>
        <a:p>
          <a:r>
            <a:rPr lang="pl-PL" sz="800" b="1">
              <a:solidFill>
                <a:sysClr val="windowText" lastClr="000000"/>
              </a:solidFill>
              <a:latin typeface="Arial" panose="020B0604020202020204" pitchFamily="34" charset="0"/>
              <a:ea typeface="+mn-ea"/>
              <a:cs typeface="Arial" panose="020B0604020202020204" pitchFamily="34" charset="0"/>
            </a:rPr>
            <a:t>Etap 3. Identyfikacja opcji adaptacji</a:t>
          </a:r>
        </a:p>
      </dgm:t>
    </dgm:pt>
    <dgm:pt modelId="{C20EF7D4-9ABA-4300-A5E9-1F838169BDC5}" type="parTrans" cxnId="{B60B8A7E-5F64-40B6-8771-F857DB3CB844}">
      <dgm:prSet/>
      <dgm:spPr/>
      <dgm:t>
        <a:bodyPr/>
        <a:lstStyle/>
        <a:p>
          <a:endParaRPr lang="pl-PL" b="1">
            <a:solidFill>
              <a:sysClr val="windowText" lastClr="000000"/>
            </a:solidFill>
          </a:endParaRPr>
        </a:p>
      </dgm:t>
    </dgm:pt>
    <dgm:pt modelId="{9AAE7AAA-89BA-4C64-94F2-D60978574315}" type="sibTrans" cxnId="{B60B8A7E-5F64-40B6-8771-F857DB3CB844}">
      <dgm:prSet custT="1"/>
      <dgm:spPr>
        <a:xfrm>
          <a:off x="2856109" y="579132"/>
          <a:ext cx="155099" cy="181437"/>
        </a:xfrm>
        <a:scene3d>
          <a:camera prst="orthographicFront">
            <a:rot lat="0" lon="0" rev="0"/>
          </a:camera>
          <a:lightRig rig="threePt" dir="t">
            <a:rot lat="0" lon="0" rev="1200000"/>
          </a:lightRig>
        </a:scene3d>
        <a:sp3d>
          <a:bevelT w="63500" h="25400"/>
        </a:sp3d>
      </dgm:spPr>
      <dgm:t>
        <a:bodyPr/>
        <a:lstStyle/>
        <a:p>
          <a:endParaRPr lang="pl-PL" sz="800" b="1">
            <a:solidFill>
              <a:sysClr val="windowText" lastClr="000000"/>
            </a:solidFill>
            <a:latin typeface="Arial" panose="020B0604020202020204" pitchFamily="34" charset="0"/>
            <a:ea typeface="+mn-ea"/>
            <a:cs typeface="Arial" panose="020B0604020202020204" pitchFamily="34" charset="0"/>
          </a:endParaRPr>
        </a:p>
      </dgm:t>
    </dgm:pt>
    <dgm:pt modelId="{E3066288-2675-41F6-B91E-C0D93C0D5387}">
      <dgm:prSet phldrT="[Tekst]" custT="1"/>
      <dgm:spPr>
        <a:xfrm>
          <a:off x="3075590" y="355204"/>
          <a:ext cx="731602" cy="629292"/>
        </a:xfrm>
        <a:scene3d>
          <a:camera prst="orthographicFront">
            <a:rot lat="0" lon="0" rev="0"/>
          </a:camera>
          <a:lightRig rig="threePt" dir="t">
            <a:rot lat="0" lon="0" rev="1200000"/>
          </a:lightRig>
        </a:scene3d>
        <a:sp3d>
          <a:bevelT w="63500" h="25400"/>
        </a:sp3d>
      </dgm:spPr>
      <dgm:t>
        <a:bodyPr/>
        <a:lstStyle/>
        <a:p>
          <a:r>
            <a:rPr lang="pl-PL" sz="800" b="1">
              <a:solidFill>
                <a:sysClr val="windowText" lastClr="000000"/>
              </a:solidFill>
              <a:latin typeface="Arial" panose="020B0604020202020204" pitchFamily="34" charset="0"/>
              <a:ea typeface="+mn-ea"/>
              <a:cs typeface="Arial" panose="020B0604020202020204" pitchFamily="34" charset="0"/>
            </a:rPr>
            <a:t>Etap 4. </a:t>
          </a:r>
        </a:p>
        <a:p>
          <a:r>
            <a:rPr lang="pl-PL" sz="800" b="1">
              <a:solidFill>
                <a:sysClr val="windowText" lastClr="000000"/>
              </a:solidFill>
              <a:latin typeface="Arial" panose="020B0604020202020204" pitchFamily="34" charset="0"/>
              <a:ea typeface="+mn-ea"/>
              <a:cs typeface="Arial" panose="020B0604020202020204" pitchFamily="34" charset="0"/>
            </a:rPr>
            <a:t>Wybór opcji adaptacji</a:t>
          </a:r>
        </a:p>
      </dgm:t>
    </dgm:pt>
    <dgm:pt modelId="{74B9C7B5-1843-49B1-9684-25BEC8264DC9}" type="parTrans" cxnId="{0328C2E3-D155-4426-8720-ED32D1113B48}">
      <dgm:prSet/>
      <dgm:spPr/>
      <dgm:t>
        <a:bodyPr/>
        <a:lstStyle/>
        <a:p>
          <a:endParaRPr lang="pl-PL" b="1">
            <a:solidFill>
              <a:sysClr val="windowText" lastClr="000000"/>
            </a:solidFill>
          </a:endParaRPr>
        </a:p>
      </dgm:t>
    </dgm:pt>
    <dgm:pt modelId="{F5419547-B74E-4AF4-A14B-CC0DC9805CC8}" type="sibTrans" cxnId="{0328C2E3-D155-4426-8720-ED32D1113B48}">
      <dgm:prSet custT="1"/>
      <dgm:spPr>
        <a:xfrm>
          <a:off x="3880353" y="579132"/>
          <a:ext cx="155099" cy="181437"/>
        </a:xfrm>
        <a:scene3d>
          <a:camera prst="orthographicFront">
            <a:rot lat="0" lon="0" rev="0"/>
          </a:camera>
          <a:lightRig rig="threePt" dir="t">
            <a:rot lat="0" lon="0" rev="1200000"/>
          </a:lightRig>
        </a:scene3d>
        <a:sp3d>
          <a:bevelT w="63500" h="25400"/>
        </a:sp3d>
      </dgm:spPr>
      <dgm:t>
        <a:bodyPr/>
        <a:lstStyle/>
        <a:p>
          <a:endParaRPr lang="pl-PL" sz="800" b="1">
            <a:solidFill>
              <a:sysClr val="windowText" lastClr="000000"/>
            </a:solidFill>
            <a:latin typeface="Arial" panose="020B0604020202020204" pitchFamily="34" charset="0"/>
            <a:ea typeface="+mn-ea"/>
            <a:cs typeface="Arial" panose="020B0604020202020204" pitchFamily="34" charset="0"/>
          </a:endParaRPr>
        </a:p>
      </dgm:t>
    </dgm:pt>
    <dgm:pt modelId="{2E0DE290-B58E-47E5-A58B-92B533970121}">
      <dgm:prSet phldrT="[Tekst]" custT="1"/>
      <dgm:spPr>
        <a:xfrm>
          <a:off x="4099833" y="355204"/>
          <a:ext cx="731602" cy="629292"/>
        </a:xfrm>
        <a:scene3d>
          <a:camera prst="orthographicFront">
            <a:rot lat="0" lon="0" rev="0"/>
          </a:camera>
          <a:lightRig rig="threePt" dir="t">
            <a:rot lat="0" lon="0" rev="1200000"/>
          </a:lightRig>
        </a:scene3d>
        <a:sp3d>
          <a:bevelT w="63500" h="25400"/>
        </a:sp3d>
      </dgm:spPr>
      <dgm:t>
        <a:bodyPr/>
        <a:lstStyle/>
        <a:p>
          <a:r>
            <a:rPr lang="pl-PL" sz="800" b="1">
              <a:solidFill>
                <a:sysClr val="windowText" lastClr="000000"/>
              </a:solidFill>
              <a:latin typeface="Arial" panose="020B0604020202020204" pitchFamily="34" charset="0"/>
              <a:ea typeface="+mn-ea"/>
              <a:cs typeface="Arial" panose="020B0604020202020204" pitchFamily="34" charset="0"/>
            </a:rPr>
            <a:t>Etap 5.</a:t>
          </a:r>
        </a:p>
        <a:p>
          <a:r>
            <a:rPr lang="pl-PL" sz="800" b="1">
              <a:solidFill>
                <a:sysClr val="windowText" lastClr="000000"/>
              </a:solidFill>
              <a:latin typeface="Arial" panose="020B0604020202020204" pitchFamily="34" charset="0"/>
              <a:ea typeface="+mn-ea"/>
              <a:cs typeface="Arial" panose="020B0604020202020204" pitchFamily="34" charset="0"/>
            </a:rPr>
            <a:t>Wdrażanie</a:t>
          </a:r>
        </a:p>
      </dgm:t>
    </dgm:pt>
    <dgm:pt modelId="{7BFB0736-4345-421A-B436-D46801080EEC}" type="parTrans" cxnId="{0A0251D0-31BD-49C0-8AE9-50456DCEAE15}">
      <dgm:prSet/>
      <dgm:spPr/>
      <dgm:t>
        <a:bodyPr/>
        <a:lstStyle/>
        <a:p>
          <a:endParaRPr lang="pl-PL" b="1">
            <a:solidFill>
              <a:sysClr val="windowText" lastClr="000000"/>
            </a:solidFill>
          </a:endParaRPr>
        </a:p>
      </dgm:t>
    </dgm:pt>
    <dgm:pt modelId="{D80B9BB5-6398-4EE5-A930-F121F0F97C60}" type="sibTrans" cxnId="{0A0251D0-31BD-49C0-8AE9-50456DCEAE15}">
      <dgm:prSet custT="1"/>
      <dgm:spPr>
        <a:xfrm>
          <a:off x="4904596" y="579132"/>
          <a:ext cx="155099" cy="181437"/>
        </a:xfrm>
        <a:scene3d>
          <a:camera prst="orthographicFront">
            <a:rot lat="0" lon="0" rev="0"/>
          </a:camera>
          <a:lightRig rig="threePt" dir="t">
            <a:rot lat="0" lon="0" rev="1200000"/>
          </a:lightRig>
        </a:scene3d>
        <a:sp3d>
          <a:bevelT w="63500" h="25400"/>
        </a:sp3d>
      </dgm:spPr>
      <dgm:t>
        <a:bodyPr/>
        <a:lstStyle/>
        <a:p>
          <a:endParaRPr lang="pl-PL" sz="800" b="1">
            <a:solidFill>
              <a:sysClr val="windowText" lastClr="000000"/>
            </a:solidFill>
            <a:latin typeface="Arial" panose="020B0604020202020204" pitchFamily="34" charset="0"/>
            <a:ea typeface="+mn-ea"/>
            <a:cs typeface="Arial" panose="020B0604020202020204" pitchFamily="34" charset="0"/>
          </a:endParaRPr>
        </a:p>
      </dgm:t>
    </dgm:pt>
    <dgm:pt modelId="{9303C2B1-D07F-486C-9DA5-E7FFB25E875A}">
      <dgm:prSet phldrT="[Tekst]" custT="1"/>
      <dgm:spPr>
        <a:xfrm>
          <a:off x="5124077" y="355204"/>
          <a:ext cx="731602" cy="629292"/>
        </a:xfrm>
        <a:scene3d>
          <a:camera prst="orthographicFront">
            <a:rot lat="0" lon="0" rev="0"/>
          </a:camera>
          <a:lightRig rig="threePt" dir="t">
            <a:rot lat="0" lon="0" rev="1200000"/>
          </a:lightRig>
        </a:scene3d>
        <a:sp3d>
          <a:bevelT w="63500" h="25400"/>
        </a:sp3d>
      </dgm:spPr>
      <dgm:t>
        <a:bodyPr/>
        <a:lstStyle/>
        <a:p>
          <a:r>
            <a:rPr lang="pl-PL" sz="800" b="1">
              <a:solidFill>
                <a:sysClr val="windowText" lastClr="000000"/>
              </a:solidFill>
              <a:latin typeface="Arial" panose="020B0604020202020204" pitchFamily="34" charset="0"/>
              <a:ea typeface="+mn-ea"/>
              <a:cs typeface="Arial" panose="020B0604020202020204" pitchFamily="34" charset="0"/>
            </a:rPr>
            <a:t>Etap 6. Monitoring i ewaluacja</a:t>
          </a:r>
        </a:p>
      </dgm:t>
    </dgm:pt>
    <dgm:pt modelId="{99FF0A4E-16A7-439C-B316-001023BC5916}" type="parTrans" cxnId="{D104F91A-A87E-4E96-94B9-6E6EF1D6D288}">
      <dgm:prSet/>
      <dgm:spPr/>
      <dgm:t>
        <a:bodyPr/>
        <a:lstStyle/>
        <a:p>
          <a:endParaRPr lang="pl-PL" b="1">
            <a:solidFill>
              <a:sysClr val="windowText" lastClr="000000"/>
            </a:solidFill>
          </a:endParaRPr>
        </a:p>
      </dgm:t>
    </dgm:pt>
    <dgm:pt modelId="{E5E95943-5512-4B24-9149-8553E7D0CB9E}" type="sibTrans" cxnId="{D104F91A-A87E-4E96-94B9-6E6EF1D6D288}">
      <dgm:prSet/>
      <dgm:spPr/>
      <dgm:t>
        <a:bodyPr/>
        <a:lstStyle/>
        <a:p>
          <a:endParaRPr lang="pl-PL" b="1">
            <a:solidFill>
              <a:sysClr val="windowText" lastClr="000000"/>
            </a:solidFill>
          </a:endParaRPr>
        </a:p>
      </dgm:t>
    </dgm:pt>
    <dgm:pt modelId="{BF183193-0773-41DC-9D14-BAEDA8667C4E}" type="pres">
      <dgm:prSet presAssocID="{409BDDE9-3A27-47F4-85D8-1664A7BBC9D7}" presName="cycle" presStyleCnt="0">
        <dgm:presLayoutVars>
          <dgm:dir/>
          <dgm:resizeHandles val="exact"/>
        </dgm:presLayoutVars>
      </dgm:prSet>
      <dgm:spPr/>
    </dgm:pt>
    <dgm:pt modelId="{4CFDF9AB-E5C0-4F27-B46D-6E315CAA48AB}" type="pres">
      <dgm:prSet presAssocID="{1A0C3854-8B65-4B05-A6EB-6710F9F75662}" presName="node" presStyleLbl="node1" presStyleIdx="0" presStyleCnt="6" custScaleY="102650">
        <dgm:presLayoutVars>
          <dgm:bulletEnabled val="1"/>
        </dgm:presLayoutVars>
      </dgm:prSet>
      <dgm:spPr/>
    </dgm:pt>
    <dgm:pt modelId="{0F0F4652-DF1E-42BE-840D-BBA6D69C34D2}" type="pres">
      <dgm:prSet presAssocID="{96874471-6847-477F-A484-6DD5C11D0A1A}" presName="sibTrans" presStyleLbl="sibTrans2D1" presStyleIdx="0" presStyleCnt="6"/>
      <dgm:spPr/>
    </dgm:pt>
    <dgm:pt modelId="{616FC870-66E0-428A-841D-742115792AE4}" type="pres">
      <dgm:prSet presAssocID="{96874471-6847-477F-A484-6DD5C11D0A1A}" presName="connectorText" presStyleLbl="sibTrans2D1" presStyleIdx="0" presStyleCnt="6"/>
      <dgm:spPr/>
    </dgm:pt>
    <dgm:pt modelId="{3A7B1762-C47B-44C5-9CAF-205AE18FB3E9}" type="pres">
      <dgm:prSet presAssocID="{E9E65DD9-9FA0-4A4B-BC5D-41B05A654040}" presName="node" presStyleLbl="node1" presStyleIdx="1" presStyleCnt="6">
        <dgm:presLayoutVars>
          <dgm:bulletEnabled val="1"/>
        </dgm:presLayoutVars>
      </dgm:prSet>
      <dgm:spPr/>
    </dgm:pt>
    <dgm:pt modelId="{BE3F1F96-2280-4CEE-B95C-855011585CFA}" type="pres">
      <dgm:prSet presAssocID="{529E484A-5BEE-4858-9F0F-CD3B92BA1D53}" presName="sibTrans" presStyleLbl="sibTrans2D1" presStyleIdx="1" presStyleCnt="6"/>
      <dgm:spPr/>
    </dgm:pt>
    <dgm:pt modelId="{2562A3E7-3779-43D3-84A1-4C86A3368DA7}" type="pres">
      <dgm:prSet presAssocID="{529E484A-5BEE-4858-9F0F-CD3B92BA1D53}" presName="connectorText" presStyleLbl="sibTrans2D1" presStyleIdx="1" presStyleCnt="6"/>
      <dgm:spPr/>
    </dgm:pt>
    <dgm:pt modelId="{0AFF489C-3846-4FA6-9430-9342355A3773}" type="pres">
      <dgm:prSet presAssocID="{997E7CD2-FFAA-429A-AC20-343E029AF0B7}" presName="node" presStyleLbl="node1" presStyleIdx="2" presStyleCnt="6">
        <dgm:presLayoutVars>
          <dgm:bulletEnabled val="1"/>
        </dgm:presLayoutVars>
      </dgm:prSet>
      <dgm:spPr/>
    </dgm:pt>
    <dgm:pt modelId="{2056CB31-840F-45AC-B886-E52E62EF54F8}" type="pres">
      <dgm:prSet presAssocID="{9AAE7AAA-89BA-4C64-94F2-D60978574315}" presName="sibTrans" presStyleLbl="sibTrans2D1" presStyleIdx="2" presStyleCnt="6"/>
      <dgm:spPr/>
    </dgm:pt>
    <dgm:pt modelId="{0A76DB46-C52B-4EEC-B5A9-9216FB9B1A75}" type="pres">
      <dgm:prSet presAssocID="{9AAE7AAA-89BA-4C64-94F2-D60978574315}" presName="connectorText" presStyleLbl="sibTrans2D1" presStyleIdx="2" presStyleCnt="6"/>
      <dgm:spPr/>
    </dgm:pt>
    <dgm:pt modelId="{4B04BAA8-0981-4C56-B108-C058D83170D3}" type="pres">
      <dgm:prSet presAssocID="{E3066288-2675-41F6-B91E-C0D93C0D5387}" presName="node" presStyleLbl="node1" presStyleIdx="3" presStyleCnt="6">
        <dgm:presLayoutVars>
          <dgm:bulletEnabled val="1"/>
        </dgm:presLayoutVars>
      </dgm:prSet>
      <dgm:spPr/>
    </dgm:pt>
    <dgm:pt modelId="{832DAE1D-F4CE-4942-A480-F71E143E40EE}" type="pres">
      <dgm:prSet presAssocID="{F5419547-B74E-4AF4-A14B-CC0DC9805CC8}" presName="sibTrans" presStyleLbl="sibTrans2D1" presStyleIdx="3" presStyleCnt="6"/>
      <dgm:spPr/>
    </dgm:pt>
    <dgm:pt modelId="{66162F3F-D4A8-48A6-A4F4-94D3C7008AB9}" type="pres">
      <dgm:prSet presAssocID="{F5419547-B74E-4AF4-A14B-CC0DC9805CC8}" presName="connectorText" presStyleLbl="sibTrans2D1" presStyleIdx="3" presStyleCnt="6"/>
      <dgm:spPr/>
    </dgm:pt>
    <dgm:pt modelId="{CC0DF2F9-E191-4AAA-BD2E-06CEB862566D}" type="pres">
      <dgm:prSet presAssocID="{2E0DE290-B58E-47E5-A58B-92B533970121}" presName="node" presStyleLbl="node1" presStyleIdx="4" presStyleCnt="6">
        <dgm:presLayoutVars>
          <dgm:bulletEnabled val="1"/>
        </dgm:presLayoutVars>
      </dgm:prSet>
      <dgm:spPr/>
    </dgm:pt>
    <dgm:pt modelId="{DAA19CD7-DA5B-4128-AD7E-D6FF57EFE25F}" type="pres">
      <dgm:prSet presAssocID="{D80B9BB5-6398-4EE5-A930-F121F0F97C60}" presName="sibTrans" presStyleLbl="sibTrans2D1" presStyleIdx="4" presStyleCnt="6"/>
      <dgm:spPr/>
    </dgm:pt>
    <dgm:pt modelId="{8C4FDA73-D765-4F7F-8C58-EF3973915B77}" type="pres">
      <dgm:prSet presAssocID="{D80B9BB5-6398-4EE5-A930-F121F0F97C60}" presName="connectorText" presStyleLbl="sibTrans2D1" presStyleIdx="4" presStyleCnt="6"/>
      <dgm:spPr/>
    </dgm:pt>
    <dgm:pt modelId="{996875EB-E59B-4B07-A50A-B48B81876BE8}" type="pres">
      <dgm:prSet presAssocID="{9303C2B1-D07F-486C-9DA5-E7FFB25E875A}" presName="node" presStyleLbl="node1" presStyleIdx="5" presStyleCnt="6">
        <dgm:presLayoutVars>
          <dgm:bulletEnabled val="1"/>
        </dgm:presLayoutVars>
      </dgm:prSet>
      <dgm:spPr/>
    </dgm:pt>
    <dgm:pt modelId="{9FEBFE6A-8A21-4D16-BB05-AFCE5736D125}" type="pres">
      <dgm:prSet presAssocID="{E5E95943-5512-4B24-9149-8553E7D0CB9E}" presName="sibTrans" presStyleLbl="sibTrans2D1" presStyleIdx="5" presStyleCnt="6"/>
      <dgm:spPr/>
    </dgm:pt>
    <dgm:pt modelId="{96D5A3AE-DFFA-45D1-824A-D7432FA11187}" type="pres">
      <dgm:prSet presAssocID="{E5E95943-5512-4B24-9149-8553E7D0CB9E}" presName="connectorText" presStyleLbl="sibTrans2D1" presStyleIdx="5" presStyleCnt="6"/>
      <dgm:spPr/>
    </dgm:pt>
  </dgm:ptLst>
  <dgm:cxnLst>
    <dgm:cxn modelId="{73AC640A-E2F2-4772-AA84-933E8B39B6C1}" type="presOf" srcId="{529E484A-5BEE-4858-9F0F-CD3B92BA1D53}" destId="{BE3F1F96-2280-4CEE-B95C-855011585CFA}" srcOrd="0" destOrd="0" presId="urn:microsoft.com/office/officeart/2005/8/layout/cycle2"/>
    <dgm:cxn modelId="{D5782411-5033-43F9-8AA9-73F5EFEDBEDD}" type="presOf" srcId="{2E0DE290-B58E-47E5-A58B-92B533970121}" destId="{CC0DF2F9-E191-4AAA-BD2E-06CEB862566D}" srcOrd="0" destOrd="0" presId="urn:microsoft.com/office/officeart/2005/8/layout/cycle2"/>
    <dgm:cxn modelId="{A20C7714-E1C1-4FF3-9B82-1E2851089F72}" srcId="{409BDDE9-3A27-47F4-85D8-1664A7BBC9D7}" destId="{E9E65DD9-9FA0-4A4B-BC5D-41B05A654040}" srcOrd="1" destOrd="0" parTransId="{09C393F6-ACF4-4AAC-976D-A6B5A8E73C4F}" sibTransId="{529E484A-5BEE-4858-9F0F-CD3B92BA1D53}"/>
    <dgm:cxn modelId="{D104F91A-A87E-4E96-94B9-6E6EF1D6D288}" srcId="{409BDDE9-3A27-47F4-85D8-1664A7BBC9D7}" destId="{9303C2B1-D07F-486C-9DA5-E7FFB25E875A}" srcOrd="5" destOrd="0" parTransId="{99FF0A4E-16A7-439C-B316-001023BC5916}" sibTransId="{E5E95943-5512-4B24-9149-8553E7D0CB9E}"/>
    <dgm:cxn modelId="{716F0565-EDAD-4966-A6A4-8B859E72F320}" type="presOf" srcId="{1A0C3854-8B65-4B05-A6EB-6710F9F75662}" destId="{4CFDF9AB-E5C0-4F27-B46D-6E315CAA48AB}" srcOrd="0" destOrd="0" presId="urn:microsoft.com/office/officeart/2005/8/layout/cycle2"/>
    <dgm:cxn modelId="{BE5C8146-F566-4B49-BF3D-A6B0BFAE50CC}" type="presOf" srcId="{E5E95943-5512-4B24-9149-8553E7D0CB9E}" destId="{96D5A3AE-DFFA-45D1-824A-D7432FA11187}" srcOrd="1" destOrd="0" presId="urn:microsoft.com/office/officeart/2005/8/layout/cycle2"/>
    <dgm:cxn modelId="{631B366E-2994-4AB5-BE41-FBD5E4AB848A}" srcId="{409BDDE9-3A27-47F4-85D8-1664A7BBC9D7}" destId="{1A0C3854-8B65-4B05-A6EB-6710F9F75662}" srcOrd="0" destOrd="0" parTransId="{EE98F953-C7A9-478B-A7B1-411308DB6765}" sibTransId="{96874471-6847-477F-A484-6DD5C11D0A1A}"/>
    <dgm:cxn modelId="{3086BA56-90C1-4D41-A4CE-E44CAF8EACA9}" type="presOf" srcId="{E3066288-2675-41F6-B91E-C0D93C0D5387}" destId="{4B04BAA8-0981-4C56-B108-C058D83170D3}" srcOrd="0" destOrd="0" presId="urn:microsoft.com/office/officeart/2005/8/layout/cycle2"/>
    <dgm:cxn modelId="{B60B8A7E-5F64-40B6-8771-F857DB3CB844}" srcId="{409BDDE9-3A27-47F4-85D8-1664A7BBC9D7}" destId="{997E7CD2-FFAA-429A-AC20-343E029AF0B7}" srcOrd="2" destOrd="0" parTransId="{C20EF7D4-9ABA-4300-A5E9-1F838169BDC5}" sibTransId="{9AAE7AAA-89BA-4C64-94F2-D60978574315}"/>
    <dgm:cxn modelId="{6A622981-D7F4-4642-B884-8B7CE9B57F8F}" type="presOf" srcId="{409BDDE9-3A27-47F4-85D8-1664A7BBC9D7}" destId="{BF183193-0773-41DC-9D14-BAEDA8667C4E}" srcOrd="0" destOrd="0" presId="urn:microsoft.com/office/officeart/2005/8/layout/cycle2"/>
    <dgm:cxn modelId="{538BF481-FDD8-494B-8841-C2A2E2D59CFA}" type="presOf" srcId="{E5E95943-5512-4B24-9149-8553E7D0CB9E}" destId="{9FEBFE6A-8A21-4D16-BB05-AFCE5736D125}" srcOrd="0" destOrd="0" presId="urn:microsoft.com/office/officeart/2005/8/layout/cycle2"/>
    <dgm:cxn modelId="{FC1F8E93-455C-4E37-904D-53E7798853E5}" type="presOf" srcId="{9AAE7AAA-89BA-4C64-94F2-D60978574315}" destId="{0A76DB46-C52B-4EEC-B5A9-9216FB9B1A75}" srcOrd="1" destOrd="0" presId="urn:microsoft.com/office/officeart/2005/8/layout/cycle2"/>
    <dgm:cxn modelId="{4EDFE99D-0A09-4B39-B978-85A5D913F970}" type="presOf" srcId="{9AAE7AAA-89BA-4C64-94F2-D60978574315}" destId="{2056CB31-840F-45AC-B886-E52E62EF54F8}" srcOrd="0" destOrd="0" presId="urn:microsoft.com/office/officeart/2005/8/layout/cycle2"/>
    <dgm:cxn modelId="{A9B600A0-BFCE-476B-A416-3B20D93CC418}" type="presOf" srcId="{96874471-6847-477F-A484-6DD5C11D0A1A}" destId="{616FC870-66E0-428A-841D-742115792AE4}" srcOrd="1" destOrd="0" presId="urn:microsoft.com/office/officeart/2005/8/layout/cycle2"/>
    <dgm:cxn modelId="{55A06CAA-27C9-470B-A0A3-246185AF466A}" type="presOf" srcId="{D80B9BB5-6398-4EE5-A930-F121F0F97C60}" destId="{8C4FDA73-D765-4F7F-8C58-EF3973915B77}" srcOrd="1" destOrd="0" presId="urn:microsoft.com/office/officeart/2005/8/layout/cycle2"/>
    <dgm:cxn modelId="{4ECC7BB9-B20F-43E5-A59F-6FD8ECD34347}" type="presOf" srcId="{997E7CD2-FFAA-429A-AC20-343E029AF0B7}" destId="{0AFF489C-3846-4FA6-9430-9342355A3773}" srcOrd="0" destOrd="0" presId="urn:microsoft.com/office/officeart/2005/8/layout/cycle2"/>
    <dgm:cxn modelId="{E3853ACD-8075-42E5-A817-82511EC31857}" type="presOf" srcId="{529E484A-5BEE-4858-9F0F-CD3B92BA1D53}" destId="{2562A3E7-3779-43D3-84A1-4C86A3368DA7}" srcOrd="1" destOrd="0" presId="urn:microsoft.com/office/officeart/2005/8/layout/cycle2"/>
    <dgm:cxn modelId="{0A0251D0-31BD-49C0-8AE9-50456DCEAE15}" srcId="{409BDDE9-3A27-47F4-85D8-1664A7BBC9D7}" destId="{2E0DE290-B58E-47E5-A58B-92B533970121}" srcOrd="4" destOrd="0" parTransId="{7BFB0736-4345-421A-B436-D46801080EEC}" sibTransId="{D80B9BB5-6398-4EE5-A930-F121F0F97C60}"/>
    <dgm:cxn modelId="{BF3524D3-B14F-4DE6-AAAA-AB30DD4F5328}" type="presOf" srcId="{96874471-6847-477F-A484-6DD5C11D0A1A}" destId="{0F0F4652-DF1E-42BE-840D-BBA6D69C34D2}" srcOrd="0" destOrd="0" presId="urn:microsoft.com/office/officeart/2005/8/layout/cycle2"/>
    <dgm:cxn modelId="{E03A27D4-ECAA-4AC3-8D71-64BA22FADE36}" type="presOf" srcId="{F5419547-B74E-4AF4-A14B-CC0DC9805CC8}" destId="{832DAE1D-F4CE-4942-A480-F71E143E40EE}" srcOrd="0" destOrd="0" presId="urn:microsoft.com/office/officeart/2005/8/layout/cycle2"/>
    <dgm:cxn modelId="{A66C1FD7-5F72-49B8-8A50-CC05040B426E}" type="presOf" srcId="{F5419547-B74E-4AF4-A14B-CC0DC9805CC8}" destId="{66162F3F-D4A8-48A6-A4F4-94D3C7008AB9}" srcOrd="1" destOrd="0" presId="urn:microsoft.com/office/officeart/2005/8/layout/cycle2"/>
    <dgm:cxn modelId="{D032ADDB-15DD-40CF-B74D-C200657BB310}" type="presOf" srcId="{9303C2B1-D07F-486C-9DA5-E7FFB25E875A}" destId="{996875EB-E59B-4B07-A50A-B48B81876BE8}" srcOrd="0" destOrd="0" presId="urn:microsoft.com/office/officeart/2005/8/layout/cycle2"/>
    <dgm:cxn modelId="{3A1C80DD-C406-41D6-A3A7-43E82C1FBEFF}" type="presOf" srcId="{E9E65DD9-9FA0-4A4B-BC5D-41B05A654040}" destId="{3A7B1762-C47B-44C5-9CAF-205AE18FB3E9}" srcOrd="0" destOrd="0" presId="urn:microsoft.com/office/officeart/2005/8/layout/cycle2"/>
    <dgm:cxn modelId="{0328C2E3-D155-4426-8720-ED32D1113B48}" srcId="{409BDDE9-3A27-47F4-85D8-1664A7BBC9D7}" destId="{E3066288-2675-41F6-B91E-C0D93C0D5387}" srcOrd="3" destOrd="0" parTransId="{74B9C7B5-1843-49B1-9684-25BEC8264DC9}" sibTransId="{F5419547-B74E-4AF4-A14B-CC0DC9805CC8}"/>
    <dgm:cxn modelId="{7BF7A8FA-142A-4641-8C74-2D68E6D51ABB}" type="presOf" srcId="{D80B9BB5-6398-4EE5-A930-F121F0F97C60}" destId="{DAA19CD7-DA5B-4128-AD7E-D6FF57EFE25F}" srcOrd="0" destOrd="0" presId="urn:microsoft.com/office/officeart/2005/8/layout/cycle2"/>
    <dgm:cxn modelId="{03D4CC04-7DEC-412D-AC58-C745126075AB}" type="presParOf" srcId="{BF183193-0773-41DC-9D14-BAEDA8667C4E}" destId="{4CFDF9AB-E5C0-4F27-B46D-6E315CAA48AB}" srcOrd="0" destOrd="0" presId="urn:microsoft.com/office/officeart/2005/8/layout/cycle2"/>
    <dgm:cxn modelId="{85499173-D1D8-4E9A-9B20-929662542902}" type="presParOf" srcId="{BF183193-0773-41DC-9D14-BAEDA8667C4E}" destId="{0F0F4652-DF1E-42BE-840D-BBA6D69C34D2}" srcOrd="1" destOrd="0" presId="urn:microsoft.com/office/officeart/2005/8/layout/cycle2"/>
    <dgm:cxn modelId="{178E89E9-519E-44BB-AE70-D0BACB92ED5A}" type="presParOf" srcId="{0F0F4652-DF1E-42BE-840D-BBA6D69C34D2}" destId="{616FC870-66E0-428A-841D-742115792AE4}" srcOrd="0" destOrd="0" presId="urn:microsoft.com/office/officeart/2005/8/layout/cycle2"/>
    <dgm:cxn modelId="{D24B9553-6F59-4877-B370-E4EC1E768D94}" type="presParOf" srcId="{BF183193-0773-41DC-9D14-BAEDA8667C4E}" destId="{3A7B1762-C47B-44C5-9CAF-205AE18FB3E9}" srcOrd="2" destOrd="0" presId="urn:microsoft.com/office/officeart/2005/8/layout/cycle2"/>
    <dgm:cxn modelId="{F1BA3568-9A8B-4FAA-8912-27C401D442C5}" type="presParOf" srcId="{BF183193-0773-41DC-9D14-BAEDA8667C4E}" destId="{BE3F1F96-2280-4CEE-B95C-855011585CFA}" srcOrd="3" destOrd="0" presId="urn:microsoft.com/office/officeart/2005/8/layout/cycle2"/>
    <dgm:cxn modelId="{9C7F36A5-677A-4D3D-9F71-8BDB0172DD64}" type="presParOf" srcId="{BE3F1F96-2280-4CEE-B95C-855011585CFA}" destId="{2562A3E7-3779-43D3-84A1-4C86A3368DA7}" srcOrd="0" destOrd="0" presId="urn:microsoft.com/office/officeart/2005/8/layout/cycle2"/>
    <dgm:cxn modelId="{27497DB1-C6BA-4E54-9465-7703AFF82680}" type="presParOf" srcId="{BF183193-0773-41DC-9D14-BAEDA8667C4E}" destId="{0AFF489C-3846-4FA6-9430-9342355A3773}" srcOrd="4" destOrd="0" presId="urn:microsoft.com/office/officeart/2005/8/layout/cycle2"/>
    <dgm:cxn modelId="{DC3F9D46-3E16-4040-9254-5D7C1B44A3B3}" type="presParOf" srcId="{BF183193-0773-41DC-9D14-BAEDA8667C4E}" destId="{2056CB31-840F-45AC-B886-E52E62EF54F8}" srcOrd="5" destOrd="0" presId="urn:microsoft.com/office/officeart/2005/8/layout/cycle2"/>
    <dgm:cxn modelId="{975511AA-1A87-4E07-A321-550357527F1F}" type="presParOf" srcId="{2056CB31-840F-45AC-B886-E52E62EF54F8}" destId="{0A76DB46-C52B-4EEC-B5A9-9216FB9B1A75}" srcOrd="0" destOrd="0" presId="urn:microsoft.com/office/officeart/2005/8/layout/cycle2"/>
    <dgm:cxn modelId="{59E94DCE-2A0E-4F18-9EA7-6341C7CBEFD2}" type="presParOf" srcId="{BF183193-0773-41DC-9D14-BAEDA8667C4E}" destId="{4B04BAA8-0981-4C56-B108-C058D83170D3}" srcOrd="6" destOrd="0" presId="urn:microsoft.com/office/officeart/2005/8/layout/cycle2"/>
    <dgm:cxn modelId="{436F0929-9D38-478F-80E0-000BE9C19D6D}" type="presParOf" srcId="{BF183193-0773-41DC-9D14-BAEDA8667C4E}" destId="{832DAE1D-F4CE-4942-A480-F71E143E40EE}" srcOrd="7" destOrd="0" presId="urn:microsoft.com/office/officeart/2005/8/layout/cycle2"/>
    <dgm:cxn modelId="{A624724D-C903-462A-8D28-2D3478A1211C}" type="presParOf" srcId="{832DAE1D-F4CE-4942-A480-F71E143E40EE}" destId="{66162F3F-D4A8-48A6-A4F4-94D3C7008AB9}" srcOrd="0" destOrd="0" presId="urn:microsoft.com/office/officeart/2005/8/layout/cycle2"/>
    <dgm:cxn modelId="{A1CB292F-26B0-4E47-99BB-64E6B50FF410}" type="presParOf" srcId="{BF183193-0773-41DC-9D14-BAEDA8667C4E}" destId="{CC0DF2F9-E191-4AAA-BD2E-06CEB862566D}" srcOrd="8" destOrd="0" presId="urn:microsoft.com/office/officeart/2005/8/layout/cycle2"/>
    <dgm:cxn modelId="{EC7EBE28-D07E-4BCA-A030-4776809C3A45}" type="presParOf" srcId="{BF183193-0773-41DC-9D14-BAEDA8667C4E}" destId="{DAA19CD7-DA5B-4128-AD7E-D6FF57EFE25F}" srcOrd="9" destOrd="0" presId="urn:microsoft.com/office/officeart/2005/8/layout/cycle2"/>
    <dgm:cxn modelId="{559E5233-3B08-45CA-A119-88A70A1BCDCD}" type="presParOf" srcId="{DAA19CD7-DA5B-4128-AD7E-D6FF57EFE25F}" destId="{8C4FDA73-D765-4F7F-8C58-EF3973915B77}" srcOrd="0" destOrd="0" presId="urn:microsoft.com/office/officeart/2005/8/layout/cycle2"/>
    <dgm:cxn modelId="{92189D00-8F7E-460D-BECD-E773A5F0D533}" type="presParOf" srcId="{BF183193-0773-41DC-9D14-BAEDA8667C4E}" destId="{996875EB-E59B-4B07-A50A-B48B81876BE8}" srcOrd="10" destOrd="0" presId="urn:microsoft.com/office/officeart/2005/8/layout/cycle2"/>
    <dgm:cxn modelId="{417EB06D-1A93-4001-A310-960D1C701599}" type="presParOf" srcId="{BF183193-0773-41DC-9D14-BAEDA8667C4E}" destId="{9FEBFE6A-8A21-4D16-BB05-AFCE5736D125}" srcOrd="11" destOrd="0" presId="urn:microsoft.com/office/officeart/2005/8/layout/cycle2"/>
    <dgm:cxn modelId="{7FC88161-C7CF-4ED1-AC1A-35925D0AFE71}" type="presParOf" srcId="{9FEBFE6A-8A21-4D16-BB05-AFCE5736D125}" destId="{96D5A3AE-DFFA-45D1-824A-D7432FA11187}" srcOrd="0" destOrd="0" presId="urn:microsoft.com/office/officeart/2005/8/layout/cycle2"/>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647E001-C72B-4490-8EDA-8269E59DDB59}"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pl-PL"/>
        </a:p>
      </dgm:t>
    </dgm:pt>
    <dgm:pt modelId="{52396D15-865E-4966-8CB9-FB502180B84A}">
      <dgm:prSet phldrT="[Tekst]" custT="1"/>
      <dgm:spPr>
        <a:xfrm>
          <a:off x="3798920" y="1248775"/>
          <a:ext cx="1356139" cy="678069"/>
        </a:xfrm>
        <a:solidFill>
          <a:schemeClr val="accent6">
            <a:lumMod val="50000"/>
          </a:schemeClr>
        </a:solidFill>
      </dgm:spPr>
      <dgm:t>
        <a:bodyPr/>
        <a:lstStyle/>
        <a:p>
          <a:pPr algn="ctr"/>
          <a:r>
            <a:rPr lang="pl-PL" sz="1000" b="1">
              <a:latin typeface="Arial" panose="020B0604020202020204" pitchFamily="34" charset="0"/>
              <a:ea typeface="+mn-ea"/>
              <a:cs typeface="Arial" panose="020B0604020202020204" pitchFamily="34" charset="0"/>
            </a:rPr>
            <a:t>Podatność</a:t>
          </a:r>
        </a:p>
        <a:p>
          <a:pPr algn="ctr"/>
          <a:r>
            <a:rPr lang="pl-PL" sz="1000">
              <a:latin typeface="Arial" panose="020B0604020202020204" pitchFamily="34" charset="0"/>
              <a:ea typeface="+mn-ea"/>
              <a:cs typeface="Arial" panose="020B0604020202020204" pitchFamily="34" charset="0"/>
            </a:rPr>
            <a:t>na czynnik klimatyczny</a:t>
          </a:r>
        </a:p>
      </dgm:t>
    </dgm:pt>
    <dgm:pt modelId="{FE704068-9088-48C1-8608-4A2C3EFC13D3}" type="parTrans" cxnId="{65FE7FB4-278C-443A-AEC9-1DF32B3A1580}">
      <dgm:prSet/>
      <dgm:spPr/>
      <dgm:t>
        <a:bodyPr/>
        <a:lstStyle/>
        <a:p>
          <a:pPr algn="ctr"/>
          <a:endParaRPr lang="pl-PL"/>
        </a:p>
      </dgm:t>
    </dgm:pt>
    <dgm:pt modelId="{A0A37813-208D-4A26-9416-52634C75E296}" type="sibTrans" cxnId="{65FE7FB4-278C-443A-AEC9-1DF32B3A1580}">
      <dgm:prSet/>
      <dgm:spPr/>
      <dgm:t>
        <a:bodyPr/>
        <a:lstStyle/>
        <a:p>
          <a:pPr algn="ctr"/>
          <a:endParaRPr lang="pl-PL"/>
        </a:p>
      </dgm:t>
    </dgm:pt>
    <dgm:pt modelId="{6B38AB6F-2331-4EDE-9369-7E407D83870E}">
      <dgm:prSet phldrT="[Tekst]" custT="1"/>
      <dgm:spPr>
        <a:xfrm>
          <a:off x="1900325" y="858885"/>
          <a:ext cx="1356139" cy="678069"/>
        </a:xfrm>
        <a:solidFill>
          <a:schemeClr val="accent3">
            <a:lumMod val="40000"/>
            <a:lumOff val="60000"/>
          </a:schemeClr>
        </a:solidFill>
      </dgm:spPr>
      <dgm:t>
        <a:bodyPr/>
        <a:lstStyle/>
        <a:p>
          <a:pPr algn="ctr"/>
          <a:r>
            <a:rPr lang="en-GB" sz="1000">
              <a:solidFill>
                <a:sysClr val="windowText" lastClr="000000"/>
              </a:solidFill>
              <a:latin typeface="Arial" panose="020B0604020202020204" pitchFamily="34" charset="0"/>
              <a:ea typeface="+mn-ea"/>
              <a:cs typeface="Arial" panose="020B0604020202020204" pitchFamily="34" charset="0"/>
            </a:rPr>
            <a:t>Określenie stopnia </a:t>
          </a:r>
          <a:r>
            <a:rPr lang="en-GB" sz="1000" b="1">
              <a:solidFill>
                <a:sysClr val="windowText" lastClr="000000"/>
              </a:solidFill>
              <a:latin typeface="Arial" panose="020B0604020202020204" pitchFamily="34" charset="0"/>
              <a:ea typeface="+mn-ea"/>
              <a:cs typeface="Arial" panose="020B0604020202020204" pitchFamily="34" charset="0"/>
            </a:rPr>
            <a:t>wpływu</a:t>
          </a:r>
          <a:r>
            <a:rPr lang="en-GB" sz="1000">
              <a:solidFill>
                <a:sysClr val="windowText" lastClr="000000"/>
              </a:solidFill>
              <a:latin typeface="Arial" panose="020B0604020202020204" pitchFamily="34" charset="0"/>
              <a:ea typeface="+mn-ea"/>
              <a:cs typeface="Arial" panose="020B0604020202020204" pitchFamily="34" charset="0"/>
            </a:rPr>
            <a:t> zmian klimatycznych</a:t>
          </a:r>
          <a:endParaRPr lang="pl-PL" sz="1000">
            <a:solidFill>
              <a:sysClr val="windowText" lastClr="000000"/>
            </a:solidFill>
            <a:latin typeface="Arial" panose="020B0604020202020204" pitchFamily="34" charset="0"/>
            <a:ea typeface="+mn-ea"/>
            <a:cs typeface="Arial" panose="020B0604020202020204" pitchFamily="34" charset="0"/>
          </a:endParaRPr>
        </a:p>
      </dgm:t>
    </dgm:pt>
    <dgm:pt modelId="{6604B9FD-34B3-469D-9420-4C870C89A027}" type="parTrans" cxnId="{8A0D69F6-0FC6-44E6-B45D-B09407DE06C5}">
      <dgm:prSet custT="1"/>
      <dgm:spPr>
        <a:xfrm rot="12942401">
          <a:off x="3193674" y="1370958"/>
          <a:ext cx="668036" cy="43813"/>
        </a:xfrm>
        <a:ln>
          <a:solidFill>
            <a:schemeClr val="accent1"/>
          </a:solidFill>
        </a:ln>
      </dgm:spPr>
      <dgm:t>
        <a:bodyPr/>
        <a:lstStyle/>
        <a:p>
          <a:pPr algn="ctr"/>
          <a:endParaRPr lang="pl-PL" sz="1000">
            <a:solidFill>
              <a:sysClr val="windowText" lastClr="000000"/>
            </a:solidFill>
            <a:latin typeface="Arial" panose="020B0604020202020204" pitchFamily="34" charset="0"/>
            <a:ea typeface="+mn-ea"/>
            <a:cs typeface="Arial" panose="020B0604020202020204" pitchFamily="34" charset="0"/>
          </a:endParaRPr>
        </a:p>
      </dgm:t>
    </dgm:pt>
    <dgm:pt modelId="{B781589C-78BC-457D-A868-799C313204AE}" type="sibTrans" cxnId="{8A0D69F6-0FC6-44E6-B45D-B09407DE06C5}">
      <dgm:prSet/>
      <dgm:spPr/>
      <dgm:t>
        <a:bodyPr/>
        <a:lstStyle/>
        <a:p>
          <a:pPr algn="ctr"/>
          <a:endParaRPr lang="pl-PL"/>
        </a:p>
      </dgm:t>
    </dgm:pt>
    <dgm:pt modelId="{971CF14B-BE58-4F45-9C11-971EA2524088}">
      <dgm:prSet phldrT="[Tekst]" custT="1"/>
      <dgm:spPr>
        <a:xfrm>
          <a:off x="1731" y="468995"/>
          <a:ext cx="1356139" cy="678069"/>
        </a:xfrm>
        <a:solidFill>
          <a:schemeClr val="accent1">
            <a:lumMod val="40000"/>
            <a:lumOff val="60000"/>
          </a:schemeClr>
        </a:solidFill>
      </dgm:spPr>
      <dgm:t>
        <a:bodyPr/>
        <a:lstStyle/>
        <a:p>
          <a:pPr algn="ctr"/>
          <a:r>
            <a:rPr lang="pl-PL" sz="1000" b="1">
              <a:solidFill>
                <a:sysClr val="windowText" lastClr="000000"/>
              </a:solidFill>
              <a:latin typeface="Arial" panose="020B0604020202020204" pitchFamily="34" charset="0"/>
              <a:ea typeface="+mn-ea"/>
              <a:cs typeface="Arial" panose="020B0604020202020204" pitchFamily="34" charset="0"/>
            </a:rPr>
            <a:t>Narażenie </a:t>
          </a:r>
        </a:p>
        <a:p>
          <a:pPr algn="ctr"/>
          <a:r>
            <a:rPr lang="pl-PL" sz="1000">
              <a:solidFill>
                <a:sysClr val="windowText" lastClr="000000"/>
              </a:solidFill>
              <a:latin typeface="Arial" panose="020B0604020202020204" pitchFamily="34" charset="0"/>
              <a:ea typeface="+mn-ea"/>
              <a:cs typeface="Arial" panose="020B0604020202020204" pitchFamily="34" charset="0"/>
            </a:rPr>
            <a:t>na czynnik klimatyczny </a:t>
          </a:r>
        </a:p>
      </dgm:t>
    </dgm:pt>
    <dgm:pt modelId="{66905756-BFA1-44A3-A907-36EC5C7B0374}" type="parTrans" cxnId="{B25DA28F-70CB-46D4-83EA-0CEB2B84DB89}">
      <dgm:prSet custT="1"/>
      <dgm:spPr>
        <a:xfrm rot="12942401">
          <a:off x="1295080" y="981068"/>
          <a:ext cx="668036" cy="43813"/>
        </a:xfrm>
        <a:ln>
          <a:solidFill>
            <a:schemeClr val="accent1"/>
          </a:solidFill>
        </a:ln>
      </dgm:spPr>
      <dgm:t>
        <a:bodyPr/>
        <a:lstStyle/>
        <a:p>
          <a:pPr algn="ctr"/>
          <a:endParaRPr lang="pl-PL" sz="1000">
            <a:solidFill>
              <a:sysClr val="windowText" lastClr="000000"/>
            </a:solidFill>
            <a:latin typeface="Arial" panose="020B0604020202020204" pitchFamily="34" charset="0"/>
            <a:ea typeface="+mn-ea"/>
            <a:cs typeface="Arial" panose="020B0604020202020204" pitchFamily="34" charset="0"/>
          </a:endParaRPr>
        </a:p>
      </dgm:t>
    </dgm:pt>
    <dgm:pt modelId="{A04E0FC9-C192-44FB-A035-3781F6CA0A31}" type="sibTrans" cxnId="{B25DA28F-70CB-46D4-83EA-0CEB2B84DB89}">
      <dgm:prSet/>
      <dgm:spPr/>
      <dgm:t>
        <a:bodyPr/>
        <a:lstStyle/>
        <a:p>
          <a:pPr algn="ctr"/>
          <a:endParaRPr lang="pl-PL"/>
        </a:p>
      </dgm:t>
    </dgm:pt>
    <dgm:pt modelId="{7B828BDB-9174-432F-9A93-0CF4CAC75166}">
      <dgm:prSet phldrT="[Tekst]" custT="1"/>
      <dgm:spPr>
        <a:xfrm>
          <a:off x="0" y="2107660"/>
          <a:ext cx="1356139" cy="678069"/>
        </a:xfrm>
        <a:solidFill>
          <a:schemeClr val="accent3">
            <a:lumMod val="40000"/>
            <a:lumOff val="60000"/>
          </a:schemeClr>
        </a:solidFill>
      </dgm:spPr>
      <dgm:t>
        <a:bodyPr/>
        <a:lstStyle/>
        <a:p>
          <a:pPr algn="ctr"/>
          <a:r>
            <a:rPr lang="pl-PL" sz="1000" b="1">
              <a:solidFill>
                <a:sysClr val="windowText" lastClr="000000"/>
              </a:solidFill>
              <a:latin typeface="Arial" panose="020B0604020202020204" pitchFamily="34" charset="0"/>
              <a:ea typeface="+mn-ea"/>
              <a:cs typeface="Arial" panose="020B0604020202020204" pitchFamily="34" charset="0"/>
            </a:rPr>
            <a:t>Potencjał adaptacyjny</a:t>
          </a:r>
        </a:p>
        <a:p>
          <a:pPr algn="ctr"/>
          <a:r>
            <a:rPr lang="pl-PL" sz="1000" b="0">
              <a:solidFill>
                <a:sysClr val="windowText" lastClr="000000"/>
              </a:solidFill>
              <a:latin typeface="Arial" panose="020B0604020202020204" pitchFamily="34" charset="0"/>
              <a:ea typeface="+mn-ea"/>
              <a:cs typeface="Arial" panose="020B0604020202020204" pitchFamily="34" charset="0"/>
            </a:rPr>
            <a:t>miasta</a:t>
          </a:r>
        </a:p>
      </dgm:t>
    </dgm:pt>
    <dgm:pt modelId="{26ADC4FA-FD3B-4B45-88CC-72C6B9F7CDD3}" type="parTrans" cxnId="{3A587655-B7F6-4D70-87D9-29FDBDE113BB}">
      <dgm:prSet custT="1"/>
      <dgm:spPr>
        <a:xfrm rot="9637695">
          <a:off x="1282842" y="1995345"/>
          <a:ext cx="2589375" cy="43813"/>
        </a:xfrm>
        <a:ln>
          <a:solidFill>
            <a:schemeClr val="accent1"/>
          </a:solidFill>
        </a:ln>
      </dgm:spPr>
      <dgm:t>
        <a:bodyPr/>
        <a:lstStyle/>
        <a:p>
          <a:pPr algn="ctr"/>
          <a:endParaRPr lang="pl-PL" sz="1000">
            <a:solidFill>
              <a:sysClr val="windowText" lastClr="000000"/>
            </a:solidFill>
            <a:latin typeface="Arial" panose="020B0604020202020204" pitchFamily="34" charset="0"/>
            <a:ea typeface="+mn-ea"/>
            <a:cs typeface="Arial" panose="020B0604020202020204" pitchFamily="34" charset="0"/>
          </a:endParaRPr>
        </a:p>
      </dgm:t>
    </dgm:pt>
    <dgm:pt modelId="{B0DB3D2A-9657-4123-BFAD-38B205272E03}" type="sibTrans" cxnId="{3A587655-B7F6-4D70-87D9-29FDBDE113BB}">
      <dgm:prSet/>
      <dgm:spPr/>
      <dgm:t>
        <a:bodyPr/>
        <a:lstStyle/>
        <a:p>
          <a:pPr algn="ctr"/>
          <a:endParaRPr lang="pl-PL"/>
        </a:p>
      </dgm:t>
    </dgm:pt>
    <dgm:pt modelId="{125922A8-5BCB-4077-B4EB-B7849A3F5CED}">
      <dgm:prSet phldrT="[Tekst]" custT="1"/>
      <dgm:spPr>
        <a:xfrm>
          <a:off x="1731" y="1248775"/>
          <a:ext cx="1356139" cy="678069"/>
        </a:xfrm>
        <a:solidFill>
          <a:schemeClr val="accent1">
            <a:lumMod val="40000"/>
            <a:lumOff val="60000"/>
          </a:schemeClr>
        </a:solidFill>
      </dgm:spPr>
      <dgm:t>
        <a:bodyPr/>
        <a:lstStyle/>
        <a:p>
          <a:pPr algn="ctr"/>
          <a:r>
            <a:rPr lang="pl-PL" sz="1000" b="1">
              <a:solidFill>
                <a:sysClr val="windowText" lastClr="000000"/>
              </a:solidFill>
              <a:latin typeface="Arial" panose="020B0604020202020204" pitchFamily="34" charset="0"/>
              <a:ea typeface="+mn-ea"/>
              <a:cs typeface="Arial" panose="020B0604020202020204" pitchFamily="34" charset="0"/>
            </a:rPr>
            <a:t>Wrażliwość</a:t>
          </a:r>
          <a:r>
            <a:rPr lang="pl-PL" sz="1000">
              <a:solidFill>
                <a:sysClr val="windowText" lastClr="000000"/>
              </a:solidFill>
              <a:latin typeface="Arial" panose="020B0604020202020204" pitchFamily="34" charset="0"/>
              <a:ea typeface="+mn-ea"/>
              <a:cs typeface="Arial" panose="020B0604020202020204" pitchFamily="34" charset="0"/>
            </a:rPr>
            <a:t> </a:t>
          </a:r>
        </a:p>
        <a:p>
          <a:pPr algn="ctr"/>
          <a:r>
            <a:rPr lang="pl-PL" sz="1000">
              <a:solidFill>
                <a:sysClr val="windowText" lastClr="000000"/>
              </a:solidFill>
              <a:latin typeface="Arial" panose="020B0604020202020204" pitchFamily="34" charset="0"/>
              <a:ea typeface="+mn-ea"/>
              <a:cs typeface="Arial" panose="020B0604020202020204" pitchFamily="34" charset="0"/>
            </a:rPr>
            <a:t>obszaru na dany czynnik</a:t>
          </a:r>
        </a:p>
      </dgm:t>
    </dgm:pt>
    <dgm:pt modelId="{BB13C218-FDBF-409B-81AF-7D8C953AA7A2}" type="sibTrans" cxnId="{4804F598-2BFD-4977-B930-0CFE5891140A}">
      <dgm:prSet/>
      <dgm:spPr/>
      <dgm:t>
        <a:bodyPr/>
        <a:lstStyle/>
        <a:p>
          <a:pPr algn="ctr"/>
          <a:endParaRPr lang="pl-PL"/>
        </a:p>
      </dgm:t>
    </dgm:pt>
    <dgm:pt modelId="{81804A2F-5F9F-4FAA-A44A-2CFD46791FC1}" type="parTrans" cxnId="{4804F598-2BFD-4977-B930-0CFE5891140A}">
      <dgm:prSet custT="1"/>
      <dgm:spPr>
        <a:xfrm rot="8657599">
          <a:off x="1295080" y="1370958"/>
          <a:ext cx="668036" cy="43813"/>
        </a:xfrm>
        <a:ln>
          <a:solidFill>
            <a:schemeClr val="accent1"/>
          </a:solidFill>
        </a:ln>
      </dgm:spPr>
      <dgm:t>
        <a:bodyPr/>
        <a:lstStyle/>
        <a:p>
          <a:pPr algn="ctr"/>
          <a:endParaRPr lang="pl-PL" sz="1000">
            <a:solidFill>
              <a:sysClr val="windowText" lastClr="000000"/>
            </a:solidFill>
            <a:latin typeface="Arial" panose="020B0604020202020204" pitchFamily="34" charset="0"/>
            <a:ea typeface="+mn-ea"/>
            <a:cs typeface="Arial" panose="020B0604020202020204" pitchFamily="34" charset="0"/>
          </a:endParaRPr>
        </a:p>
      </dgm:t>
    </dgm:pt>
    <dgm:pt modelId="{1BA41316-545C-44C0-B6D2-BE3E38A55E1B}" type="pres">
      <dgm:prSet presAssocID="{4647E001-C72B-4490-8EDA-8269E59DDB59}" presName="diagram" presStyleCnt="0">
        <dgm:presLayoutVars>
          <dgm:chPref val="1"/>
          <dgm:dir val="rev"/>
          <dgm:animOne val="branch"/>
          <dgm:animLvl val="lvl"/>
          <dgm:resizeHandles val="exact"/>
        </dgm:presLayoutVars>
      </dgm:prSet>
      <dgm:spPr/>
    </dgm:pt>
    <dgm:pt modelId="{8E5B907A-15A2-4175-87C1-89F04EB853C6}" type="pres">
      <dgm:prSet presAssocID="{52396D15-865E-4966-8CB9-FB502180B84A}" presName="root1" presStyleCnt="0"/>
      <dgm:spPr/>
    </dgm:pt>
    <dgm:pt modelId="{3C7E13D0-FF0C-4DC9-A666-BF2908275996}" type="pres">
      <dgm:prSet presAssocID="{52396D15-865E-4966-8CB9-FB502180B84A}" presName="LevelOneTextNode" presStyleLbl="node0" presStyleIdx="0" presStyleCnt="1">
        <dgm:presLayoutVars>
          <dgm:chPref val="3"/>
        </dgm:presLayoutVars>
      </dgm:prSet>
      <dgm:spPr>
        <a:prstGeom prst="roundRect">
          <a:avLst>
            <a:gd name="adj" fmla="val 10000"/>
          </a:avLst>
        </a:prstGeom>
      </dgm:spPr>
    </dgm:pt>
    <dgm:pt modelId="{46BDFB0B-396D-48AF-A647-9532BE7308C9}" type="pres">
      <dgm:prSet presAssocID="{52396D15-865E-4966-8CB9-FB502180B84A}" presName="level2hierChild" presStyleCnt="0"/>
      <dgm:spPr/>
    </dgm:pt>
    <dgm:pt modelId="{A90B8724-E68B-4F10-B9FD-AC9AF187F1A1}" type="pres">
      <dgm:prSet presAssocID="{6604B9FD-34B3-469D-9420-4C870C89A027}" presName="conn2-1" presStyleLbl="parChTrans1D2" presStyleIdx="0" presStyleCnt="2"/>
      <dgm:spPr>
        <a:custGeom>
          <a:avLst/>
          <a:gdLst/>
          <a:ahLst/>
          <a:cxnLst/>
          <a:rect l="0" t="0" r="0" b="0"/>
          <a:pathLst>
            <a:path>
              <a:moveTo>
                <a:pt x="0" y="21906"/>
              </a:moveTo>
              <a:lnTo>
                <a:pt x="668036" y="21906"/>
              </a:lnTo>
            </a:path>
          </a:pathLst>
        </a:custGeom>
      </dgm:spPr>
    </dgm:pt>
    <dgm:pt modelId="{E261AEB2-359D-4F2D-A341-ABBF35E43813}" type="pres">
      <dgm:prSet presAssocID="{6604B9FD-34B3-469D-9420-4C870C89A027}" presName="connTx" presStyleLbl="parChTrans1D2" presStyleIdx="0" presStyleCnt="2"/>
      <dgm:spPr/>
    </dgm:pt>
    <dgm:pt modelId="{4536D5B7-1C8C-4763-A6DA-5830E6734CF4}" type="pres">
      <dgm:prSet presAssocID="{6B38AB6F-2331-4EDE-9369-7E407D83870E}" presName="root2" presStyleCnt="0"/>
      <dgm:spPr/>
    </dgm:pt>
    <dgm:pt modelId="{F48A8838-FD94-40C2-AE6C-4FFB7ABA3CB7}" type="pres">
      <dgm:prSet presAssocID="{6B38AB6F-2331-4EDE-9369-7E407D83870E}" presName="LevelTwoTextNode" presStyleLbl="node2" presStyleIdx="0" presStyleCnt="2">
        <dgm:presLayoutVars>
          <dgm:chPref val="3"/>
        </dgm:presLayoutVars>
      </dgm:prSet>
      <dgm:spPr>
        <a:prstGeom prst="roundRect">
          <a:avLst>
            <a:gd name="adj" fmla="val 10000"/>
          </a:avLst>
        </a:prstGeom>
      </dgm:spPr>
    </dgm:pt>
    <dgm:pt modelId="{61F9D978-B1BE-4520-B698-9F4AB42A2AD9}" type="pres">
      <dgm:prSet presAssocID="{6B38AB6F-2331-4EDE-9369-7E407D83870E}" presName="level3hierChild" presStyleCnt="0"/>
      <dgm:spPr/>
    </dgm:pt>
    <dgm:pt modelId="{8BC2ED3B-6133-45B3-A7B1-B8990BD88D82}" type="pres">
      <dgm:prSet presAssocID="{66905756-BFA1-44A3-A907-36EC5C7B0374}" presName="conn2-1" presStyleLbl="parChTrans1D3" presStyleIdx="0" presStyleCnt="2"/>
      <dgm:spPr>
        <a:custGeom>
          <a:avLst/>
          <a:gdLst/>
          <a:ahLst/>
          <a:cxnLst/>
          <a:rect l="0" t="0" r="0" b="0"/>
          <a:pathLst>
            <a:path>
              <a:moveTo>
                <a:pt x="0" y="21906"/>
              </a:moveTo>
              <a:lnTo>
                <a:pt x="668036" y="21906"/>
              </a:lnTo>
            </a:path>
          </a:pathLst>
        </a:custGeom>
      </dgm:spPr>
    </dgm:pt>
    <dgm:pt modelId="{5B1D1E22-0E3C-42FD-82C7-914D9BF42C75}" type="pres">
      <dgm:prSet presAssocID="{66905756-BFA1-44A3-A907-36EC5C7B0374}" presName="connTx" presStyleLbl="parChTrans1D3" presStyleIdx="0" presStyleCnt="2"/>
      <dgm:spPr/>
    </dgm:pt>
    <dgm:pt modelId="{95E9B396-EFCE-4700-83A1-50E24EE88081}" type="pres">
      <dgm:prSet presAssocID="{971CF14B-BE58-4F45-9C11-971EA2524088}" presName="root2" presStyleCnt="0"/>
      <dgm:spPr/>
    </dgm:pt>
    <dgm:pt modelId="{67BBBFC5-7332-40B7-B7C8-369A659E97C7}" type="pres">
      <dgm:prSet presAssocID="{971CF14B-BE58-4F45-9C11-971EA2524088}" presName="LevelTwoTextNode" presStyleLbl="node3" presStyleIdx="0" presStyleCnt="2">
        <dgm:presLayoutVars>
          <dgm:chPref val="3"/>
        </dgm:presLayoutVars>
      </dgm:prSet>
      <dgm:spPr>
        <a:prstGeom prst="roundRect">
          <a:avLst>
            <a:gd name="adj" fmla="val 10000"/>
          </a:avLst>
        </a:prstGeom>
      </dgm:spPr>
    </dgm:pt>
    <dgm:pt modelId="{241431C7-E410-415D-A907-5DA47AE6F0BD}" type="pres">
      <dgm:prSet presAssocID="{971CF14B-BE58-4F45-9C11-971EA2524088}" presName="level3hierChild" presStyleCnt="0"/>
      <dgm:spPr/>
    </dgm:pt>
    <dgm:pt modelId="{85EA1F28-E35E-409E-BE3E-3284C39BA8E4}" type="pres">
      <dgm:prSet presAssocID="{81804A2F-5F9F-4FAA-A44A-2CFD46791FC1}" presName="conn2-1" presStyleLbl="parChTrans1D3" presStyleIdx="1" presStyleCnt="2"/>
      <dgm:spPr>
        <a:custGeom>
          <a:avLst/>
          <a:gdLst/>
          <a:ahLst/>
          <a:cxnLst/>
          <a:rect l="0" t="0" r="0" b="0"/>
          <a:pathLst>
            <a:path>
              <a:moveTo>
                <a:pt x="0" y="21906"/>
              </a:moveTo>
              <a:lnTo>
                <a:pt x="668036" y="21906"/>
              </a:lnTo>
            </a:path>
          </a:pathLst>
        </a:custGeom>
      </dgm:spPr>
    </dgm:pt>
    <dgm:pt modelId="{CA902DD2-EF73-4AF8-A82F-46152146E7D7}" type="pres">
      <dgm:prSet presAssocID="{81804A2F-5F9F-4FAA-A44A-2CFD46791FC1}" presName="connTx" presStyleLbl="parChTrans1D3" presStyleIdx="1" presStyleCnt="2"/>
      <dgm:spPr/>
    </dgm:pt>
    <dgm:pt modelId="{8882969B-959F-4269-82D5-8A106E1E866F}" type="pres">
      <dgm:prSet presAssocID="{125922A8-5BCB-4077-B4EB-B7849A3F5CED}" presName="root2" presStyleCnt="0"/>
      <dgm:spPr/>
    </dgm:pt>
    <dgm:pt modelId="{0203B2E5-D59F-4031-BB4C-EA3B1C0E95C0}" type="pres">
      <dgm:prSet presAssocID="{125922A8-5BCB-4077-B4EB-B7849A3F5CED}" presName="LevelTwoTextNode" presStyleLbl="node3" presStyleIdx="1" presStyleCnt="2">
        <dgm:presLayoutVars>
          <dgm:chPref val="3"/>
        </dgm:presLayoutVars>
      </dgm:prSet>
      <dgm:spPr>
        <a:prstGeom prst="roundRect">
          <a:avLst>
            <a:gd name="adj" fmla="val 10000"/>
          </a:avLst>
        </a:prstGeom>
      </dgm:spPr>
    </dgm:pt>
    <dgm:pt modelId="{350B9F7B-4D39-437A-BD73-0F1DD82CABC7}" type="pres">
      <dgm:prSet presAssocID="{125922A8-5BCB-4077-B4EB-B7849A3F5CED}" presName="level3hierChild" presStyleCnt="0"/>
      <dgm:spPr/>
    </dgm:pt>
    <dgm:pt modelId="{FDA18AB2-C5E8-4B37-8809-78EE7B80377A}" type="pres">
      <dgm:prSet presAssocID="{26ADC4FA-FD3B-4B45-88CC-72C6B9F7CDD3}" presName="conn2-1" presStyleLbl="parChTrans1D2" presStyleIdx="1" presStyleCnt="2"/>
      <dgm:spPr>
        <a:custGeom>
          <a:avLst/>
          <a:gdLst/>
          <a:ahLst/>
          <a:cxnLst/>
          <a:rect l="0" t="0" r="0" b="0"/>
          <a:pathLst>
            <a:path>
              <a:moveTo>
                <a:pt x="0" y="21906"/>
              </a:moveTo>
              <a:lnTo>
                <a:pt x="2589375" y="21906"/>
              </a:lnTo>
            </a:path>
          </a:pathLst>
        </a:custGeom>
      </dgm:spPr>
    </dgm:pt>
    <dgm:pt modelId="{5A186115-16D0-4B54-A663-4924F73A1613}" type="pres">
      <dgm:prSet presAssocID="{26ADC4FA-FD3B-4B45-88CC-72C6B9F7CDD3}" presName="connTx" presStyleLbl="parChTrans1D2" presStyleIdx="1" presStyleCnt="2"/>
      <dgm:spPr/>
    </dgm:pt>
    <dgm:pt modelId="{0AE3C102-3857-415F-BFE8-4A395D49EDD3}" type="pres">
      <dgm:prSet presAssocID="{7B828BDB-9174-432F-9A93-0CF4CAC75166}" presName="root2" presStyleCnt="0"/>
      <dgm:spPr/>
    </dgm:pt>
    <dgm:pt modelId="{8FD50E84-A8DA-4A0B-82DD-DCE6C8A1DB43}" type="pres">
      <dgm:prSet presAssocID="{7B828BDB-9174-432F-9A93-0CF4CAC75166}" presName="LevelTwoTextNode" presStyleLbl="node2" presStyleIdx="1" presStyleCnt="2" custLinFactX="-40187" custLinFactNeighborX="-100000" custLinFactNeighborY="77924">
        <dgm:presLayoutVars>
          <dgm:chPref val="3"/>
        </dgm:presLayoutVars>
      </dgm:prSet>
      <dgm:spPr>
        <a:prstGeom prst="roundRect">
          <a:avLst>
            <a:gd name="adj" fmla="val 10000"/>
          </a:avLst>
        </a:prstGeom>
      </dgm:spPr>
    </dgm:pt>
    <dgm:pt modelId="{AE25529A-EE14-4878-85D4-E95856510A33}" type="pres">
      <dgm:prSet presAssocID="{7B828BDB-9174-432F-9A93-0CF4CAC75166}" presName="level3hierChild" presStyleCnt="0"/>
      <dgm:spPr/>
    </dgm:pt>
  </dgm:ptLst>
  <dgm:cxnLst>
    <dgm:cxn modelId="{CE959907-196D-4075-8389-5E175DD2A8A4}" type="presOf" srcId="{125922A8-5BCB-4077-B4EB-B7849A3F5CED}" destId="{0203B2E5-D59F-4031-BB4C-EA3B1C0E95C0}" srcOrd="0" destOrd="0" presId="urn:microsoft.com/office/officeart/2005/8/layout/hierarchy2"/>
    <dgm:cxn modelId="{FCA50912-30C7-4DAB-9555-FEEBC86513E1}" type="presOf" srcId="{4647E001-C72B-4490-8EDA-8269E59DDB59}" destId="{1BA41316-545C-44C0-B6D2-BE3E38A55E1B}" srcOrd="0" destOrd="0" presId="urn:microsoft.com/office/officeart/2005/8/layout/hierarchy2"/>
    <dgm:cxn modelId="{0A566915-1778-4953-9749-18CA902FF354}" type="presOf" srcId="{26ADC4FA-FD3B-4B45-88CC-72C6B9F7CDD3}" destId="{FDA18AB2-C5E8-4B37-8809-78EE7B80377A}" srcOrd="0" destOrd="0" presId="urn:microsoft.com/office/officeart/2005/8/layout/hierarchy2"/>
    <dgm:cxn modelId="{0176C51D-FD0E-49F9-AE05-0A8B2D2BAA42}" type="presOf" srcId="{7B828BDB-9174-432F-9A93-0CF4CAC75166}" destId="{8FD50E84-A8DA-4A0B-82DD-DCE6C8A1DB43}" srcOrd="0" destOrd="0" presId="urn:microsoft.com/office/officeart/2005/8/layout/hierarchy2"/>
    <dgm:cxn modelId="{229B305C-FEC5-4EF0-8748-4932CAD7A9EA}" type="presOf" srcId="{26ADC4FA-FD3B-4B45-88CC-72C6B9F7CDD3}" destId="{5A186115-16D0-4B54-A663-4924F73A1613}" srcOrd="1" destOrd="0" presId="urn:microsoft.com/office/officeart/2005/8/layout/hierarchy2"/>
    <dgm:cxn modelId="{944AB742-BA3F-484C-965F-0EC33B9FB9AB}" type="presOf" srcId="{81804A2F-5F9F-4FAA-A44A-2CFD46791FC1}" destId="{CA902DD2-EF73-4AF8-A82F-46152146E7D7}" srcOrd="1" destOrd="0" presId="urn:microsoft.com/office/officeart/2005/8/layout/hierarchy2"/>
    <dgm:cxn modelId="{3A587655-B7F6-4D70-87D9-29FDBDE113BB}" srcId="{52396D15-865E-4966-8CB9-FB502180B84A}" destId="{7B828BDB-9174-432F-9A93-0CF4CAC75166}" srcOrd="1" destOrd="0" parTransId="{26ADC4FA-FD3B-4B45-88CC-72C6B9F7CDD3}" sibTransId="{B0DB3D2A-9657-4123-BFAD-38B205272E03}"/>
    <dgm:cxn modelId="{2B93627C-DD65-4DF2-9A20-08C50B17251C}" type="presOf" srcId="{6604B9FD-34B3-469D-9420-4C870C89A027}" destId="{E261AEB2-359D-4F2D-A341-ABBF35E43813}" srcOrd="1" destOrd="0" presId="urn:microsoft.com/office/officeart/2005/8/layout/hierarchy2"/>
    <dgm:cxn modelId="{9C98C68D-EDAD-480E-A627-7E9F40E812E0}" type="presOf" srcId="{66905756-BFA1-44A3-A907-36EC5C7B0374}" destId="{5B1D1E22-0E3C-42FD-82C7-914D9BF42C75}" srcOrd="1" destOrd="0" presId="urn:microsoft.com/office/officeart/2005/8/layout/hierarchy2"/>
    <dgm:cxn modelId="{B25DA28F-70CB-46D4-83EA-0CEB2B84DB89}" srcId="{6B38AB6F-2331-4EDE-9369-7E407D83870E}" destId="{971CF14B-BE58-4F45-9C11-971EA2524088}" srcOrd="0" destOrd="0" parTransId="{66905756-BFA1-44A3-A907-36EC5C7B0374}" sibTransId="{A04E0FC9-C192-44FB-A035-3781F6CA0A31}"/>
    <dgm:cxn modelId="{D1D4D78F-1B77-420A-A2A8-A5A5468E586C}" type="presOf" srcId="{6604B9FD-34B3-469D-9420-4C870C89A027}" destId="{A90B8724-E68B-4F10-B9FD-AC9AF187F1A1}" srcOrd="0" destOrd="0" presId="urn:microsoft.com/office/officeart/2005/8/layout/hierarchy2"/>
    <dgm:cxn modelId="{4804F598-2BFD-4977-B930-0CFE5891140A}" srcId="{6B38AB6F-2331-4EDE-9369-7E407D83870E}" destId="{125922A8-5BCB-4077-B4EB-B7849A3F5CED}" srcOrd="1" destOrd="0" parTransId="{81804A2F-5F9F-4FAA-A44A-2CFD46791FC1}" sibTransId="{BB13C218-FDBF-409B-81AF-7D8C953AA7A2}"/>
    <dgm:cxn modelId="{3C4DF7AC-C96F-4C55-AD2E-134246F2D55F}" type="presOf" srcId="{66905756-BFA1-44A3-A907-36EC5C7B0374}" destId="{8BC2ED3B-6133-45B3-A7B1-B8990BD88D82}" srcOrd="0" destOrd="0" presId="urn:microsoft.com/office/officeart/2005/8/layout/hierarchy2"/>
    <dgm:cxn modelId="{99A79DAD-D8AA-4BE7-9F67-4B2FC76C0B3B}" type="presOf" srcId="{52396D15-865E-4966-8CB9-FB502180B84A}" destId="{3C7E13D0-FF0C-4DC9-A666-BF2908275996}" srcOrd="0" destOrd="0" presId="urn:microsoft.com/office/officeart/2005/8/layout/hierarchy2"/>
    <dgm:cxn modelId="{65FE7FB4-278C-443A-AEC9-1DF32B3A1580}" srcId="{4647E001-C72B-4490-8EDA-8269E59DDB59}" destId="{52396D15-865E-4966-8CB9-FB502180B84A}" srcOrd="0" destOrd="0" parTransId="{FE704068-9088-48C1-8608-4A2C3EFC13D3}" sibTransId="{A0A37813-208D-4A26-9416-52634C75E296}"/>
    <dgm:cxn modelId="{41B743CD-4B77-470D-8B4C-807FFD478E2E}" type="presOf" srcId="{81804A2F-5F9F-4FAA-A44A-2CFD46791FC1}" destId="{85EA1F28-E35E-409E-BE3E-3284C39BA8E4}" srcOrd="0" destOrd="0" presId="urn:microsoft.com/office/officeart/2005/8/layout/hierarchy2"/>
    <dgm:cxn modelId="{F5512AD9-196B-4393-84CF-4A2326EBC3E2}" type="presOf" srcId="{6B38AB6F-2331-4EDE-9369-7E407D83870E}" destId="{F48A8838-FD94-40C2-AE6C-4FFB7ABA3CB7}" srcOrd="0" destOrd="0" presId="urn:microsoft.com/office/officeart/2005/8/layout/hierarchy2"/>
    <dgm:cxn modelId="{6E5627E8-E3E2-4DB9-A1D0-DCF2623AA224}" type="presOf" srcId="{971CF14B-BE58-4F45-9C11-971EA2524088}" destId="{67BBBFC5-7332-40B7-B7C8-369A659E97C7}" srcOrd="0" destOrd="0" presId="urn:microsoft.com/office/officeart/2005/8/layout/hierarchy2"/>
    <dgm:cxn modelId="{8A0D69F6-0FC6-44E6-B45D-B09407DE06C5}" srcId="{52396D15-865E-4966-8CB9-FB502180B84A}" destId="{6B38AB6F-2331-4EDE-9369-7E407D83870E}" srcOrd="0" destOrd="0" parTransId="{6604B9FD-34B3-469D-9420-4C870C89A027}" sibTransId="{B781589C-78BC-457D-A868-799C313204AE}"/>
    <dgm:cxn modelId="{2F13AE6E-3A8B-43F9-992A-4BE64587EC3D}" type="presParOf" srcId="{1BA41316-545C-44C0-B6D2-BE3E38A55E1B}" destId="{8E5B907A-15A2-4175-87C1-89F04EB853C6}" srcOrd="0" destOrd="0" presId="urn:microsoft.com/office/officeart/2005/8/layout/hierarchy2"/>
    <dgm:cxn modelId="{C754AAC2-20DF-455C-92F6-04953256C2AC}" type="presParOf" srcId="{8E5B907A-15A2-4175-87C1-89F04EB853C6}" destId="{3C7E13D0-FF0C-4DC9-A666-BF2908275996}" srcOrd="0" destOrd="0" presId="urn:microsoft.com/office/officeart/2005/8/layout/hierarchy2"/>
    <dgm:cxn modelId="{C381AB3F-76C3-4289-A9DC-C3BEED41F4D8}" type="presParOf" srcId="{8E5B907A-15A2-4175-87C1-89F04EB853C6}" destId="{46BDFB0B-396D-48AF-A647-9532BE7308C9}" srcOrd="1" destOrd="0" presId="urn:microsoft.com/office/officeart/2005/8/layout/hierarchy2"/>
    <dgm:cxn modelId="{E6676E6B-C1C5-4E4A-B9D2-F6A250E6C857}" type="presParOf" srcId="{46BDFB0B-396D-48AF-A647-9532BE7308C9}" destId="{A90B8724-E68B-4F10-B9FD-AC9AF187F1A1}" srcOrd="0" destOrd="0" presId="urn:microsoft.com/office/officeart/2005/8/layout/hierarchy2"/>
    <dgm:cxn modelId="{882E1F89-C4DD-4C32-9405-23D102C2A5AB}" type="presParOf" srcId="{A90B8724-E68B-4F10-B9FD-AC9AF187F1A1}" destId="{E261AEB2-359D-4F2D-A341-ABBF35E43813}" srcOrd="0" destOrd="0" presId="urn:microsoft.com/office/officeart/2005/8/layout/hierarchy2"/>
    <dgm:cxn modelId="{DB0F1448-682B-4BB6-AEF4-979E2628ED6F}" type="presParOf" srcId="{46BDFB0B-396D-48AF-A647-9532BE7308C9}" destId="{4536D5B7-1C8C-4763-A6DA-5830E6734CF4}" srcOrd="1" destOrd="0" presId="urn:microsoft.com/office/officeart/2005/8/layout/hierarchy2"/>
    <dgm:cxn modelId="{DAEAB7FD-629E-4BB6-A162-9E5876CA72BA}" type="presParOf" srcId="{4536D5B7-1C8C-4763-A6DA-5830E6734CF4}" destId="{F48A8838-FD94-40C2-AE6C-4FFB7ABA3CB7}" srcOrd="0" destOrd="0" presId="urn:microsoft.com/office/officeart/2005/8/layout/hierarchy2"/>
    <dgm:cxn modelId="{4FF4188C-5567-4AB3-8553-1AF2F26E1A14}" type="presParOf" srcId="{4536D5B7-1C8C-4763-A6DA-5830E6734CF4}" destId="{61F9D978-B1BE-4520-B698-9F4AB42A2AD9}" srcOrd="1" destOrd="0" presId="urn:microsoft.com/office/officeart/2005/8/layout/hierarchy2"/>
    <dgm:cxn modelId="{DC3E0FB3-96D9-46EB-9AD8-6E433DE3805A}" type="presParOf" srcId="{61F9D978-B1BE-4520-B698-9F4AB42A2AD9}" destId="{8BC2ED3B-6133-45B3-A7B1-B8990BD88D82}" srcOrd="0" destOrd="0" presId="urn:microsoft.com/office/officeart/2005/8/layout/hierarchy2"/>
    <dgm:cxn modelId="{DB658912-7010-4F56-817F-C026971E599A}" type="presParOf" srcId="{8BC2ED3B-6133-45B3-A7B1-B8990BD88D82}" destId="{5B1D1E22-0E3C-42FD-82C7-914D9BF42C75}" srcOrd="0" destOrd="0" presId="urn:microsoft.com/office/officeart/2005/8/layout/hierarchy2"/>
    <dgm:cxn modelId="{64DD528C-139D-4414-BF37-7A19A3B3069F}" type="presParOf" srcId="{61F9D978-B1BE-4520-B698-9F4AB42A2AD9}" destId="{95E9B396-EFCE-4700-83A1-50E24EE88081}" srcOrd="1" destOrd="0" presId="urn:microsoft.com/office/officeart/2005/8/layout/hierarchy2"/>
    <dgm:cxn modelId="{20371543-12EE-4C36-86C0-9917431B0D34}" type="presParOf" srcId="{95E9B396-EFCE-4700-83A1-50E24EE88081}" destId="{67BBBFC5-7332-40B7-B7C8-369A659E97C7}" srcOrd="0" destOrd="0" presId="urn:microsoft.com/office/officeart/2005/8/layout/hierarchy2"/>
    <dgm:cxn modelId="{F0424CE9-ED49-4AB3-998C-42C3C2EC93D9}" type="presParOf" srcId="{95E9B396-EFCE-4700-83A1-50E24EE88081}" destId="{241431C7-E410-415D-A907-5DA47AE6F0BD}" srcOrd="1" destOrd="0" presId="urn:microsoft.com/office/officeart/2005/8/layout/hierarchy2"/>
    <dgm:cxn modelId="{27D35FCB-A1B4-414F-91CE-AD91C877AB37}" type="presParOf" srcId="{61F9D978-B1BE-4520-B698-9F4AB42A2AD9}" destId="{85EA1F28-E35E-409E-BE3E-3284C39BA8E4}" srcOrd="2" destOrd="0" presId="urn:microsoft.com/office/officeart/2005/8/layout/hierarchy2"/>
    <dgm:cxn modelId="{5315309C-3B0A-4827-9497-B6B0B167517F}" type="presParOf" srcId="{85EA1F28-E35E-409E-BE3E-3284C39BA8E4}" destId="{CA902DD2-EF73-4AF8-A82F-46152146E7D7}" srcOrd="0" destOrd="0" presId="urn:microsoft.com/office/officeart/2005/8/layout/hierarchy2"/>
    <dgm:cxn modelId="{CBA9D45B-36CE-4DB8-BF7B-DF9D6444E1C5}" type="presParOf" srcId="{61F9D978-B1BE-4520-B698-9F4AB42A2AD9}" destId="{8882969B-959F-4269-82D5-8A106E1E866F}" srcOrd="3" destOrd="0" presId="urn:microsoft.com/office/officeart/2005/8/layout/hierarchy2"/>
    <dgm:cxn modelId="{B3CFBCA7-6225-467D-90C2-F0D41EED80CD}" type="presParOf" srcId="{8882969B-959F-4269-82D5-8A106E1E866F}" destId="{0203B2E5-D59F-4031-BB4C-EA3B1C0E95C0}" srcOrd="0" destOrd="0" presId="urn:microsoft.com/office/officeart/2005/8/layout/hierarchy2"/>
    <dgm:cxn modelId="{44CB4168-3F7D-4E53-8B98-3CBEBDEB42E5}" type="presParOf" srcId="{8882969B-959F-4269-82D5-8A106E1E866F}" destId="{350B9F7B-4D39-437A-BD73-0F1DD82CABC7}" srcOrd="1" destOrd="0" presId="urn:microsoft.com/office/officeart/2005/8/layout/hierarchy2"/>
    <dgm:cxn modelId="{D5E8CD3D-9483-4576-A0E7-1E5872C77081}" type="presParOf" srcId="{46BDFB0B-396D-48AF-A647-9532BE7308C9}" destId="{FDA18AB2-C5E8-4B37-8809-78EE7B80377A}" srcOrd="2" destOrd="0" presId="urn:microsoft.com/office/officeart/2005/8/layout/hierarchy2"/>
    <dgm:cxn modelId="{945D8D82-1F4A-495B-94BC-65A2B10C3C0C}" type="presParOf" srcId="{FDA18AB2-C5E8-4B37-8809-78EE7B80377A}" destId="{5A186115-16D0-4B54-A663-4924F73A1613}" srcOrd="0" destOrd="0" presId="urn:microsoft.com/office/officeart/2005/8/layout/hierarchy2"/>
    <dgm:cxn modelId="{2C37AAD6-D595-45DA-ACD4-281DB4F31448}" type="presParOf" srcId="{46BDFB0B-396D-48AF-A647-9532BE7308C9}" destId="{0AE3C102-3857-415F-BFE8-4A395D49EDD3}" srcOrd="3" destOrd="0" presId="urn:microsoft.com/office/officeart/2005/8/layout/hierarchy2"/>
    <dgm:cxn modelId="{1D8CB309-2AD1-4146-B422-699D367D57C5}" type="presParOf" srcId="{0AE3C102-3857-415F-BFE8-4A395D49EDD3}" destId="{8FD50E84-A8DA-4A0B-82DD-DCE6C8A1DB43}" srcOrd="0" destOrd="0" presId="urn:microsoft.com/office/officeart/2005/8/layout/hierarchy2"/>
    <dgm:cxn modelId="{752C775E-410A-4030-8A95-6CEE766E61F6}" type="presParOf" srcId="{0AE3C102-3857-415F-BFE8-4A395D49EDD3}" destId="{AE25529A-EE14-4878-85D4-E95856510A33}" srcOrd="1" destOrd="0" presId="urn:microsoft.com/office/officeart/2005/8/layout/hierarchy2"/>
  </dgm:cxnLst>
  <dgm:bg/>
  <dgm:whole>
    <a:ln>
      <a:noFill/>
    </a:ln>
  </dgm:whole>
  <dgm:extLst>
    <a:ext uri="http://schemas.microsoft.com/office/drawing/2008/diagram">
      <dsp:dataModelExt xmlns:dsp="http://schemas.microsoft.com/office/drawing/2008/diagram" relId="rId38"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F6ACFCF-AFC4-4FF7-A49A-5ECC34E784B9}" type="doc">
      <dgm:prSet loTypeId="urn:microsoft.com/office/officeart/2008/layout/PictureStrips" loCatId="list" qsTypeId="urn:microsoft.com/office/officeart/2005/8/quickstyle/simple1" qsCatId="simple" csTypeId="urn:microsoft.com/office/officeart/2005/8/colors/accent1_1" csCatId="accent1" phldr="1"/>
      <dgm:spPr/>
      <dgm:t>
        <a:bodyPr/>
        <a:lstStyle/>
        <a:p>
          <a:endParaRPr lang="pl-PL"/>
        </a:p>
      </dgm:t>
    </dgm:pt>
    <dgm:pt modelId="{FF164BFC-79D2-47E5-A1F3-E21C0B9CA4A7}">
      <dgm:prSet phldrT="[Tekst]" custT="1"/>
      <dgm:spPr/>
      <dgm:t>
        <a:bodyPr/>
        <a:lstStyle/>
        <a:p>
          <a:pPr algn="l"/>
          <a:r>
            <a:rPr lang="pl-PL" sz="1100"/>
            <a:t>działania o charakterze "twardym", realizowane w środowisku lub w obiektach miejskich, polegające na budowie, przebudowie, lub modernizacji infrastruktury, lub przestrzeni miejskiej; działania te pozwalają w którkim czasie uzyskać efekt adaptacj, odnoszą się raczej do zmniejszenia wrażliwości miasta na zmiany klimatu</a:t>
          </a:r>
        </a:p>
      </dgm:t>
    </dgm:pt>
    <dgm:pt modelId="{B5EA9015-7947-4ACE-8776-564DF443A568}" type="parTrans" cxnId="{C5734B99-F46B-4C78-8C6E-FB0D28B27171}">
      <dgm:prSet/>
      <dgm:spPr/>
      <dgm:t>
        <a:bodyPr/>
        <a:lstStyle/>
        <a:p>
          <a:pPr algn="l"/>
          <a:endParaRPr lang="pl-PL"/>
        </a:p>
      </dgm:t>
    </dgm:pt>
    <dgm:pt modelId="{94196E45-A97E-4D4B-BFF5-52C62EE105B6}" type="sibTrans" cxnId="{C5734B99-F46B-4C78-8C6E-FB0D28B27171}">
      <dgm:prSet/>
      <dgm:spPr/>
      <dgm:t>
        <a:bodyPr/>
        <a:lstStyle/>
        <a:p>
          <a:pPr algn="l"/>
          <a:endParaRPr lang="pl-PL"/>
        </a:p>
      </dgm:t>
    </dgm:pt>
    <dgm:pt modelId="{DC7F535C-811C-467F-BB7A-3136201CF05B}">
      <dgm:prSet phldrT="[Tekst]" custT="1"/>
      <dgm:spPr/>
      <dgm:t>
        <a:bodyPr/>
        <a:lstStyle/>
        <a:p>
          <a:pPr algn="l"/>
          <a:r>
            <a:rPr lang="pl-PL" sz="1100"/>
            <a:t>działania służące zwiększeniu zasobów miasta w zakresie finansów, zasobów ludzkich, instytucji, zasobów wiedzy, działania te generalnie odnoszą się do budowania potencjału adaptacyjnego miasta</a:t>
          </a:r>
          <a:endParaRPr lang="pl-PL" sz="1050"/>
        </a:p>
      </dgm:t>
    </dgm:pt>
    <dgm:pt modelId="{BFE073E0-135B-43F0-93BE-D2037341AEE7}" type="parTrans" cxnId="{1C2AFCF2-E521-47F6-A80C-223F88B24722}">
      <dgm:prSet/>
      <dgm:spPr/>
      <dgm:t>
        <a:bodyPr/>
        <a:lstStyle/>
        <a:p>
          <a:pPr algn="l"/>
          <a:endParaRPr lang="pl-PL"/>
        </a:p>
      </dgm:t>
    </dgm:pt>
    <dgm:pt modelId="{ABEFF245-083D-485D-BE35-E144F30BF3DC}" type="sibTrans" cxnId="{1C2AFCF2-E521-47F6-A80C-223F88B24722}">
      <dgm:prSet/>
      <dgm:spPr/>
      <dgm:t>
        <a:bodyPr/>
        <a:lstStyle/>
        <a:p>
          <a:pPr algn="l"/>
          <a:endParaRPr lang="pl-PL"/>
        </a:p>
      </dgm:t>
    </dgm:pt>
    <dgm:pt modelId="{D821B885-285B-4B93-B31B-0CA52364EA7E}">
      <dgm:prSet phldrT="[Tekst]" custT="1"/>
      <dgm:spPr/>
      <dgm:t>
        <a:bodyPr/>
        <a:lstStyle/>
        <a:p>
          <a:pPr algn="l"/>
          <a:r>
            <a:rPr lang="pl-PL" sz="1100"/>
            <a:t>działania skierowane na podnoszenie świadomości klimatycznej mieszkańców, obejmujące edukację i informowanie o zagrożeniach, planowanych i podjętych działaniach adaptacyjnych oraz o funkcjonujących systemach monitorowania i ostrzegania przed zagrożeniami, a także propagowanie dobrych praktyk</a:t>
          </a:r>
        </a:p>
      </dgm:t>
    </dgm:pt>
    <dgm:pt modelId="{77B91200-BA59-4D33-BFCA-1F754BE0FC0D}" type="parTrans" cxnId="{B6D77A1E-44F9-47AC-BB4A-25D0D3FAC038}">
      <dgm:prSet/>
      <dgm:spPr/>
      <dgm:t>
        <a:bodyPr/>
        <a:lstStyle/>
        <a:p>
          <a:pPr algn="l"/>
          <a:endParaRPr lang="pl-PL"/>
        </a:p>
      </dgm:t>
    </dgm:pt>
    <dgm:pt modelId="{B16BA33B-63F8-4AC6-A588-5E494EDE0470}" type="sibTrans" cxnId="{B6D77A1E-44F9-47AC-BB4A-25D0D3FAC038}">
      <dgm:prSet/>
      <dgm:spPr/>
      <dgm:t>
        <a:bodyPr/>
        <a:lstStyle/>
        <a:p>
          <a:pPr algn="l"/>
          <a:endParaRPr lang="pl-PL"/>
        </a:p>
      </dgm:t>
    </dgm:pt>
    <dgm:pt modelId="{B45E6740-A5A5-435D-8666-2AA9F3F9849E}" type="pres">
      <dgm:prSet presAssocID="{3F6ACFCF-AFC4-4FF7-A49A-5ECC34E784B9}" presName="Name0" presStyleCnt="0">
        <dgm:presLayoutVars>
          <dgm:dir/>
          <dgm:resizeHandles val="exact"/>
        </dgm:presLayoutVars>
      </dgm:prSet>
      <dgm:spPr/>
    </dgm:pt>
    <dgm:pt modelId="{675355A0-0BF8-471B-A50C-DD457E034AB0}" type="pres">
      <dgm:prSet presAssocID="{FF164BFC-79D2-47E5-A1F3-E21C0B9CA4A7}" presName="composite" presStyleCnt="0"/>
      <dgm:spPr/>
    </dgm:pt>
    <dgm:pt modelId="{40FB0CFC-295A-4A37-8480-B2126C6D0080}" type="pres">
      <dgm:prSet presAssocID="{FF164BFC-79D2-47E5-A1F3-E21C0B9CA4A7}" presName="rect1" presStyleLbl="trAlignAcc1" presStyleIdx="0" presStyleCnt="3" custScaleX="175923" custScaleY="103555" custLinFactNeighborX="22003" custLinFactNeighborY="-4833">
        <dgm:presLayoutVars>
          <dgm:bulletEnabled val="1"/>
        </dgm:presLayoutVars>
      </dgm:prSet>
      <dgm:spPr/>
    </dgm:pt>
    <dgm:pt modelId="{5B1CCC90-92C1-48E8-B69B-148D8FC90958}" type="pres">
      <dgm:prSet presAssocID="{FF164BFC-79D2-47E5-A1F3-E21C0B9CA4A7}" presName="rect2" presStyleLbl="fgImgPlace1" presStyleIdx="0" presStyleCnt="3" custScaleX="209233" custLinFactX="-52785" custLinFactNeighborX="-100000" custLinFactNeighborY="-5238"/>
      <dgm:spPr>
        <a:solidFill>
          <a:srgbClr val="D3DACD"/>
        </a:solidFill>
      </dgm:spPr>
    </dgm:pt>
    <dgm:pt modelId="{4E3D60A1-1C00-44BD-91A1-A0664FD6A47C}" type="pres">
      <dgm:prSet presAssocID="{94196E45-A97E-4D4B-BFF5-52C62EE105B6}" presName="sibTrans" presStyleCnt="0"/>
      <dgm:spPr/>
    </dgm:pt>
    <dgm:pt modelId="{C6B2FEB5-2103-46D6-B108-3143BF24CA58}" type="pres">
      <dgm:prSet presAssocID="{DC7F535C-811C-467F-BB7A-3136201CF05B}" presName="composite" presStyleCnt="0"/>
      <dgm:spPr/>
    </dgm:pt>
    <dgm:pt modelId="{D368C36B-10F3-48FD-8186-79CB1E0E0789}" type="pres">
      <dgm:prSet presAssocID="{DC7F535C-811C-467F-BB7A-3136201CF05B}" presName="rect1" presStyleLbl="trAlignAcc1" presStyleIdx="1" presStyleCnt="3" custScaleX="175597" custScaleY="80273" custLinFactNeighborX="25794" custLinFactNeighborY="-1387">
        <dgm:presLayoutVars>
          <dgm:bulletEnabled val="1"/>
        </dgm:presLayoutVars>
      </dgm:prSet>
      <dgm:spPr/>
    </dgm:pt>
    <dgm:pt modelId="{5513E84C-04EE-4A35-A017-5BD4BFF1AE99}" type="pres">
      <dgm:prSet presAssocID="{DC7F535C-811C-467F-BB7A-3136201CF05B}" presName="rect2" presStyleLbl="fgImgPlace1" presStyleIdx="1" presStyleCnt="3" custScaleX="204375" custScaleY="97417" custLinFactX="-51068" custLinFactNeighborX="-100000" custLinFactNeighborY="-7762"/>
      <dgm:spPr>
        <a:solidFill>
          <a:srgbClr val="D3DACD"/>
        </a:solidFill>
      </dgm:spPr>
    </dgm:pt>
    <dgm:pt modelId="{08381F44-DF6D-4850-84D3-887D84A6143C}" type="pres">
      <dgm:prSet presAssocID="{ABEFF245-083D-485D-BE35-E144F30BF3DC}" presName="sibTrans" presStyleCnt="0"/>
      <dgm:spPr/>
    </dgm:pt>
    <dgm:pt modelId="{8E240973-92FC-4F1F-BC31-1536B06E0A65}" type="pres">
      <dgm:prSet presAssocID="{D821B885-285B-4B93-B31B-0CA52364EA7E}" presName="composite" presStyleCnt="0"/>
      <dgm:spPr/>
    </dgm:pt>
    <dgm:pt modelId="{27CAD338-EDD1-4102-A8BB-D08CF5135BF8}" type="pres">
      <dgm:prSet presAssocID="{D821B885-285B-4B93-B31B-0CA52364EA7E}" presName="rect1" presStyleLbl="trAlignAcc1" presStyleIdx="2" presStyleCnt="3" custScaleX="175871" custScaleY="100889" custLinFactNeighborX="22183" custLinFactNeighborY="-1674">
        <dgm:presLayoutVars>
          <dgm:bulletEnabled val="1"/>
        </dgm:presLayoutVars>
      </dgm:prSet>
      <dgm:spPr/>
    </dgm:pt>
    <dgm:pt modelId="{91BE115E-A969-4D98-85F6-0A12AE8EB64B}" type="pres">
      <dgm:prSet presAssocID="{D821B885-285B-4B93-B31B-0CA52364EA7E}" presName="rect2" presStyleLbl="fgImgPlace1" presStyleIdx="2" presStyleCnt="3" custScaleX="209639" custScaleY="97629" custLinFactX="-50509" custLinFactNeighborX="-100000" custLinFactNeighborY="-5371"/>
      <dgm:spPr>
        <a:solidFill>
          <a:srgbClr val="D3DACD"/>
        </a:solidFill>
      </dgm:spPr>
    </dgm:pt>
  </dgm:ptLst>
  <dgm:cxnLst>
    <dgm:cxn modelId="{DC73F715-2249-432B-B8DB-D124C6112176}" type="presOf" srcId="{3F6ACFCF-AFC4-4FF7-A49A-5ECC34E784B9}" destId="{B45E6740-A5A5-435D-8666-2AA9F3F9849E}" srcOrd="0" destOrd="0" presId="urn:microsoft.com/office/officeart/2008/layout/PictureStrips"/>
    <dgm:cxn modelId="{1EA65616-C8FE-4042-919F-F4F4709A2A99}" type="presOf" srcId="{D821B885-285B-4B93-B31B-0CA52364EA7E}" destId="{27CAD338-EDD1-4102-A8BB-D08CF5135BF8}" srcOrd="0" destOrd="0" presId="urn:microsoft.com/office/officeart/2008/layout/PictureStrips"/>
    <dgm:cxn modelId="{B6D77A1E-44F9-47AC-BB4A-25D0D3FAC038}" srcId="{3F6ACFCF-AFC4-4FF7-A49A-5ECC34E784B9}" destId="{D821B885-285B-4B93-B31B-0CA52364EA7E}" srcOrd="2" destOrd="0" parTransId="{77B91200-BA59-4D33-BFCA-1F754BE0FC0D}" sibTransId="{B16BA33B-63F8-4AC6-A588-5E494EDE0470}"/>
    <dgm:cxn modelId="{32EFB275-751B-4685-AD4A-470EDB6BBD96}" type="presOf" srcId="{DC7F535C-811C-467F-BB7A-3136201CF05B}" destId="{D368C36B-10F3-48FD-8186-79CB1E0E0789}" srcOrd="0" destOrd="0" presId="urn:microsoft.com/office/officeart/2008/layout/PictureStrips"/>
    <dgm:cxn modelId="{C5734B99-F46B-4C78-8C6E-FB0D28B27171}" srcId="{3F6ACFCF-AFC4-4FF7-A49A-5ECC34E784B9}" destId="{FF164BFC-79D2-47E5-A1F3-E21C0B9CA4A7}" srcOrd="0" destOrd="0" parTransId="{B5EA9015-7947-4ACE-8776-564DF443A568}" sibTransId="{94196E45-A97E-4D4B-BFF5-52C62EE105B6}"/>
    <dgm:cxn modelId="{1C2AFCF2-E521-47F6-A80C-223F88B24722}" srcId="{3F6ACFCF-AFC4-4FF7-A49A-5ECC34E784B9}" destId="{DC7F535C-811C-467F-BB7A-3136201CF05B}" srcOrd="1" destOrd="0" parTransId="{BFE073E0-135B-43F0-93BE-D2037341AEE7}" sibTransId="{ABEFF245-083D-485D-BE35-E144F30BF3DC}"/>
    <dgm:cxn modelId="{B18E3CF5-C4D5-4AFE-AF97-ED678574522D}" type="presOf" srcId="{FF164BFC-79D2-47E5-A1F3-E21C0B9CA4A7}" destId="{40FB0CFC-295A-4A37-8480-B2126C6D0080}" srcOrd="0" destOrd="0" presId="urn:microsoft.com/office/officeart/2008/layout/PictureStrips"/>
    <dgm:cxn modelId="{E428A64E-F4F6-4130-8452-CEC43F374A85}" type="presParOf" srcId="{B45E6740-A5A5-435D-8666-2AA9F3F9849E}" destId="{675355A0-0BF8-471B-A50C-DD457E034AB0}" srcOrd="0" destOrd="0" presId="urn:microsoft.com/office/officeart/2008/layout/PictureStrips"/>
    <dgm:cxn modelId="{E6A0A183-9CAA-476A-9CBC-94C66411EFF3}" type="presParOf" srcId="{675355A0-0BF8-471B-A50C-DD457E034AB0}" destId="{40FB0CFC-295A-4A37-8480-B2126C6D0080}" srcOrd="0" destOrd="0" presId="urn:microsoft.com/office/officeart/2008/layout/PictureStrips"/>
    <dgm:cxn modelId="{71936FE7-9A9B-4A7A-A67C-8E4C81F1B5FB}" type="presParOf" srcId="{675355A0-0BF8-471B-A50C-DD457E034AB0}" destId="{5B1CCC90-92C1-48E8-B69B-148D8FC90958}" srcOrd="1" destOrd="0" presId="urn:microsoft.com/office/officeart/2008/layout/PictureStrips"/>
    <dgm:cxn modelId="{CF6C5C17-53ED-488E-A594-B7ACF006D19E}" type="presParOf" srcId="{B45E6740-A5A5-435D-8666-2AA9F3F9849E}" destId="{4E3D60A1-1C00-44BD-91A1-A0664FD6A47C}" srcOrd="1" destOrd="0" presId="urn:microsoft.com/office/officeart/2008/layout/PictureStrips"/>
    <dgm:cxn modelId="{D01492C2-CDA7-448A-938D-1A1741762DDE}" type="presParOf" srcId="{B45E6740-A5A5-435D-8666-2AA9F3F9849E}" destId="{C6B2FEB5-2103-46D6-B108-3143BF24CA58}" srcOrd="2" destOrd="0" presId="urn:microsoft.com/office/officeart/2008/layout/PictureStrips"/>
    <dgm:cxn modelId="{F2F5E3D0-38E1-4BF7-B588-03009F4B527B}" type="presParOf" srcId="{C6B2FEB5-2103-46D6-B108-3143BF24CA58}" destId="{D368C36B-10F3-48FD-8186-79CB1E0E0789}" srcOrd="0" destOrd="0" presId="urn:microsoft.com/office/officeart/2008/layout/PictureStrips"/>
    <dgm:cxn modelId="{C258EDD2-0E45-4EDB-B9B3-17AF561DBBE2}" type="presParOf" srcId="{C6B2FEB5-2103-46D6-B108-3143BF24CA58}" destId="{5513E84C-04EE-4A35-A017-5BD4BFF1AE99}" srcOrd="1" destOrd="0" presId="urn:microsoft.com/office/officeart/2008/layout/PictureStrips"/>
    <dgm:cxn modelId="{69D5E257-20BE-4920-9474-4C6B0798C1C0}" type="presParOf" srcId="{B45E6740-A5A5-435D-8666-2AA9F3F9849E}" destId="{08381F44-DF6D-4850-84D3-887D84A6143C}" srcOrd="3" destOrd="0" presId="urn:microsoft.com/office/officeart/2008/layout/PictureStrips"/>
    <dgm:cxn modelId="{62B93EA9-63C0-4FCB-B08E-E99CFE6030D0}" type="presParOf" srcId="{B45E6740-A5A5-435D-8666-2AA9F3F9849E}" destId="{8E240973-92FC-4F1F-BC31-1536B06E0A65}" srcOrd="4" destOrd="0" presId="urn:microsoft.com/office/officeart/2008/layout/PictureStrips"/>
    <dgm:cxn modelId="{BCBD8BAD-A759-4391-81CF-8E0FA5DF4578}" type="presParOf" srcId="{8E240973-92FC-4F1F-BC31-1536B06E0A65}" destId="{27CAD338-EDD1-4102-A8BB-D08CF5135BF8}" srcOrd="0" destOrd="0" presId="urn:microsoft.com/office/officeart/2008/layout/PictureStrips"/>
    <dgm:cxn modelId="{612E9B72-0F10-49A1-9BC3-52167C9E1FCB}" type="presParOf" srcId="{8E240973-92FC-4F1F-BC31-1536B06E0A65}" destId="{91BE115E-A969-4D98-85F6-0A12AE8EB64B}" srcOrd="1" destOrd="0" presId="urn:microsoft.com/office/officeart/2008/layout/PictureStrips"/>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64825836-AC97-4675-9F67-4B1C23B115C6}" type="doc">
      <dgm:prSet loTypeId="urn:microsoft.com/office/officeart/2005/8/layout/hierarchy3" loCatId="list" qsTypeId="urn:microsoft.com/office/officeart/2005/8/quickstyle/simple1" qsCatId="simple" csTypeId="urn:microsoft.com/office/officeart/2005/8/colors/accent3_4" csCatId="accent3" phldr="1"/>
      <dgm:spPr/>
      <dgm:t>
        <a:bodyPr/>
        <a:lstStyle/>
        <a:p>
          <a:endParaRPr lang="pl-PL"/>
        </a:p>
      </dgm:t>
    </dgm:pt>
    <dgm:pt modelId="{CF49846D-DDF7-485A-A4D4-05099727A266}">
      <dgm:prSet phldrT="[Tekst]" custT="1"/>
      <dgm:spPr>
        <a:xfrm>
          <a:off x="680442" y="1559"/>
          <a:ext cx="1178718" cy="589359"/>
        </a:xfrm>
        <a:solidFill>
          <a:srgbClr val="9BBB59">
            <a:shade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spcAft>
              <a:spcPts val="0"/>
            </a:spcAft>
          </a:pPr>
          <a:r>
            <a:rPr lang="pl-PL" sz="1000" b="1">
              <a:solidFill>
                <a:sysClr val="window" lastClr="FFFFFF"/>
              </a:solidFill>
              <a:latin typeface="Arial" panose="020B0604020202020204" pitchFamily="34" charset="0"/>
              <a:ea typeface="+mn-ea"/>
              <a:cs typeface="Arial" panose="020B0604020202020204" pitchFamily="34" charset="0"/>
            </a:rPr>
            <a:t>Opady</a:t>
          </a:r>
        </a:p>
        <a:p>
          <a:pPr>
            <a:spcAft>
              <a:spcPct val="35000"/>
            </a:spcAft>
          </a:pPr>
          <a:r>
            <a:rPr lang="pl-PL" sz="1000" b="1">
              <a:solidFill>
                <a:sysClr val="window" lastClr="FFFFFF"/>
              </a:solidFill>
              <a:latin typeface="Arial" panose="020B0604020202020204" pitchFamily="34" charset="0"/>
              <a:ea typeface="+mn-ea"/>
              <a:cs typeface="Arial" panose="020B0604020202020204" pitchFamily="34" charset="0"/>
            </a:rPr>
            <a:t>- deszcze nawalne i susze</a:t>
          </a:r>
        </a:p>
      </dgm:t>
    </dgm:pt>
    <dgm:pt modelId="{F548407D-733C-4711-BEBF-87091A177978}" type="parTrans" cxnId="{3577C0E0-BBB3-4185-B52D-7F425E932FA6}">
      <dgm:prSet/>
      <dgm:spPr/>
      <dgm:t>
        <a:bodyPr/>
        <a:lstStyle/>
        <a:p>
          <a:endParaRPr lang="pl-PL" sz="1000">
            <a:latin typeface="Arial" panose="020B0604020202020204" pitchFamily="34" charset="0"/>
            <a:cs typeface="Arial" panose="020B0604020202020204" pitchFamily="34" charset="0"/>
          </a:endParaRPr>
        </a:p>
      </dgm:t>
    </dgm:pt>
    <dgm:pt modelId="{F3BE8999-F70C-402D-BEE7-256F141AD4F3}" type="sibTrans" cxnId="{3577C0E0-BBB3-4185-B52D-7F425E932FA6}">
      <dgm:prSet/>
      <dgm:spPr/>
      <dgm:t>
        <a:bodyPr/>
        <a:lstStyle/>
        <a:p>
          <a:endParaRPr lang="pl-PL" sz="1000">
            <a:latin typeface="Arial" panose="020B0604020202020204" pitchFamily="34" charset="0"/>
            <a:cs typeface="Arial" panose="020B0604020202020204" pitchFamily="34" charset="0"/>
          </a:endParaRPr>
        </a:p>
      </dgm:t>
    </dgm:pt>
    <dgm:pt modelId="{5C9E1DDF-BB1C-47DA-84FC-5153D76FE2CA}">
      <dgm:prSet phldrT="[Tekst]" custT="1"/>
      <dgm:spPr>
        <a:xfrm>
          <a:off x="916185" y="738258"/>
          <a:ext cx="942975" cy="589359"/>
        </a:xfrm>
        <a:solidFill>
          <a:sysClr val="window" lastClr="FFFFFF">
            <a:alpha val="90000"/>
            <a:hueOff val="0"/>
            <a:satOff val="0"/>
            <a:lumOff val="0"/>
            <a:alphaOff val="0"/>
          </a:sysClr>
        </a:solidFill>
        <a:ln w="25400" cap="flat" cmpd="sng" algn="ctr">
          <a:solidFill>
            <a:srgbClr val="9BBB59">
              <a:shade val="50000"/>
              <a:hueOff val="0"/>
              <a:satOff val="0"/>
              <a:lumOff val="0"/>
              <a:alphaOff val="0"/>
            </a:srgbClr>
          </a:solidFill>
          <a:prstDash val="solid"/>
        </a:ln>
        <a:effectLst/>
      </dgm:spPr>
      <dgm:t>
        <a:bodyPr/>
        <a:lstStyle/>
        <a:p>
          <a:r>
            <a:rPr lang="pl-PL" sz="10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Powodzie i podtopienia</a:t>
          </a:r>
        </a:p>
      </dgm:t>
    </dgm:pt>
    <dgm:pt modelId="{BE2C44D6-E203-42AA-9DED-1B4BAD30BF8C}" type="parTrans" cxnId="{67E564CE-FE56-457F-A60A-5E26225E5781}">
      <dgm:prSet/>
      <dgm:spPr>
        <a:xfrm>
          <a:off x="798314" y="590918"/>
          <a:ext cx="117871" cy="442019"/>
        </a:xfrm>
        <a:noFill/>
        <a:ln w="25400" cap="flat" cmpd="sng" algn="ctr">
          <a:solidFill>
            <a:srgbClr val="9BBB59">
              <a:tint val="90000"/>
              <a:hueOff val="0"/>
              <a:satOff val="0"/>
              <a:lumOff val="0"/>
              <a:alphaOff val="0"/>
            </a:srgbClr>
          </a:solidFill>
          <a:prstDash val="solid"/>
        </a:ln>
        <a:effectLst/>
      </dgm:spPr>
      <dgm:t>
        <a:bodyPr/>
        <a:lstStyle/>
        <a:p>
          <a:endParaRPr lang="pl-PL" sz="1000">
            <a:latin typeface="Arial" panose="020B0604020202020204" pitchFamily="34" charset="0"/>
            <a:cs typeface="Arial" panose="020B0604020202020204" pitchFamily="34" charset="0"/>
          </a:endParaRPr>
        </a:p>
      </dgm:t>
    </dgm:pt>
    <dgm:pt modelId="{4F56EB51-DB31-4428-B0B8-1A8C8C8B2D67}" type="sibTrans" cxnId="{67E564CE-FE56-457F-A60A-5E26225E5781}">
      <dgm:prSet/>
      <dgm:spPr/>
      <dgm:t>
        <a:bodyPr/>
        <a:lstStyle/>
        <a:p>
          <a:endParaRPr lang="pl-PL" sz="1000">
            <a:latin typeface="Arial" panose="020B0604020202020204" pitchFamily="34" charset="0"/>
            <a:cs typeface="Arial" panose="020B0604020202020204" pitchFamily="34" charset="0"/>
          </a:endParaRPr>
        </a:p>
      </dgm:t>
    </dgm:pt>
    <dgm:pt modelId="{4A9F4E2B-51C9-4A27-B91D-8699796E1D71}">
      <dgm:prSet phldrT="[Tekst]" custT="1"/>
      <dgm:spPr>
        <a:xfrm>
          <a:off x="916185" y="1474957"/>
          <a:ext cx="942975" cy="589359"/>
        </a:xfrm>
        <a:solidFill>
          <a:sysClr val="window" lastClr="FFFFFF">
            <a:alpha val="90000"/>
            <a:hueOff val="0"/>
            <a:satOff val="0"/>
            <a:lumOff val="0"/>
            <a:alphaOff val="0"/>
          </a:sysClr>
        </a:solidFill>
        <a:ln w="25400" cap="flat" cmpd="sng" algn="ctr">
          <a:solidFill>
            <a:srgbClr val="9BBB59">
              <a:shade val="50000"/>
              <a:hueOff val="66889"/>
              <a:satOff val="-1067"/>
              <a:lumOff val="10277"/>
              <a:alphaOff val="0"/>
            </a:srgbClr>
          </a:solidFill>
          <a:prstDash val="solid"/>
        </a:ln>
        <a:effectLst/>
      </dgm:spPr>
      <dgm:t>
        <a:bodyPr/>
        <a:lstStyle/>
        <a:p>
          <a:r>
            <a:rPr lang="pl-PL" sz="10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Niedobory wody</a:t>
          </a:r>
        </a:p>
      </dgm:t>
    </dgm:pt>
    <dgm:pt modelId="{ACDD5F59-D565-4CB0-A5A0-FA7CAB00FB68}" type="parTrans" cxnId="{90038DE7-4FC7-4040-ABF9-E5FCDC4D0E9A}">
      <dgm:prSet/>
      <dgm:spPr>
        <a:xfrm>
          <a:off x="798314" y="590918"/>
          <a:ext cx="117871" cy="1178718"/>
        </a:xfrm>
        <a:noFill/>
        <a:ln w="25400" cap="flat" cmpd="sng" algn="ctr">
          <a:solidFill>
            <a:srgbClr val="9BBB59">
              <a:tint val="90000"/>
              <a:hueOff val="0"/>
              <a:satOff val="0"/>
              <a:lumOff val="0"/>
              <a:alphaOff val="0"/>
            </a:srgbClr>
          </a:solidFill>
          <a:prstDash val="solid"/>
        </a:ln>
        <a:effectLst/>
      </dgm:spPr>
      <dgm:t>
        <a:bodyPr/>
        <a:lstStyle/>
        <a:p>
          <a:endParaRPr lang="pl-PL" sz="1000">
            <a:latin typeface="Arial" panose="020B0604020202020204" pitchFamily="34" charset="0"/>
            <a:cs typeface="Arial" panose="020B0604020202020204" pitchFamily="34" charset="0"/>
          </a:endParaRPr>
        </a:p>
      </dgm:t>
    </dgm:pt>
    <dgm:pt modelId="{3EC5CE1E-6CA2-4F3C-ADA8-F96E0B52333F}" type="sibTrans" cxnId="{90038DE7-4FC7-4040-ABF9-E5FCDC4D0E9A}">
      <dgm:prSet/>
      <dgm:spPr/>
      <dgm:t>
        <a:bodyPr/>
        <a:lstStyle/>
        <a:p>
          <a:endParaRPr lang="pl-PL" sz="1000">
            <a:latin typeface="Arial" panose="020B0604020202020204" pitchFamily="34" charset="0"/>
            <a:cs typeface="Arial" panose="020B0604020202020204" pitchFamily="34" charset="0"/>
          </a:endParaRPr>
        </a:p>
      </dgm:t>
    </dgm:pt>
    <dgm:pt modelId="{E468A4C3-BA5C-48D9-99DD-1CE68F6F4841}">
      <dgm:prSet phldrT="[Tekst]" custT="1"/>
      <dgm:spPr>
        <a:xfrm>
          <a:off x="2153840" y="1559"/>
          <a:ext cx="1178718" cy="589359"/>
        </a:xfrm>
        <a:solidFill>
          <a:srgbClr val="9BBB59">
            <a:shade val="50000"/>
            <a:hueOff val="178370"/>
            <a:satOff val="-2846"/>
            <a:lumOff val="27405"/>
            <a:alphaOff val="0"/>
          </a:srgbClr>
        </a:solidFill>
        <a:ln w="25400" cap="flat" cmpd="sng" algn="ctr">
          <a:solidFill>
            <a:sysClr val="window" lastClr="FFFFFF">
              <a:hueOff val="0"/>
              <a:satOff val="0"/>
              <a:lumOff val="0"/>
              <a:alphaOff val="0"/>
            </a:sysClr>
          </a:solidFill>
          <a:prstDash val="solid"/>
        </a:ln>
        <a:effectLst/>
      </dgm:spPr>
      <dgm:t>
        <a:bodyPr/>
        <a:lstStyle/>
        <a:p>
          <a:r>
            <a:rPr lang="pl-PL" sz="1000" b="1">
              <a:solidFill>
                <a:sysClr val="window" lastClr="FFFFFF"/>
              </a:solidFill>
              <a:latin typeface="Arial" panose="020B0604020202020204" pitchFamily="34" charset="0"/>
              <a:ea typeface="+mn-ea"/>
              <a:cs typeface="Arial" panose="020B0604020202020204" pitchFamily="34" charset="0"/>
            </a:rPr>
            <a:t>Występowanie ekstremów temperaturowych</a:t>
          </a:r>
        </a:p>
      </dgm:t>
    </dgm:pt>
    <dgm:pt modelId="{F58B5CCE-A48B-4A85-890A-CAD53E6054A9}" type="parTrans" cxnId="{8F972FDE-B5B2-4085-AA5D-4B114569E637}">
      <dgm:prSet/>
      <dgm:spPr/>
      <dgm:t>
        <a:bodyPr/>
        <a:lstStyle/>
        <a:p>
          <a:endParaRPr lang="pl-PL" sz="1000">
            <a:latin typeface="Arial" panose="020B0604020202020204" pitchFamily="34" charset="0"/>
            <a:cs typeface="Arial" panose="020B0604020202020204" pitchFamily="34" charset="0"/>
          </a:endParaRPr>
        </a:p>
      </dgm:t>
    </dgm:pt>
    <dgm:pt modelId="{6E217613-D798-4B1D-832E-DCB50153865C}" type="sibTrans" cxnId="{8F972FDE-B5B2-4085-AA5D-4B114569E637}">
      <dgm:prSet/>
      <dgm:spPr/>
      <dgm:t>
        <a:bodyPr/>
        <a:lstStyle/>
        <a:p>
          <a:endParaRPr lang="pl-PL" sz="1000">
            <a:latin typeface="Arial" panose="020B0604020202020204" pitchFamily="34" charset="0"/>
            <a:cs typeface="Arial" panose="020B0604020202020204" pitchFamily="34" charset="0"/>
          </a:endParaRPr>
        </a:p>
      </dgm:t>
    </dgm:pt>
    <dgm:pt modelId="{F7891853-B21D-4EFB-9BA2-D079E992210C}">
      <dgm:prSet phldrT="[Tekst]" custT="1"/>
      <dgm:spPr>
        <a:xfrm>
          <a:off x="2389584" y="738258"/>
          <a:ext cx="942975" cy="589359"/>
        </a:xfrm>
        <a:solidFill>
          <a:sysClr val="window" lastClr="FFFFFF">
            <a:alpha val="90000"/>
            <a:hueOff val="0"/>
            <a:satOff val="0"/>
            <a:lumOff val="0"/>
            <a:alphaOff val="0"/>
          </a:sysClr>
        </a:solidFill>
        <a:ln w="25400" cap="flat" cmpd="sng" algn="ctr">
          <a:solidFill>
            <a:srgbClr val="9BBB59">
              <a:shade val="50000"/>
              <a:hueOff val="200666"/>
              <a:satOff val="-3202"/>
              <a:lumOff val="30830"/>
              <a:alphaOff val="0"/>
            </a:srgbClr>
          </a:solidFill>
          <a:prstDash val="solid"/>
        </a:ln>
        <a:effectLst/>
      </dgm:spPr>
      <dgm:t>
        <a:bodyPr/>
        <a:lstStyle/>
        <a:p>
          <a:r>
            <a:rPr lang="pl-PL" sz="10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Miejska wyspa ciepła</a:t>
          </a:r>
        </a:p>
      </dgm:t>
    </dgm:pt>
    <dgm:pt modelId="{DBC5981C-2277-4316-8EE4-544C8235B2E4}" type="parTrans" cxnId="{30039E28-4C4E-4C55-A890-7AF63ADEB745}">
      <dgm:prSet/>
      <dgm:spPr>
        <a:xfrm>
          <a:off x="2271712" y="590918"/>
          <a:ext cx="117871" cy="442019"/>
        </a:xfrm>
        <a:noFill/>
        <a:ln w="25400" cap="flat" cmpd="sng" algn="ctr">
          <a:solidFill>
            <a:srgbClr val="9BBB59">
              <a:tint val="90000"/>
              <a:hueOff val="0"/>
              <a:satOff val="0"/>
              <a:lumOff val="0"/>
              <a:alphaOff val="0"/>
            </a:srgbClr>
          </a:solidFill>
          <a:prstDash val="solid"/>
        </a:ln>
        <a:effectLst/>
      </dgm:spPr>
      <dgm:t>
        <a:bodyPr/>
        <a:lstStyle/>
        <a:p>
          <a:endParaRPr lang="pl-PL" sz="1000">
            <a:latin typeface="Arial" panose="020B0604020202020204" pitchFamily="34" charset="0"/>
            <a:cs typeface="Arial" panose="020B0604020202020204" pitchFamily="34" charset="0"/>
          </a:endParaRPr>
        </a:p>
      </dgm:t>
    </dgm:pt>
    <dgm:pt modelId="{99C80EB4-8EC6-482C-BDD6-E7F742FE171C}" type="sibTrans" cxnId="{30039E28-4C4E-4C55-A890-7AF63ADEB745}">
      <dgm:prSet/>
      <dgm:spPr/>
      <dgm:t>
        <a:bodyPr/>
        <a:lstStyle/>
        <a:p>
          <a:endParaRPr lang="pl-PL" sz="1000">
            <a:latin typeface="Arial" panose="020B0604020202020204" pitchFamily="34" charset="0"/>
            <a:cs typeface="Arial" panose="020B0604020202020204" pitchFamily="34" charset="0"/>
          </a:endParaRPr>
        </a:p>
      </dgm:t>
    </dgm:pt>
    <dgm:pt modelId="{2A2731A9-273D-43E5-9F95-AB32DC6481E5}">
      <dgm:prSet phldrT="[Tekst]" custT="1"/>
      <dgm:spPr>
        <a:xfrm>
          <a:off x="2389584" y="1474957"/>
          <a:ext cx="942975" cy="589359"/>
        </a:xfrm>
        <a:solidFill>
          <a:sysClr val="window" lastClr="FFFFFF">
            <a:alpha val="90000"/>
            <a:hueOff val="0"/>
            <a:satOff val="0"/>
            <a:lumOff val="0"/>
            <a:alphaOff val="0"/>
          </a:sysClr>
        </a:solidFill>
        <a:ln w="25400" cap="flat" cmpd="sng" algn="ctr">
          <a:solidFill>
            <a:srgbClr val="9BBB59">
              <a:shade val="50000"/>
              <a:hueOff val="267555"/>
              <a:satOff val="-4269"/>
              <a:lumOff val="41107"/>
              <a:alphaOff val="0"/>
            </a:srgbClr>
          </a:solidFill>
          <a:prstDash val="solid"/>
        </a:ln>
        <a:effectLst/>
      </dgm:spPr>
      <dgm:t>
        <a:bodyPr/>
        <a:lstStyle/>
        <a:p>
          <a:r>
            <a:rPr lang="pl-PL" sz="10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Inwersje termiczne</a:t>
          </a:r>
        </a:p>
      </dgm:t>
    </dgm:pt>
    <dgm:pt modelId="{F9B22211-1F88-4195-87F8-014CACA5EA4A}" type="parTrans" cxnId="{2D5B9F76-774A-42A7-85F2-E536F0A4F909}">
      <dgm:prSet/>
      <dgm:spPr>
        <a:xfrm>
          <a:off x="2271712" y="590918"/>
          <a:ext cx="117871" cy="1178718"/>
        </a:xfrm>
        <a:noFill/>
        <a:ln w="25400" cap="flat" cmpd="sng" algn="ctr">
          <a:solidFill>
            <a:srgbClr val="9BBB59">
              <a:tint val="90000"/>
              <a:hueOff val="0"/>
              <a:satOff val="0"/>
              <a:lumOff val="0"/>
              <a:alphaOff val="0"/>
            </a:srgbClr>
          </a:solidFill>
          <a:prstDash val="solid"/>
        </a:ln>
        <a:effectLst/>
      </dgm:spPr>
      <dgm:t>
        <a:bodyPr/>
        <a:lstStyle/>
        <a:p>
          <a:endParaRPr lang="pl-PL" sz="1000">
            <a:latin typeface="Arial" panose="020B0604020202020204" pitchFamily="34" charset="0"/>
            <a:cs typeface="Arial" panose="020B0604020202020204" pitchFamily="34" charset="0"/>
          </a:endParaRPr>
        </a:p>
      </dgm:t>
    </dgm:pt>
    <dgm:pt modelId="{1C4C0EA0-A0B9-4FC9-9D4D-EE927ACAF9DA}" type="sibTrans" cxnId="{2D5B9F76-774A-42A7-85F2-E536F0A4F909}">
      <dgm:prSet/>
      <dgm:spPr/>
      <dgm:t>
        <a:bodyPr/>
        <a:lstStyle/>
        <a:p>
          <a:endParaRPr lang="pl-PL" sz="1000">
            <a:latin typeface="Arial" panose="020B0604020202020204" pitchFamily="34" charset="0"/>
            <a:cs typeface="Arial" panose="020B0604020202020204" pitchFamily="34" charset="0"/>
          </a:endParaRPr>
        </a:p>
      </dgm:t>
    </dgm:pt>
    <dgm:pt modelId="{2CD93513-E30E-4A19-B3BE-CE74528AB4C0}">
      <dgm:prSet phldrT="[Tekst]" custT="1"/>
      <dgm:spPr>
        <a:xfrm>
          <a:off x="3627239" y="1559"/>
          <a:ext cx="1178718" cy="589359"/>
        </a:xfrm>
        <a:solidFill>
          <a:srgbClr val="9BBB59">
            <a:shade val="50000"/>
            <a:hueOff val="178370"/>
            <a:satOff val="-2846"/>
            <a:lumOff val="27405"/>
            <a:alphaOff val="0"/>
          </a:srgbClr>
        </a:solidFill>
        <a:ln w="25400" cap="flat" cmpd="sng" algn="ctr">
          <a:solidFill>
            <a:sysClr val="window" lastClr="FFFFFF">
              <a:hueOff val="0"/>
              <a:satOff val="0"/>
              <a:lumOff val="0"/>
              <a:alphaOff val="0"/>
            </a:sysClr>
          </a:solidFill>
          <a:prstDash val="solid"/>
        </a:ln>
        <a:effectLst/>
      </dgm:spPr>
      <dgm:t>
        <a:bodyPr/>
        <a:lstStyle/>
        <a:p>
          <a:r>
            <a:rPr lang="pl-PL" sz="1000" b="1">
              <a:solidFill>
                <a:sysClr val="window" lastClr="FFFFFF"/>
              </a:solidFill>
              <a:latin typeface="Arial" panose="020B0604020202020204" pitchFamily="34" charset="0"/>
              <a:ea typeface="+mn-ea"/>
              <a:cs typeface="Arial" panose="020B0604020202020204" pitchFamily="34" charset="0"/>
            </a:rPr>
            <a:t>Zaburzenia cyrkulacji powietrza w mieście</a:t>
          </a:r>
        </a:p>
      </dgm:t>
    </dgm:pt>
    <dgm:pt modelId="{6C5E3898-4644-44ED-828E-4F8EF7304068}" type="parTrans" cxnId="{5ED6C256-96FC-4FF9-9C29-F23E35BA4BC2}">
      <dgm:prSet/>
      <dgm:spPr/>
      <dgm:t>
        <a:bodyPr/>
        <a:lstStyle/>
        <a:p>
          <a:endParaRPr lang="pl-PL" sz="1000">
            <a:latin typeface="Arial" panose="020B0604020202020204" pitchFamily="34" charset="0"/>
            <a:cs typeface="Arial" panose="020B0604020202020204" pitchFamily="34" charset="0"/>
          </a:endParaRPr>
        </a:p>
      </dgm:t>
    </dgm:pt>
    <dgm:pt modelId="{FECC1F6D-2BD3-46E4-845F-75215374A857}" type="sibTrans" cxnId="{5ED6C256-96FC-4FF9-9C29-F23E35BA4BC2}">
      <dgm:prSet/>
      <dgm:spPr/>
      <dgm:t>
        <a:bodyPr/>
        <a:lstStyle/>
        <a:p>
          <a:endParaRPr lang="pl-PL" sz="1000">
            <a:latin typeface="Arial" panose="020B0604020202020204" pitchFamily="34" charset="0"/>
            <a:cs typeface="Arial" panose="020B0604020202020204" pitchFamily="34" charset="0"/>
          </a:endParaRPr>
        </a:p>
      </dgm:t>
    </dgm:pt>
    <dgm:pt modelId="{0E3E61B3-AF52-4671-BF34-1A23A4B2D6A7}">
      <dgm:prSet phldrT="[Tekst]" custT="1"/>
      <dgm:spPr>
        <a:xfrm>
          <a:off x="916185" y="2211657"/>
          <a:ext cx="942975" cy="589359"/>
        </a:xfrm>
        <a:solidFill>
          <a:sysClr val="window" lastClr="FFFFFF">
            <a:alpha val="90000"/>
            <a:hueOff val="0"/>
            <a:satOff val="0"/>
            <a:lumOff val="0"/>
            <a:alphaOff val="0"/>
          </a:sysClr>
        </a:solidFill>
        <a:ln w="25400" cap="flat" cmpd="sng" algn="ctr">
          <a:solidFill>
            <a:srgbClr val="9BBB59">
              <a:shade val="50000"/>
              <a:hueOff val="133778"/>
              <a:satOff val="-2135"/>
              <a:lumOff val="20553"/>
              <a:alphaOff val="0"/>
            </a:srgbClr>
          </a:solidFill>
          <a:prstDash val="solid"/>
        </a:ln>
        <a:effectLst/>
      </dgm:spPr>
      <dgm:t>
        <a:bodyPr/>
        <a:lstStyle/>
        <a:p>
          <a:r>
            <a:rPr lang="pl-PL" sz="10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Gwałtowne zjawiska pogodowe</a:t>
          </a:r>
        </a:p>
      </dgm:t>
    </dgm:pt>
    <dgm:pt modelId="{BE2C6E9A-3B41-4898-B146-13568FB375DF}" type="parTrans" cxnId="{755C9FBE-A8B2-43E1-B89B-AAD9CC21C8F7}">
      <dgm:prSet/>
      <dgm:spPr>
        <a:xfrm>
          <a:off x="798314" y="590918"/>
          <a:ext cx="117871" cy="1915417"/>
        </a:xfrm>
        <a:noFill/>
        <a:ln w="25400" cap="flat" cmpd="sng" algn="ctr">
          <a:solidFill>
            <a:srgbClr val="9BBB59">
              <a:tint val="90000"/>
              <a:hueOff val="0"/>
              <a:satOff val="0"/>
              <a:lumOff val="0"/>
              <a:alphaOff val="0"/>
            </a:srgbClr>
          </a:solidFill>
          <a:prstDash val="solid"/>
        </a:ln>
        <a:effectLst/>
      </dgm:spPr>
      <dgm:t>
        <a:bodyPr/>
        <a:lstStyle/>
        <a:p>
          <a:endParaRPr lang="pl-PL" sz="1000">
            <a:latin typeface="Arial" panose="020B0604020202020204" pitchFamily="34" charset="0"/>
            <a:cs typeface="Arial" panose="020B0604020202020204" pitchFamily="34" charset="0"/>
          </a:endParaRPr>
        </a:p>
      </dgm:t>
    </dgm:pt>
    <dgm:pt modelId="{6DD19D33-5D32-4348-846F-8DA930DD85B9}" type="sibTrans" cxnId="{755C9FBE-A8B2-43E1-B89B-AAD9CC21C8F7}">
      <dgm:prSet/>
      <dgm:spPr/>
      <dgm:t>
        <a:bodyPr/>
        <a:lstStyle/>
        <a:p>
          <a:endParaRPr lang="pl-PL" sz="1000">
            <a:latin typeface="Arial" panose="020B0604020202020204" pitchFamily="34" charset="0"/>
            <a:cs typeface="Arial" panose="020B0604020202020204" pitchFamily="34" charset="0"/>
          </a:endParaRPr>
        </a:p>
      </dgm:t>
    </dgm:pt>
    <dgm:pt modelId="{23A2F89D-E6B5-4680-AED5-63A0CC38EF2E}">
      <dgm:prSet phldrT="[Tekst]" custT="1"/>
      <dgm:spPr>
        <a:xfrm>
          <a:off x="2389584" y="2211657"/>
          <a:ext cx="942975" cy="589359"/>
        </a:xfrm>
        <a:solidFill>
          <a:sysClr val="window" lastClr="FFFFFF">
            <a:alpha val="90000"/>
            <a:hueOff val="0"/>
            <a:satOff val="0"/>
            <a:lumOff val="0"/>
            <a:alphaOff val="0"/>
          </a:sysClr>
        </a:solidFill>
        <a:ln w="25400" cap="flat" cmpd="sng" algn="ctr">
          <a:solidFill>
            <a:srgbClr val="9BBB59">
              <a:shade val="50000"/>
              <a:hueOff val="200666"/>
              <a:satOff val="-3202"/>
              <a:lumOff val="30830"/>
              <a:alphaOff val="0"/>
            </a:srgbClr>
          </a:solidFill>
          <a:prstDash val="solid"/>
        </a:ln>
        <a:effectLst/>
      </dgm:spPr>
      <dgm:t>
        <a:bodyPr/>
        <a:lstStyle/>
        <a:p>
          <a:r>
            <a:rPr lang="pl-PL" sz="10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Smog (kwaśny i fotochemiczny)</a:t>
          </a:r>
        </a:p>
      </dgm:t>
    </dgm:pt>
    <dgm:pt modelId="{61395F1F-0E26-4AA6-887A-1E410F4ECE70}" type="parTrans" cxnId="{766097CA-0DDA-4951-ACC1-9E06FC02CD37}">
      <dgm:prSet/>
      <dgm:spPr>
        <a:xfrm>
          <a:off x="2271712" y="590918"/>
          <a:ext cx="117871" cy="1915417"/>
        </a:xfrm>
        <a:noFill/>
        <a:ln w="25400" cap="flat" cmpd="sng" algn="ctr">
          <a:solidFill>
            <a:srgbClr val="9BBB59">
              <a:tint val="90000"/>
              <a:hueOff val="0"/>
              <a:satOff val="0"/>
              <a:lumOff val="0"/>
              <a:alphaOff val="0"/>
            </a:srgbClr>
          </a:solidFill>
          <a:prstDash val="solid"/>
        </a:ln>
        <a:effectLst/>
      </dgm:spPr>
      <dgm:t>
        <a:bodyPr/>
        <a:lstStyle/>
        <a:p>
          <a:endParaRPr lang="pl-PL" sz="1000">
            <a:latin typeface="Arial" panose="020B0604020202020204" pitchFamily="34" charset="0"/>
            <a:cs typeface="Arial" panose="020B0604020202020204" pitchFamily="34" charset="0"/>
          </a:endParaRPr>
        </a:p>
      </dgm:t>
    </dgm:pt>
    <dgm:pt modelId="{2D975592-3404-4C88-80F5-1BF738C7FF7F}" type="sibTrans" cxnId="{766097CA-0DDA-4951-ACC1-9E06FC02CD37}">
      <dgm:prSet/>
      <dgm:spPr/>
      <dgm:t>
        <a:bodyPr/>
        <a:lstStyle/>
        <a:p>
          <a:endParaRPr lang="pl-PL" sz="1000">
            <a:latin typeface="Arial" panose="020B0604020202020204" pitchFamily="34" charset="0"/>
            <a:cs typeface="Arial" panose="020B0604020202020204" pitchFamily="34" charset="0"/>
          </a:endParaRPr>
        </a:p>
      </dgm:t>
    </dgm:pt>
    <dgm:pt modelId="{284BD335-CBDF-4384-BE36-A10F75C12101}">
      <dgm:prSet phldrT="[Tekst]" custT="1"/>
      <dgm:spPr>
        <a:xfrm>
          <a:off x="3862982" y="738258"/>
          <a:ext cx="942975" cy="589359"/>
        </a:xfrm>
        <a:solidFill>
          <a:sysClr val="window" lastClr="FFFFFF">
            <a:alpha val="90000"/>
            <a:hueOff val="0"/>
            <a:satOff val="0"/>
            <a:lumOff val="0"/>
            <a:alphaOff val="0"/>
          </a:sysClr>
        </a:solidFill>
        <a:ln w="25400" cap="flat" cmpd="sng" algn="ctr">
          <a:solidFill>
            <a:srgbClr val="9BBB59">
              <a:shade val="50000"/>
              <a:hueOff val="133778"/>
              <a:satOff val="-2135"/>
              <a:lumOff val="20553"/>
              <a:alphaOff val="0"/>
            </a:srgbClr>
          </a:solidFill>
          <a:prstDash val="solid"/>
        </a:ln>
        <a:effectLst/>
      </dgm:spPr>
      <dgm:t>
        <a:bodyPr/>
        <a:lstStyle/>
        <a:p>
          <a:r>
            <a:rPr lang="pl-PL" sz="10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Brak lub ograniczone przewietrzanie</a:t>
          </a:r>
        </a:p>
      </dgm:t>
    </dgm:pt>
    <dgm:pt modelId="{0726E44A-4C48-47DF-86A3-E5F2357D4745}" type="parTrans" cxnId="{1DBFED67-7878-4252-9C2C-2B58BADEA2A8}">
      <dgm:prSet/>
      <dgm:spPr>
        <a:xfrm>
          <a:off x="3745110" y="590918"/>
          <a:ext cx="117871" cy="442019"/>
        </a:xfrm>
        <a:noFill/>
        <a:ln w="25400" cap="flat" cmpd="sng" algn="ctr">
          <a:solidFill>
            <a:srgbClr val="9BBB59">
              <a:tint val="90000"/>
              <a:hueOff val="0"/>
              <a:satOff val="0"/>
              <a:lumOff val="0"/>
              <a:alphaOff val="0"/>
            </a:srgbClr>
          </a:solidFill>
          <a:prstDash val="solid"/>
        </a:ln>
        <a:effectLst/>
      </dgm:spPr>
      <dgm:t>
        <a:bodyPr/>
        <a:lstStyle/>
        <a:p>
          <a:endParaRPr lang="pl-PL" sz="1000">
            <a:latin typeface="Arial" panose="020B0604020202020204" pitchFamily="34" charset="0"/>
            <a:cs typeface="Arial" panose="020B0604020202020204" pitchFamily="34" charset="0"/>
          </a:endParaRPr>
        </a:p>
      </dgm:t>
    </dgm:pt>
    <dgm:pt modelId="{E1F84986-F96F-4C1F-8828-D9CD5B9F16DD}" type="sibTrans" cxnId="{1DBFED67-7878-4252-9C2C-2B58BADEA2A8}">
      <dgm:prSet/>
      <dgm:spPr/>
      <dgm:t>
        <a:bodyPr/>
        <a:lstStyle/>
        <a:p>
          <a:endParaRPr lang="pl-PL" sz="1000">
            <a:latin typeface="Arial" panose="020B0604020202020204" pitchFamily="34" charset="0"/>
            <a:cs typeface="Arial" panose="020B0604020202020204" pitchFamily="34" charset="0"/>
          </a:endParaRPr>
        </a:p>
      </dgm:t>
    </dgm:pt>
    <dgm:pt modelId="{11287FE2-FA51-44D5-85C2-0959B1270E61}">
      <dgm:prSet phldrT="[Tekst]" custT="1"/>
      <dgm:spPr>
        <a:xfrm>
          <a:off x="3862982" y="1474957"/>
          <a:ext cx="942975" cy="589359"/>
        </a:xfrm>
        <a:solidFill>
          <a:sysClr val="window" lastClr="FFFFFF">
            <a:alpha val="90000"/>
            <a:hueOff val="0"/>
            <a:satOff val="0"/>
            <a:lumOff val="0"/>
            <a:alphaOff val="0"/>
          </a:sysClr>
        </a:solidFill>
        <a:ln w="25400" cap="flat" cmpd="sng" algn="ctr">
          <a:solidFill>
            <a:srgbClr val="9BBB59">
              <a:shade val="50000"/>
              <a:hueOff val="66889"/>
              <a:satOff val="-1067"/>
              <a:lumOff val="10277"/>
              <a:alphaOff val="0"/>
            </a:srgbClr>
          </a:solidFill>
          <a:prstDash val="solid"/>
        </a:ln>
        <a:effectLst/>
      </dgm:spPr>
      <dgm:t>
        <a:bodyPr/>
        <a:lstStyle/>
        <a:p>
          <a:r>
            <a:rPr lang="pl-PL" sz="10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Kaniony miejskie</a:t>
          </a:r>
        </a:p>
      </dgm:t>
    </dgm:pt>
    <dgm:pt modelId="{3F8F44B0-0AE6-427B-973A-A8042C9848B6}" type="parTrans" cxnId="{61CE8BC4-E28D-494B-AA98-50ED548FDED1}">
      <dgm:prSet/>
      <dgm:spPr>
        <a:xfrm>
          <a:off x="3745110" y="590918"/>
          <a:ext cx="117871" cy="1178718"/>
        </a:xfrm>
        <a:noFill/>
        <a:ln w="25400" cap="flat" cmpd="sng" algn="ctr">
          <a:solidFill>
            <a:srgbClr val="9BBB59">
              <a:tint val="90000"/>
              <a:hueOff val="0"/>
              <a:satOff val="0"/>
              <a:lumOff val="0"/>
              <a:alphaOff val="0"/>
            </a:srgbClr>
          </a:solidFill>
          <a:prstDash val="solid"/>
        </a:ln>
        <a:effectLst/>
      </dgm:spPr>
      <dgm:t>
        <a:bodyPr/>
        <a:lstStyle/>
        <a:p>
          <a:endParaRPr lang="pl-PL" sz="1000">
            <a:latin typeface="Arial" panose="020B0604020202020204" pitchFamily="34" charset="0"/>
            <a:cs typeface="Arial" panose="020B0604020202020204" pitchFamily="34" charset="0"/>
          </a:endParaRPr>
        </a:p>
      </dgm:t>
    </dgm:pt>
    <dgm:pt modelId="{3729E6FB-5C4F-4E73-B7F6-D4B7283035EC}" type="sibTrans" cxnId="{61CE8BC4-E28D-494B-AA98-50ED548FDED1}">
      <dgm:prSet/>
      <dgm:spPr/>
      <dgm:t>
        <a:bodyPr/>
        <a:lstStyle/>
        <a:p>
          <a:endParaRPr lang="pl-PL" sz="1000">
            <a:latin typeface="Arial" panose="020B0604020202020204" pitchFamily="34" charset="0"/>
            <a:cs typeface="Arial" panose="020B0604020202020204" pitchFamily="34" charset="0"/>
          </a:endParaRPr>
        </a:p>
      </dgm:t>
    </dgm:pt>
    <dgm:pt modelId="{5BF6C740-0874-425C-A519-8D9E5C8F47A7}" type="pres">
      <dgm:prSet presAssocID="{64825836-AC97-4675-9F67-4B1C23B115C6}" presName="diagram" presStyleCnt="0">
        <dgm:presLayoutVars>
          <dgm:chPref val="1"/>
          <dgm:dir/>
          <dgm:animOne val="branch"/>
          <dgm:animLvl val="lvl"/>
          <dgm:resizeHandles/>
        </dgm:presLayoutVars>
      </dgm:prSet>
      <dgm:spPr/>
    </dgm:pt>
    <dgm:pt modelId="{78799B16-37B3-4B78-9D1D-4EBA914BC417}" type="pres">
      <dgm:prSet presAssocID="{CF49846D-DDF7-485A-A4D4-05099727A266}" presName="root" presStyleCnt="0"/>
      <dgm:spPr/>
    </dgm:pt>
    <dgm:pt modelId="{CBC4F2F4-9551-41BD-AFB7-7B549A50DD78}" type="pres">
      <dgm:prSet presAssocID="{CF49846D-DDF7-485A-A4D4-05099727A266}" presName="rootComposite" presStyleCnt="0"/>
      <dgm:spPr/>
    </dgm:pt>
    <dgm:pt modelId="{35A9EEDC-A77C-41CC-933B-8BE60F861334}" type="pres">
      <dgm:prSet presAssocID="{CF49846D-DDF7-485A-A4D4-05099727A266}" presName="rootText" presStyleLbl="node1" presStyleIdx="0" presStyleCnt="3"/>
      <dgm:spPr>
        <a:prstGeom prst="roundRect">
          <a:avLst>
            <a:gd name="adj" fmla="val 10000"/>
          </a:avLst>
        </a:prstGeom>
      </dgm:spPr>
    </dgm:pt>
    <dgm:pt modelId="{83555442-E59D-418E-A7C6-6DF3F070F12B}" type="pres">
      <dgm:prSet presAssocID="{CF49846D-DDF7-485A-A4D4-05099727A266}" presName="rootConnector" presStyleLbl="node1" presStyleIdx="0" presStyleCnt="3"/>
      <dgm:spPr/>
    </dgm:pt>
    <dgm:pt modelId="{DBD8A4DA-597D-4AB8-9776-207CDBE99565}" type="pres">
      <dgm:prSet presAssocID="{CF49846D-DDF7-485A-A4D4-05099727A266}" presName="childShape" presStyleCnt="0"/>
      <dgm:spPr/>
    </dgm:pt>
    <dgm:pt modelId="{F4A29FCC-5905-4350-8247-7AB2EE186E99}" type="pres">
      <dgm:prSet presAssocID="{BE2C44D6-E203-42AA-9DED-1B4BAD30BF8C}" presName="Name13" presStyleLbl="parChTrans1D2" presStyleIdx="0" presStyleCnt="8"/>
      <dgm:spPr>
        <a:custGeom>
          <a:avLst/>
          <a:gdLst/>
          <a:ahLst/>
          <a:cxnLst/>
          <a:rect l="0" t="0" r="0" b="0"/>
          <a:pathLst>
            <a:path>
              <a:moveTo>
                <a:pt x="0" y="0"/>
              </a:moveTo>
              <a:lnTo>
                <a:pt x="0" y="442019"/>
              </a:lnTo>
              <a:lnTo>
                <a:pt x="117871" y="442019"/>
              </a:lnTo>
            </a:path>
          </a:pathLst>
        </a:custGeom>
      </dgm:spPr>
    </dgm:pt>
    <dgm:pt modelId="{E8D91590-81D2-4833-B558-B71B6DAA2C15}" type="pres">
      <dgm:prSet presAssocID="{5C9E1DDF-BB1C-47DA-84FC-5153D76FE2CA}" presName="childText" presStyleLbl="bgAcc1" presStyleIdx="0" presStyleCnt="8">
        <dgm:presLayoutVars>
          <dgm:bulletEnabled val="1"/>
        </dgm:presLayoutVars>
      </dgm:prSet>
      <dgm:spPr>
        <a:prstGeom prst="roundRect">
          <a:avLst>
            <a:gd name="adj" fmla="val 10000"/>
          </a:avLst>
        </a:prstGeom>
      </dgm:spPr>
    </dgm:pt>
    <dgm:pt modelId="{BAFE5D85-D723-42F9-AB6D-B5C534101700}" type="pres">
      <dgm:prSet presAssocID="{ACDD5F59-D565-4CB0-A5A0-FA7CAB00FB68}" presName="Name13" presStyleLbl="parChTrans1D2" presStyleIdx="1" presStyleCnt="8"/>
      <dgm:spPr>
        <a:custGeom>
          <a:avLst/>
          <a:gdLst/>
          <a:ahLst/>
          <a:cxnLst/>
          <a:rect l="0" t="0" r="0" b="0"/>
          <a:pathLst>
            <a:path>
              <a:moveTo>
                <a:pt x="0" y="0"/>
              </a:moveTo>
              <a:lnTo>
                <a:pt x="0" y="1178718"/>
              </a:lnTo>
              <a:lnTo>
                <a:pt x="117871" y="1178718"/>
              </a:lnTo>
            </a:path>
          </a:pathLst>
        </a:custGeom>
      </dgm:spPr>
    </dgm:pt>
    <dgm:pt modelId="{CCB99DB7-D768-456B-9DD0-F781D44D5AE9}" type="pres">
      <dgm:prSet presAssocID="{4A9F4E2B-51C9-4A27-B91D-8699796E1D71}" presName="childText" presStyleLbl="bgAcc1" presStyleIdx="1" presStyleCnt="8">
        <dgm:presLayoutVars>
          <dgm:bulletEnabled val="1"/>
        </dgm:presLayoutVars>
      </dgm:prSet>
      <dgm:spPr>
        <a:prstGeom prst="roundRect">
          <a:avLst>
            <a:gd name="adj" fmla="val 10000"/>
          </a:avLst>
        </a:prstGeom>
      </dgm:spPr>
    </dgm:pt>
    <dgm:pt modelId="{1007224C-441B-42B3-B63E-4FAC7CAC047C}" type="pres">
      <dgm:prSet presAssocID="{BE2C6E9A-3B41-4898-B146-13568FB375DF}" presName="Name13" presStyleLbl="parChTrans1D2" presStyleIdx="2" presStyleCnt="8"/>
      <dgm:spPr>
        <a:custGeom>
          <a:avLst/>
          <a:gdLst/>
          <a:ahLst/>
          <a:cxnLst/>
          <a:rect l="0" t="0" r="0" b="0"/>
          <a:pathLst>
            <a:path>
              <a:moveTo>
                <a:pt x="0" y="0"/>
              </a:moveTo>
              <a:lnTo>
                <a:pt x="0" y="1915417"/>
              </a:lnTo>
              <a:lnTo>
                <a:pt x="117871" y="1915417"/>
              </a:lnTo>
            </a:path>
          </a:pathLst>
        </a:custGeom>
      </dgm:spPr>
    </dgm:pt>
    <dgm:pt modelId="{29F17EBD-5FB5-402F-AEBB-CEBBFFF8A961}" type="pres">
      <dgm:prSet presAssocID="{0E3E61B3-AF52-4671-BF34-1A23A4B2D6A7}" presName="childText" presStyleLbl="bgAcc1" presStyleIdx="2" presStyleCnt="8">
        <dgm:presLayoutVars>
          <dgm:bulletEnabled val="1"/>
        </dgm:presLayoutVars>
      </dgm:prSet>
      <dgm:spPr>
        <a:prstGeom prst="roundRect">
          <a:avLst>
            <a:gd name="adj" fmla="val 10000"/>
          </a:avLst>
        </a:prstGeom>
      </dgm:spPr>
    </dgm:pt>
    <dgm:pt modelId="{6FC140B6-05E6-4916-83FE-3F7132EC4059}" type="pres">
      <dgm:prSet presAssocID="{E468A4C3-BA5C-48D9-99DD-1CE68F6F4841}" presName="root" presStyleCnt="0"/>
      <dgm:spPr/>
    </dgm:pt>
    <dgm:pt modelId="{4EAA81C5-8A90-4D73-82A9-02A778C54E63}" type="pres">
      <dgm:prSet presAssocID="{E468A4C3-BA5C-48D9-99DD-1CE68F6F4841}" presName="rootComposite" presStyleCnt="0"/>
      <dgm:spPr/>
    </dgm:pt>
    <dgm:pt modelId="{E9B83AAE-7552-48CD-9DC5-8618518E0747}" type="pres">
      <dgm:prSet presAssocID="{E468A4C3-BA5C-48D9-99DD-1CE68F6F4841}" presName="rootText" presStyleLbl="node1" presStyleIdx="1" presStyleCnt="3"/>
      <dgm:spPr>
        <a:prstGeom prst="roundRect">
          <a:avLst>
            <a:gd name="adj" fmla="val 10000"/>
          </a:avLst>
        </a:prstGeom>
      </dgm:spPr>
    </dgm:pt>
    <dgm:pt modelId="{4F26B159-1EF0-4A1C-9D17-51A97FD611D0}" type="pres">
      <dgm:prSet presAssocID="{E468A4C3-BA5C-48D9-99DD-1CE68F6F4841}" presName="rootConnector" presStyleLbl="node1" presStyleIdx="1" presStyleCnt="3"/>
      <dgm:spPr/>
    </dgm:pt>
    <dgm:pt modelId="{25A98EB8-E7F0-4115-80BE-B6E96386CEF3}" type="pres">
      <dgm:prSet presAssocID="{E468A4C3-BA5C-48D9-99DD-1CE68F6F4841}" presName="childShape" presStyleCnt="0"/>
      <dgm:spPr/>
    </dgm:pt>
    <dgm:pt modelId="{87365CFF-158C-481C-95F1-631B16375A86}" type="pres">
      <dgm:prSet presAssocID="{DBC5981C-2277-4316-8EE4-544C8235B2E4}" presName="Name13" presStyleLbl="parChTrans1D2" presStyleIdx="3" presStyleCnt="8"/>
      <dgm:spPr>
        <a:custGeom>
          <a:avLst/>
          <a:gdLst/>
          <a:ahLst/>
          <a:cxnLst/>
          <a:rect l="0" t="0" r="0" b="0"/>
          <a:pathLst>
            <a:path>
              <a:moveTo>
                <a:pt x="0" y="0"/>
              </a:moveTo>
              <a:lnTo>
                <a:pt x="0" y="442019"/>
              </a:lnTo>
              <a:lnTo>
                <a:pt x="117871" y="442019"/>
              </a:lnTo>
            </a:path>
          </a:pathLst>
        </a:custGeom>
      </dgm:spPr>
    </dgm:pt>
    <dgm:pt modelId="{B1107FC7-DF75-4E3E-9A85-06989CBAF9A5}" type="pres">
      <dgm:prSet presAssocID="{F7891853-B21D-4EFB-9BA2-D079E992210C}" presName="childText" presStyleLbl="bgAcc1" presStyleIdx="3" presStyleCnt="8">
        <dgm:presLayoutVars>
          <dgm:bulletEnabled val="1"/>
        </dgm:presLayoutVars>
      </dgm:prSet>
      <dgm:spPr>
        <a:prstGeom prst="roundRect">
          <a:avLst>
            <a:gd name="adj" fmla="val 10000"/>
          </a:avLst>
        </a:prstGeom>
      </dgm:spPr>
    </dgm:pt>
    <dgm:pt modelId="{4C62B369-11E5-4EE2-A2FA-1DC5B417291C}" type="pres">
      <dgm:prSet presAssocID="{F9B22211-1F88-4195-87F8-014CACA5EA4A}" presName="Name13" presStyleLbl="parChTrans1D2" presStyleIdx="4" presStyleCnt="8"/>
      <dgm:spPr>
        <a:custGeom>
          <a:avLst/>
          <a:gdLst/>
          <a:ahLst/>
          <a:cxnLst/>
          <a:rect l="0" t="0" r="0" b="0"/>
          <a:pathLst>
            <a:path>
              <a:moveTo>
                <a:pt x="0" y="0"/>
              </a:moveTo>
              <a:lnTo>
                <a:pt x="0" y="1178718"/>
              </a:lnTo>
              <a:lnTo>
                <a:pt x="117871" y="1178718"/>
              </a:lnTo>
            </a:path>
          </a:pathLst>
        </a:custGeom>
      </dgm:spPr>
    </dgm:pt>
    <dgm:pt modelId="{0C05C6B8-117C-4C4E-A8A5-BC10E31D7881}" type="pres">
      <dgm:prSet presAssocID="{2A2731A9-273D-43E5-9F95-AB32DC6481E5}" presName="childText" presStyleLbl="bgAcc1" presStyleIdx="4" presStyleCnt="8">
        <dgm:presLayoutVars>
          <dgm:bulletEnabled val="1"/>
        </dgm:presLayoutVars>
      </dgm:prSet>
      <dgm:spPr>
        <a:prstGeom prst="roundRect">
          <a:avLst>
            <a:gd name="adj" fmla="val 10000"/>
          </a:avLst>
        </a:prstGeom>
      </dgm:spPr>
    </dgm:pt>
    <dgm:pt modelId="{5273293F-13CF-4BB3-B0D0-098315634551}" type="pres">
      <dgm:prSet presAssocID="{61395F1F-0E26-4AA6-887A-1E410F4ECE70}" presName="Name13" presStyleLbl="parChTrans1D2" presStyleIdx="5" presStyleCnt="8"/>
      <dgm:spPr>
        <a:custGeom>
          <a:avLst/>
          <a:gdLst/>
          <a:ahLst/>
          <a:cxnLst/>
          <a:rect l="0" t="0" r="0" b="0"/>
          <a:pathLst>
            <a:path>
              <a:moveTo>
                <a:pt x="0" y="0"/>
              </a:moveTo>
              <a:lnTo>
                <a:pt x="0" y="1915417"/>
              </a:lnTo>
              <a:lnTo>
                <a:pt x="117871" y="1915417"/>
              </a:lnTo>
            </a:path>
          </a:pathLst>
        </a:custGeom>
      </dgm:spPr>
    </dgm:pt>
    <dgm:pt modelId="{C7B88644-B09D-4FBF-9607-D2B7C6358904}" type="pres">
      <dgm:prSet presAssocID="{23A2F89D-E6B5-4680-AED5-63A0CC38EF2E}" presName="childText" presStyleLbl="bgAcc1" presStyleIdx="5" presStyleCnt="8">
        <dgm:presLayoutVars>
          <dgm:bulletEnabled val="1"/>
        </dgm:presLayoutVars>
      </dgm:prSet>
      <dgm:spPr>
        <a:prstGeom prst="roundRect">
          <a:avLst>
            <a:gd name="adj" fmla="val 10000"/>
          </a:avLst>
        </a:prstGeom>
      </dgm:spPr>
    </dgm:pt>
    <dgm:pt modelId="{25345A30-2FDE-4B98-999E-D6478AA05B2A}" type="pres">
      <dgm:prSet presAssocID="{2CD93513-E30E-4A19-B3BE-CE74528AB4C0}" presName="root" presStyleCnt="0"/>
      <dgm:spPr/>
    </dgm:pt>
    <dgm:pt modelId="{32B500D9-7CBF-4425-B778-0D94E605D3B6}" type="pres">
      <dgm:prSet presAssocID="{2CD93513-E30E-4A19-B3BE-CE74528AB4C0}" presName="rootComposite" presStyleCnt="0"/>
      <dgm:spPr/>
    </dgm:pt>
    <dgm:pt modelId="{F01F0F85-3E6D-4EBA-865E-103EE33963D0}" type="pres">
      <dgm:prSet presAssocID="{2CD93513-E30E-4A19-B3BE-CE74528AB4C0}" presName="rootText" presStyleLbl="node1" presStyleIdx="2" presStyleCnt="3"/>
      <dgm:spPr>
        <a:prstGeom prst="roundRect">
          <a:avLst>
            <a:gd name="adj" fmla="val 10000"/>
          </a:avLst>
        </a:prstGeom>
      </dgm:spPr>
    </dgm:pt>
    <dgm:pt modelId="{B4FAF5C1-9D1D-4D42-94E7-3884DEF6FDA3}" type="pres">
      <dgm:prSet presAssocID="{2CD93513-E30E-4A19-B3BE-CE74528AB4C0}" presName="rootConnector" presStyleLbl="node1" presStyleIdx="2" presStyleCnt="3"/>
      <dgm:spPr/>
    </dgm:pt>
    <dgm:pt modelId="{2F1AFCA7-B924-4821-B9CB-861DDFC46192}" type="pres">
      <dgm:prSet presAssocID="{2CD93513-E30E-4A19-B3BE-CE74528AB4C0}" presName="childShape" presStyleCnt="0"/>
      <dgm:spPr/>
    </dgm:pt>
    <dgm:pt modelId="{9E9557A0-ACDE-4CB1-9AEE-E4CDBC590A6F}" type="pres">
      <dgm:prSet presAssocID="{0726E44A-4C48-47DF-86A3-E5F2357D4745}" presName="Name13" presStyleLbl="parChTrans1D2" presStyleIdx="6" presStyleCnt="8"/>
      <dgm:spPr>
        <a:custGeom>
          <a:avLst/>
          <a:gdLst/>
          <a:ahLst/>
          <a:cxnLst/>
          <a:rect l="0" t="0" r="0" b="0"/>
          <a:pathLst>
            <a:path>
              <a:moveTo>
                <a:pt x="0" y="0"/>
              </a:moveTo>
              <a:lnTo>
                <a:pt x="0" y="442019"/>
              </a:lnTo>
              <a:lnTo>
                <a:pt x="117871" y="442019"/>
              </a:lnTo>
            </a:path>
          </a:pathLst>
        </a:custGeom>
      </dgm:spPr>
    </dgm:pt>
    <dgm:pt modelId="{64F3D66D-0D3B-4750-BB3F-B71DF2C96678}" type="pres">
      <dgm:prSet presAssocID="{284BD335-CBDF-4384-BE36-A10F75C12101}" presName="childText" presStyleLbl="bgAcc1" presStyleIdx="6" presStyleCnt="8">
        <dgm:presLayoutVars>
          <dgm:bulletEnabled val="1"/>
        </dgm:presLayoutVars>
      </dgm:prSet>
      <dgm:spPr>
        <a:prstGeom prst="roundRect">
          <a:avLst>
            <a:gd name="adj" fmla="val 10000"/>
          </a:avLst>
        </a:prstGeom>
      </dgm:spPr>
    </dgm:pt>
    <dgm:pt modelId="{D3B10C91-C8A3-4951-99B8-560AC0BDB348}" type="pres">
      <dgm:prSet presAssocID="{3F8F44B0-0AE6-427B-973A-A8042C9848B6}" presName="Name13" presStyleLbl="parChTrans1D2" presStyleIdx="7" presStyleCnt="8"/>
      <dgm:spPr>
        <a:custGeom>
          <a:avLst/>
          <a:gdLst/>
          <a:ahLst/>
          <a:cxnLst/>
          <a:rect l="0" t="0" r="0" b="0"/>
          <a:pathLst>
            <a:path>
              <a:moveTo>
                <a:pt x="0" y="0"/>
              </a:moveTo>
              <a:lnTo>
                <a:pt x="0" y="1178718"/>
              </a:lnTo>
              <a:lnTo>
                <a:pt x="117871" y="1178718"/>
              </a:lnTo>
            </a:path>
          </a:pathLst>
        </a:custGeom>
      </dgm:spPr>
    </dgm:pt>
    <dgm:pt modelId="{B9877270-A0AE-41F1-BA5B-E703105C3933}" type="pres">
      <dgm:prSet presAssocID="{11287FE2-FA51-44D5-85C2-0959B1270E61}" presName="childText" presStyleLbl="bgAcc1" presStyleIdx="7" presStyleCnt="8">
        <dgm:presLayoutVars>
          <dgm:bulletEnabled val="1"/>
        </dgm:presLayoutVars>
      </dgm:prSet>
      <dgm:spPr>
        <a:prstGeom prst="roundRect">
          <a:avLst>
            <a:gd name="adj" fmla="val 10000"/>
          </a:avLst>
        </a:prstGeom>
      </dgm:spPr>
    </dgm:pt>
  </dgm:ptLst>
  <dgm:cxnLst>
    <dgm:cxn modelId="{131C7517-D270-4C79-880D-5496BC972D92}" type="presOf" srcId="{23A2F89D-E6B5-4680-AED5-63A0CC38EF2E}" destId="{C7B88644-B09D-4FBF-9607-D2B7C6358904}" srcOrd="0" destOrd="0" presId="urn:microsoft.com/office/officeart/2005/8/layout/hierarchy3"/>
    <dgm:cxn modelId="{9FD1561D-996C-4334-83D2-ACDE3E3A9944}" type="presOf" srcId="{5C9E1DDF-BB1C-47DA-84FC-5153D76FE2CA}" destId="{E8D91590-81D2-4833-B558-B71B6DAA2C15}" srcOrd="0" destOrd="0" presId="urn:microsoft.com/office/officeart/2005/8/layout/hierarchy3"/>
    <dgm:cxn modelId="{B89D7322-FEC7-4D35-B90B-9C17FF3271C3}" type="presOf" srcId="{64825836-AC97-4675-9F67-4B1C23B115C6}" destId="{5BF6C740-0874-425C-A519-8D9E5C8F47A7}" srcOrd="0" destOrd="0" presId="urn:microsoft.com/office/officeart/2005/8/layout/hierarchy3"/>
    <dgm:cxn modelId="{30039E28-4C4E-4C55-A890-7AF63ADEB745}" srcId="{E468A4C3-BA5C-48D9-99DD-1CE68F6F4841}" destId="{F7891853-B21D-4EFB-9BA2-D079E992210C}" srcOrd="0" destOrd="0" parTransId="{DBC5981C-2277-4316-8EE4-544C8235B2E4}" sibTransId="{99C80EB4-8EC6-482C-BDD6-E7F742FE171C}"/>
    <dgm:cxn modelId="{FA0F3A5D-0696-4860-B350-A01F9BB24290}" type="presOf" srcId="{11287FE2-FA51-44D5-85C2-0959B1270E61}" destId="{B9877270-A0AE-41F1-BA5B-E703105C3933}" srcOrd="0" destOrd="0" presId="urn:microsoft.com/office/officeart/2005/8/layout/hierarchy3"/>
    <dgm:cxn modelId="{6CA4515D-D7AF-4312-879E-9011EE4BBEDE}" type="presOf" srcId="{284BD335-CBDF-4384-BE36-A10F75C12101}" destId="{64F3D66D-0D3B-4750-BB3F-B71DF2C96678}" srcOrd="0" destOrd="0" presId="urn:microsoft.com/office/officeart/2005/8/layout/hierarchy3"/>
    <dgm:cxn modelId="{9883C061-AFB8-4287-B8BC-2183662151E5}" type="presOf" srcId="{BE2C44D6-E203-42AA-9DED-1B4BAD30BF8C}" destId="{F4A29FCC-5905-4350-8247-7AB2EE186E99}" srcOrd="0" destOrd="0" presId="urn:microsoft.com/office/officeart/2005/8/layout/hierarchy3"/>
    <dgm:cxn modelId="{1DBFED67-7878-4252-9C2C-2B58BADEA2A8}" srcId="{2CD93513-E30E-4A19-B3BE-CE74528AB4C0}" destId="{284BD335-CBDF-4384-BE36-A10F75C12101}" srcOrd="0" destOrd="0" parTransId="{0726E44A-4C48-47DF-86A3-E5F2357D4745}" sibTransId="{E1F84986-F96F-4C1F-8828-D9CD5B9F16DD}"/>
    <dgm:cxn modelId="{78245E4A-8CC5-4574-A70B-05818BED8BCE}" type="presOf" srcId="{ACDD5F59-D565-4CB0-A5A0-FA7CAB00FB68}" destId="{BAFE5D85-D723-42F9-AB6D-B5C534101700}" srcOrd="0" destOrd="0" presId="urn:microsoft.com/office/officeart/2005/8/layout/hierarchy3"/>
    <dgm:cxn modelId="{5121E06A-F294-499F-9433-23ED137F3907}" type="presOf" srcId="{F9B22211-1F88-4195-87F8-014CACA5EA4A}" destId="{4C62B369-11E5-4EE2-A2FA-1DC5B417291C}" srcOrd="0" destOrd="0" presId="urn:microsoft.com/office/officeart/2005/8/layout/hierarchy3"/>
    <dgm:cxn modelId="{31CB8472-E7B3-41F5-A1BC-0C0DC8E08B88}" type="presOf" srcId="{E468A4C3-BA5C-48D9-99DD-1CE68F6F4841}" destId="{4F26B159-1EF0-4A1C-9D17-51A97FD611D0}" srcOrd="1" destOrd="0" presId="urn:microsoft.com/office/officeart/2005/8/layout/hierarchy3"/>
    <dgm:cxn modelId="{0E5F4954-72CE-478B-A896-76F7043BCF33}" type="presOf" srcId="{F7891853-B21D-4EFB-9BA2-D079E992210C}" destId="{B1107FC7-DF75-4E3E-9A85-06989CBAF9A5}" srcOrd="0" destOrd="0" presId="urn:microsoft.com/office/officeart/2005/8/layout/hierarchy3"/>
    <dgm:cxn modelId="{EB41B975-25B7-47D3-9F33-28593AA0456F}" type="presOf" srcId="{DBC5981C-2277-4316-8EE4-544C8235B2E4}" destId="{87365CFF-158C-481C-95F1-631B16375A86}" srcOrd="0" destOrd="0" presId="urn:microsoft.com/office/officeart/2005/8/layout/hierarchy3"/>
    <dgm:cxn modelId="{2D5B9F76-774A-42A7-85F2-E536F0A4F909}" srcId="{E468A4C3-BA5C-48D9-99DD-1CE68F6F4841}" destId="{2A2731A9-273D-43E5-9F95-AB32DC6481E5}" srcOrd="1" destOrd="0" parTransId="{F9B22211-1F88-4195-87F8-014CACA5EA4A}" sibTransId="{1C4C0EA0-A0B9-4FC9-9D4D-EE927ACAF9DA}"/>
    <dgm:cxn modelId="{5ED6C256-96FC-4FF9-9C29-F23E35BA4BC2}" srcId="{64825836-AC97-4675-9F67-4B1C23B115C6}" destId="{2CD93513-E30E-4A19-B3BE-CE74528AB4C0}" srcOrd="2" destOrd="0" parTransId="{6C5E3898-4644-44ED-828E-4F8EF7304068}" sibTransId="{FECC1F6D-2BD3-46E4-845F-75215374A857}"/>
    <dgm:cxn modelId="{13C29386-E5DD-4854-B2F6-D6F8361CC0DC}" type="presOf" srcId="{4A9F4E2B-51C9-4A27-B91D-8699796E1D71}" destId="{CCB99DB7-D768-456B-9DD0-F781D44D5AE9}" srcOrd="0" destOrd="0" presId="urn:microsoft.com/office/officeart/2005/8/layout/hierarchy3"/>
    <dgm:cxn modelId="{DABD0998-47DF-413A-BD12-B99A637542CD}" type="presOf" srcId="{0E3E61B3-AF52-4671-BF34-1A23A4B2D6A7}" destId="{29F17EBD-5FB5-402F-AEBB-CEBBFFF8A961}" srcOrd="0" destOrd="0" presId="urn:microsoft.com/office/officeart/2005/8/layout/hierarchy3"/>
    <dgm:cxn modelId="{05852499-422A-4BAB-AD41-5A903AA9E195}" type="presOf" srcId="{E468A4C3-BA5C-48D9-99DD-1CE68F6F4841}" destId="{E9B83AAE-7552-48CD-9DC5-8618518E0747}" srcOrd="0" destOrd="0" presId="urn:microsoft.com/office/officeart/2005/8/layout/hierarchy3"/>
    <dgm:cxn modelId="{E44F049B-965B-40A3-AD52-61E877298B0F}" type="presOf" srcId="{CF49846D-DDF7-485A-A4D4-05099727A266}" destId="{35A9EEDC-A77C-41CC-933B-8BE60F861334}" srcOrd="0" destOrd="0" presId="urn:microsoft.com/office/officeart/2005/8/layout/hierarchy3"/>
    <dgm:cxn modelId="{73A460AE-375E-485B-A148-87566940D824}" type="presOf" srcId="{2CD93513-E30E-4A19-B3BE-CE74528AB4C0}" destId="{F01F0F85-3E6D-4EBA-865E-103EE33963D0}" srcOrd="0" destOrd="0" presId="urn:microsoft.com/office/officeart/2005/8/layout/hierarchy3"/>
    <dgm:cxn modelId="{D76E26BA-C2CA-43C1-9764-B139D93D9D50}" type="presOf" srcId="{61395F1F-0E26-4AA6-887A-1E410F4ECE70}" destId="{5273293F-13CF-4BB3-B0D0-098315634551}" srcOrd="0" destOrd="0" presId="urn:microsoft.com/office/officeart/2005/8/layout/hierarchy3"/>
    <dgm:cxn modelId="{755C9FBE-A8B2-43E1-B89B-AAD9CC21C8F7}" srcId="{CF49846D-DDF7-485A-A4D4-05099727A266}" destId="{0E3E61B3-AF52-4671-BF34-1A23A4B2D6A7}" srcOrd="2" destOrd="0" parTransId="{BE2C6E9A-3B41-4898-B146-13568FB375DF}" sibTransId="{6DD19D33-5D32-4348-846F-8DA930DD85B9}"/>
    <dgm:cxn modelId="{61CE8BC4-E28D-494B-AA98-50ED548FDED1}" srcId="{2CD93513-E30E-4A19-B3BE-CE74528AB4C0}" destId="{11287FE2-FA51-44D5-85C2-0959B1270E61}" srcOrd="1" destOrd="0" parTransId="{3F8F44B0-0AE6-427B-973A-A8042C9848B6}" sibTransId="{3729E6FB-5C4F-4E73-B7F6-D4B7283035EC}"/>
    <dgm:cxn modelId="{C55415C8-AF61-40C4-9008-077B54BBBF33}" type="presOf" srcId="{CF49846D-DDF7-485A-A4D4-05099727A266}" destId="{83555442-E59D-418E-A7C6-6DF3F070F12B}" srcOrd="1" destOrd="0" presId="urn:microsoft.com/office/officeart/2005/8/layout/hierarchy3"/>
    <dgm:cxn modelId="{0E7215CA-59C6-4B36-A043-28FB4ED09087}" type="presOf" srcId="{3F8F44B0-0AE6-427B-973A-A8042C9848B6}" destId="{D3B10C91-C8A3-4951-99B8-560AC0BDB348}" srcOrd="0" destOrd="0" presId="urn:microsoft.com/office/officeart/2005/8/layout/hierarchy3"/>
    <dgm:cxn modelId="{766097CA-0DDA-4951-ACC1-9E06FC02CD37}" srcId="{E468A4C3-BA5C-48D9-99DD-1CE68F6F4841}" destId="{23A2F89D-E6B5-4680-AED5-63A0CC38EF2E}" srcOrd="2" destOrd="0" parTransId="{61395F1F-0E26-4AA6-887A-1E410F4ECE70}" sibTransId="{2D975592-3404-4C88-80F5-1BF738C7FF7F}"/>
    <dgm:cxn modelId="{67E564CE-FE56-457F-A60A-5E26225E5781}" srcId="{CF49846D-DDF7-485A-A4D4-05099727A266}" destId="{5C9E1DDF-BB1C-47DA-84FC-5153D76FE2CA}" srcOrd="0" destOrd="0" parTransId="{BE2C44D6-E203-42AA-9DED-1B4BAD30BF8C}" sibTransId="{4F56EB51-DB31-4428-B0B8-1A8C8C8B2D67}"/>
    <dgm:cxn modelId="{590906D8-CC9C-47A1-AB3E-EB622185A073}" type="presOf" srcId="{BE2C6E9A-3B41-4898-B146-13568FB375DF}" destId="{1007224C-441B-42B3-B63E-4FAC7CAC047C}" srcOrd="0" destOrd="0" presId="urn:microsoft.com/office/officeart/2005/8/layout/hierarchy3"/>
    <dgm:cxn modelId="{1AAB4ED9-0F61-4239-A19A-49AADF582BDC}" type="presOf" srcId="{0726E44A-4C48-47DF-86A3-E5F2357D4745}" destId="{9E9557A0-ACDE-4CB1-9AEE-E4CDBC590A6F}" srcOrd="0" destOrd="0" presId="urn:microsoft.com/office/officeart/2005/8/layout/hierarchy3"/>
    <dgm:cxn modelId="{8F972FDE-B5B2-4085-AA5D-4B114569E637}" srcId="{64825836-AC97-4675-9F67-4B1C23B115C6}" destId="{E468A4C3-BA5C-48D9-99DD-1CE68F6F4841}" srcOrd="1" destOrd="0" parTransId="{F58B5CCE-A48B-4A85-890A-CAD53E6054A9}" sibTransId="{6E217613-D798-4B1D-832E-DCB50153865C}"/>
    <dgm:cxn modelId="{3577C0E0-BBB3-4185-B52D-7F425E932FA6}" srcId="{64825836-AC97-4675-9F67-4B1C23B115C6}" destId="{CF49846D-DDF7-485A-A4D4-05099727A266}" srcOrd="0" destOrd="0" parTransId="{F548407D-733C-4711-BEBF-87091A177978}" sibTransId="{F3BE8999-F70C-402D-BEE7-256F141AD4F3}"/>
    <dgm:cxn modelId="{90038DE7-4FC7-4040-ABF9-E5FCDC4D0E9A}" srcId="{CF49846D-DDF7-485A-A4D4-05099727A266}" destId="{4A9F4E2B-51C9-4A27-B91D-8699796E1D71}" srcOrd="1" destOrd="0" parTransId="{ACDD5F59-D565-4CB0-A5A0-FA7CAB00FB68}" sibTransId="{3EC5CE1E-6CA2-4F3C-ADA8-F96E0B52333F}"/>
    <dgm:cxn modelId="{AD392AF2-D1AE-4A21-B0D6-912478DAD7F9}" type="presOf" srcId="{2A2731A9-273D-43E5-9F95-AB32DC6481E5}" destId="{0C05C6B8-117C-4C4E-A8A5-BC10E31D7881}" srcOrd="0" destOrd="0" presId="urn:microsoft.com/office/officeart/2005/8/layout/hierarchy3"/>
    <dgm:cxn modelId="{B7BE6CFF-0028-4BDB-930E-D1FD56549B04}" type="presOf" srcId="{2CD93513-E30E-4A19-B3BE-CE74528AB4C0}" destId="{B4FAF5C1-9D1D-4D42-94E7-3884DEF6FDA3}" srcOrd="1" destOrd="0" presId="urn:microsoft.com/office/officeart/2005/8/layout/hierarchy3"/>
    <dgm:cxn modelId="{FCFB7128-A778-4059-BD55-9CDF53069317}" type="presParOf" srcId="{5BF6C740-0874-425C-A519-8D9E5C8F47A7}" destId="{78799B16-37B3-4B78-9D1D-4EBA914BC417}" srcOrd="0" destOrd="0" presId="urn:microsoft.com/office/officeart/2005/8/layout/hierarchy3"/>
    <dgm:cxn modelId="{9727904C-48AF-4776-999F-B83AC16314CB}" type="presParOf" srcId="{78799B16-37B3-4B78-9D1D-4EBA914BC417}" destId="{CBC4F2F4-9551-41BD-AFB7-7B549A50DD78}" srcOrd="0" destOrd="0" presId="urn:microsoft.com/office/officeart/2005/8/layout/hierarchy3"/>
    <dgm:cxn modelId="{B6BBDAB3-B40D-4880-906A-0E3EEF7284E4}" type="presParOf" srcId="{CBC4F2F4-9551-41BD-AFB7-7B549A50DD78}" destId="{35A9EEDC-A77C-41CC-933B-8BE60F861334}" srcOrd="0" destOrd="0" presId="urn:microsoft.com/office/officeart/2005/8/layout/hierarchy3"/>
    <dgm:cxn modelId="{9E6189E4-A868-420B-A7CD-F7FFB768E6CA}" type="presParOf" srcId="{CBC4F2F4-9551-41BD-AFB7-7B549A50DD78}" destId="{83555442-E59D-418E-A7C6-6DF3F070F12B}" srcOrd="1" destOrd="0" presId="urn:microsoft.com/office/officeart/2005/8/layout/hierarchy3"/>
    <dgm:cxn modelId="{2983D9F3-FB89-4AFC-B080-601BD5EF3DAC}" type="presParOf" srcId="{78799B16-37B3-4B78-9D1D-4EBA914BC417}" destId="{DBD8A4DA-597D-4AB8-9776-207CDBE99565}" srcOrd="1" destOrd="0" presId="urn:microsoft.com/office/officeart/2005/8/layout/hierarchy3"/>
    <dgm:cxn modelId="{CFE59738-48AA-4881-B7A6-CE5E24FB1E05}" type="presParOf" srcId="{DBD8A4DA-597D-4AB8-9776-207CDBE99565}" destId="{F4A29FCC-5905-4350-8247-7AB2EE186E99}" srcOrd="0" destOrd="0" presId="urn:microsoft.com/office/officeart/2005/8/layout/hierarchy3"/>
    <dgm:cxn modelId="{C1DE9076-4751-4099-B55C-B858DF5B70A4}" type="presParOf" srcId="{DBD8A4DA-597D-4AB8-9776-207CDBE99565}" destId="{E8D91590-81D2-4833-B558-B71B6DAA2C15}" srcOrd="1" destOrd="0" presId="urn:microsoft.com/office/officeart/2005/8/layout/hierarchy3"/>
    <dgm:cxn modelId="{0DC050D3-B8A9-4F5D-8AB2-94B11E66EA6A}" type="presParOf" srcId="{DBD8A4DA-597D-4AB8-9776-207CDBE99565}" destId="{BAFE5D85-D723-42F9-AB6D-B5C534101700}" srcOrd="2" destOrd="0" presId="urn:microsoft.com/office/officeart/2005/8/layout/hierarchy3"/>
    <dgm:cxn modelId="{9304DFF6-58E5-4B72-AE8C-10587DE40E32}" type="presParOf" srcId="{DBD8A4DA-597D-4AB8-9776-207CDBE99565}" destId="{CCB99DB7-D768-456B-9DD0-F781D44D5AE9}" srcOrd="3" destOrd="0" presId="urn:microsoft.com/office/officeart/2005/8/layout/hierarchy3"/>
    <dgm:cxn modelId="{75137D79-5353-467E-99EE-57D33D9A5B1F}" type="presParOf" srcId="{DBD8A4DA-597D-4AB8-9776-207CDBE99565}" destId="{1007224C-441B-42B3-B63E-4FAC7CAC047C}" srcOrd="4" destOrd="0" presId="urn:microsoft.com/office/officeart/2005/8/layout/hierarchy3"/>
    <dgm:cxn modelId="{B50F1003-8EB1-4D22-81B7-66014FB070FD}" type="presParOf" srcId="{DBD8A4DA-597D-4AB8-9776-207CDBE99565}" destId="{29F17EBD-5FB5-402F-AEBB-CEBBFFF8A961}" srcOrd="5" destOrd="0" presId="urn:microsoft.com/office/officeart/2005/8/layout/hierarchy3"/>
    <dgm:cxn modelId="{37B19C6C-AFB2-45A6-B351-51DD8122DEBD}" type="presParOf" srcId="{5BF6C740-0874-425C-A519-8D9E5C8F47A7}" destId="{6FC140B6-05E6-4916-83FE-3F7132EC4059}" srcOrd="1" destOrd="0" presId="urn:microsoft.com/office/officeart/2005/8/layout/hierarchy3"/>
    <dgm:cxn modelId="{E7A57F5B-CD94-48A5-829D-09B2DC3E80E8}" type="presParOf" srcId="{6FC140B6-05E6-4916-83FE-3F7132EC4059}" destId="{4EAA81C5-8A90-4D73-82A9-02A778C54E63}" srcOrd="0" destOrd="0" presId="urn:microsoft.com/office/officeart/2005/8/layout/hierarchy3"/>
    <dgm:cxn modelId="{C27E8590-8A35-4BD5-8E90-F75701C71362}" type="presParOf" srcId="{4EAA81C5-8A90-4D73-82A9-02A778C54E63}" destId="{E9B83AAE-7552-48CD-9DC5-8618518E0747}" srcOrd="0" destOrd="0" presId="urn:microsoft.com/office/officeart/2005/8/layout/hierarchy3"/>
    <dgm:cxn modelId="{E7311008-75FE-4751-9A79-C7614887B68C}" type="presParOf" srcId="{4EAA81C5-8A90-4D73-82A9-02A778C54E63}" destId="{4F26B159-1EF0-4A1C-9D17-51A97FD611D0}" srcOrd="1" destOrd="0" presId="urn:microsoft.com/office/officeart/2005/8/layout/hierarchy3"/>
    <dgm:cxn modelId="{B413159C-6179-4BE0-BAA0-BAADAF0D38A3}" type="presParOf" srcId="{6FC140B6-05E6-4916-83FE-3F7132EC4059}" destId="{25A98EB8-E7F0-4115-80BE-B6E96386CEF3}" srcOrd="1" destOrd="0" presId="urn:microsoft.com/office/officeart/2005/8/layout/hierarchy3"/>
    <dgm:cxn modelId="{9B3C3C8F-696D-470C-833A-C69CE4050DBF}" type="presParOf" srcId="{25A98EB8-E7F0-4115-80BE-B6E96386CEF3}" destId="{87365CFF-158C-481C-95F1-631B16375A86}" srcOrd="0" destOrd="0" presId="urn:microsoft.com/office/officeart/2005/8/layout/hierarchy3"/>
    <dgm:cxn modelId="{C963D151-7109-4D90-B749-2E8A9D44266E}" type="presParOf" srcId="{25A98EB8-E7F0-4115-80BE-B6E96386CEF3}" destId="{B1107FC7-DF75-4E3E-9A85-06989CBAF9A5}" srcOrd="1" destOrd="0" presId="urn:microsoft.com/office/officeart/2005/8/layout/hierarchy3"/>
    <dgm:cxn modelId="{56D783F3-6A26-429F-90E3-F2E06123FC46}" type="presParOf" srcId="{25A98EB8-E7F0-4115-80BE-B6E96386CEF3}" destId="{4C62B369-11E5-4EE2-A2FA-1DC5B417291C}" srcOrd="2" destOrd="0" presId="urn:microsoft.com/office/officeart/2005/8/layout/hierarchy3"/>
    <dgm:cxn modelId="{2E2ED173-C80A-49CF-A73D-9404E5A524DB}" type="presParOf" srcId="{25A98EB8-E7F0-4115-80BE-B6E96386CEF3}" destId="{0C05C6B8-117C-4C4E-A8A5-BC10E31D7881}" srcOrd="3" destOrd="0" presId="urn:microsoft.com/office/officeart/2005/8/layout/hierarchy3"/>
    <dgm:cxn modelId="{C2EBD81E-5065-4FDE-883B-D9CE38339229}" type="presParOf" srcId="{25A98EB8-E7F0-4115-80BE-B6E96386CEF3}" destId="{5273293F-13CF-4BB3-B0D0-098315634551}" srcOrd="4" destOrd="0" presId="urn:microsoft.com/office/officeart/2005/8/layout/hierarchy3"/>
    <dgm:cxn modelId="{C38D65CC-A9F5-4765-A44A-90A03E36AC0D}" type="presParOf" srcId="{25A98EB8-E7F0-4115-80BE-B6E96386CEF3}" destId="{C7B88644-B09D-4FBF-9607-D2B7C6358904}" srcOrd="5" destOrd="0" presId="urn:microsoft.com/office/officeart/2005/8/layout/hierarchy3"/>
    <dgm:cxn modelId="{A65B28E2-AB63-43FE-B484-670BE37FB677}" type="presParOf" srcId="{5BF6C740-0874-425C-A519-8D9E5C8F47A7}" destId="{25345A30-2FDE-4B98-999E-D6478AA05B2A}" srcOrd="2" destOrd="0" presId="urn:microsoft.com/office/officeart/2005/8/layout/hierarchy3"/>
    <dgm:cxn modelId="{D282D684-B059-461E-A559-4CC22812B7D5}" type="presParOf" srcId="{25345A30-2FDE-4B98-999E-D6478AA05B2A}" destId="{32B500D9-7CBF-4425-B778-0D94E605D3B6}" srcOrd="0" destOrd="0" presId="urn:microsoft.com/office/officeart/2005/8/layout/hierarchy3"/>
    <dgm:cxn modelId="{BF47B906-C82A-4F0B-ACF3-8310A9065CF4}" type="presParOf" srcId="{32B500D9-7CBF-4425-B778-0D94E605D3B6}" destId="{F01F0F85-3E6D-4EBA-865E-103EE33963D0}" srcOrd="0" destOrd="0" presId="urn:microsoft.com/office/officeart/2005/8/layout/hierarchy3"/>
    <dgm:cxn modelId="{EC284273-EC69-48A3-A7B2-440CC4DB1CAC}" type="presParOf" srcId="{32B500D9-7CBF-4425-B778-0D94E605D3B6}" destId="{B4FAF5C1-9D1D-4D42-94E7-3884DEF6FDA3}" srcOrd="1" destOrd="0" presId="urn:microsoft.com/office/officeart/2005/8/layout/hierarchy3"/>
    <dgm:cxn modelId="{D600EA44-2022-4C76-9419-FDD23832E0BE}" type="presParOf" srcId="{25345A30-2FDE-4B98-999E-D6478AA05B2A}" destId="{2F1AFCA7-B924-4821-B9CB-861DDFC46192}" srcOrd="1" destOrd="0" presId="urn:microsoft.com/office/officeart/2005/8/layout/hierarchy3"/>
    <dgm:cxn modelId="{B22346AA-5FD3-4FAC-A17A-691A66206AE5}" type="presParOf" srcId="{2F1AFCA7-B924-4821-B9CB-861DDFC46192}" destId="{9E9557A0-ACDE-4CB1-9AEE-E4CDBC590A6F}" srcOrd="0" destOrd="0" presId="urn:microsoft.com/office/officeart/2005/8/layout/hierarchy3"/>
    <dgm:cxn modelId="{34FEC69B-EF98-45C1-9A27-72EF2B10D944}" type="presParOf" srcId="{2F1AFCA7-B924-4821-B9CB-861DDFC46192}" destId="{64F3D66D-0D3B-4750-BB3F-B71DF2C96678}" srcOrd="1" destOrd="0" presId="urn:microsoft.com/office/officeart/2005/8/layout/hierarchy3"/>
    <dgm:cxn modelId="{AD2912BD-F077-4688-BD68-DC5F89A687DA}" type="presParOf" srcId="{2F1AFCA7-B924-4821-B9CB-861DDFC46192}" destId="{D3B10C91-C8A3-4951-99B8-560AC0BDB348}" srcOrd="2" destOrd="0" presId="urn:microsoft.com/office/officeart/2005/8/layout/hierarchy3"/>
    <dgm:cxn modelId="{8A6F338A-4B90-41D9-B2D2-F3CFE9669484}" type="presParOf" srcId="{2F1AFCA7-B924-4821-B9CB-861DDFC46192}" destId="{B9877270-A0AE-41F1-BA5B-E703105C3933}" srcOrd="3" destOrd="0" presId="urn:microsoft.com/office/officeart/2005/8/layout/hierarchy3"/>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FB3E1B77-0024-4F5D-B3F9-B583252874FE}" type="doc">
      <dgm:prSet loTypeId="urn:microsoft.com/office/officeart/2005/8/layout/list1" loCatId="list" qsTypeId="urn:microsoft.com/office/officeart/2005/8/quickstyle/simple2" qsCatId="simple" csTypeId="urn:microsoft.com/office/officeart/2005/8/colors/accent1_2" csCatId="accent1" phldr="1"/>
      <dgm:spPr/>
      <dgm:t>
        <a:bodyPr/>
        <a:lstStyle/>
        <a:p>
          <a:endParaRPr lang="pl-PL"/>
        </a:p>
      </dgm:t>
    </dgm:pt>
    <dgm:pt modelId="{94DAE772-F010-48E8-A0F3-FE90F397E1A1}">
      <dgm:prSet phldrT="[Tekst]"/>
      <dgm:spPr/>
      <dgm:t>
        <a:bodyPr/>
        <a:lstStyle/>
        <a:p>
          <a:r>
            <a:rPr lang="pl-PL" b="1"/>
            <a:t>Działania informacyjno-edukacyjne</a:t>
          </a:r>
          <a:r>
            <a:rPr lang="pl-PL"/>
            <a:t> </a:t>
          </a:r>
        </a:p>
      </dgm:t>
    </dgm:pt>
    <dgm:pt modelId="{CF5811BD-3ECD-4758-8EAD-0A2F9AB8A0A4}" type="parTrans" cxnId="{F7DB1F99-96EA-45D9-B788-A78F7605A7A8}">
      <dgm:prSet/>
      <dgm:spPr/>
      <dgm:t>
        <a:bodyPr/>
        <a:lstStyle/>
        <a:p>
          <a:endParaRPr lang="pl-PL"/>
        </a:p>
      </dgm:t>
    </dgm:pt>
    <dgm:pt modelId="{63E54291-0647-4DC4-AF2C-CC0C24BE6958}" type="sibTrans" cxnId="{F7DB1F99-96EA-45D9-B788-A78F7605A7A8}">
      <dgm:prSet/>
      <dgm:spPr/>
      <dgm:t>
        <a:bodyPr/>
        <a:lstStyle/>
        <a:p>
          <a:endParaRPr lang="pl-PL"/>
        </a:p>
      </dgm:t>
    </dgm:pt>
    <dgm:pt modelId="{3D4637AE-1476-485A-B900-256F0725044B}">
      <dgm:prSet phldrT="[Tekst]"/>
      <dgm:spPr/>
      <dgm:t>
        <a:bodyPr/>
        <a:lstStyle/>
        <a:p>
          <a:r>
            <a:rPr lang="pl-PL" b="1"/>
            <a:t>Działania organizacyjne</a:t>
          </a:r>
          <a:r>
            <a:rPr lang="pl-PL"/>
            <a:t> </a:t>
          </a:r>
        </a:p>
      </dgm:t>
    </dgm:pt>
    <dgm:pt modelId="{BA3BE7BF-F6B3-4F35-A601-55603901D353}" type="parTrans" cxnId="{03527909-26D6-4BEB-9E6F-88FCAD7F3BE2}">
      <dgm:prSet/>
      <dgm:spPr/>
      <dgm:t>
        <a:bodyPr/>
        <a:lstStyle/>
        <a:p>
          <a:endParaRPr lang="pl-PL"/>
        </a:p>
      </dgm:t>
    </dgm:pt>
    <dgm:pt modelId="{AEA60CD2-8388-4B6F-86E9-95C69C5B1652}" type="sibTrans" cxnId="{03527909-26D6-4BEB-9E6F-88FCAD7F3BE2}">
      <dgm:prSet/>
      <dgm:spPr/>
      <dgm:t>
        <a:bodyPr/>
        <a:lstStyle/>
        <a:p>
          <a:endParaRPr lang="pl-PL"/>
        </a:p>
      </dgm:t>
    </dgm:pt>
    <dgm:pt modelId="{57CEE51F-790C-48C8-83D9-67A2AF4E5553}">
      <dgm:prSet phldrT="[Tekst]"/>
      <dgm:spPr/>
      <dgm:t>
        <a:bodyPr/>
        <a:lstStyle/>
        <a:p>
          <a:r>
            <a:rPr lang="pl-PL" b="1"/>
            <a:t>Działania techniczne</a:t>
          </a:r>
          <a:r>
            <a:rPr lang="pl-PL"/>
            <a:t> </a:t>
          </a:r>
        </a:p>
      </dgm:t>
    </dgm:pt>
    <dgm:pt modelId="{35F02F2B-14EE-4B36-B68F-0A5A4E5EE2D7}" type="parTrans" cxnId="{6270D2C3-5AD1-4749-9CDF-AE0EB06F60B5}">
      <dgm:prSet/>
      <dgm:spPr/>
      <dgm:t>
        <a:bodyPr/>
        <a:lstStyle/>
        <a:p>
          <a:endParaRPr lang="pl-PL"/>
        </a:p>
      </dgm:t>
    </dgm:pt>
    <dgm:pt modelId="{3AFF58A5-D0F7-43C4-AE0F-F93DBCE5CA8D}" type="sibTrans" cxnId="{6270D2C3-5AD1-4749-9CDF-AE0EB06F60B5}">
      <dgm:prSet/>
      <dgm:spPr/>
      <dgm:t>
        <a:bodyPr/>
        <a:lstStyle/>
        <a:p>
          <a:endParaRPr lang="pl-PL"/>
        </a:p>
      </dgm:t>
    </dgm:pt>
    <dgm:pt modelId="{3D344FD0-2806-4655-9342-8846FD9AC737}">
      <dgm:prSet custT="1"/>
      <dgm:spPr/>
      <dgm:t>
        <a:bodyPr/>
        <a:lstStyle/>
        <a:p>
          <a:r>
            <a:rPr lang="pl-PL" sz="1100"/>
            <a:t>działania wspierające, podnoszące świadomość społeczną, mające na celu propagowanie dobrych praktyk pozwalających uodpornić miasto i jego mieszkańców poprzez edukację i zintensyfikowane działania informacyjne. Jako kluczowe w tej kategorii zidentyfikowano działanie związane z kształtowaniem świadomości o zagrożeniach klimatycznych i edukację ekologiczną na rzecz zrównoważonego rozwoju oraz działania z zakresu informowania i ostrzegania o zagrożeniach związanych ze zmianami klimatu.</a:t>
          </a:r>
        </a:p>
      </dgm:t>
    </dgm:pt>
    <dgm:pt modelId="{398E66C1-9B64-4F30-AA83-CF364FC69C41}" type="parTrans" cxnId="{012ED4D5-D611-4080-8A2E-0C1012DB3E4E}">
      <dgm:prSet/>
      <dgm:spPr/>
      <dgm:t>
        <a:bodyPr/>
        <a:lstStyle/>
        <a:p>
          <a:endParaRPr lang="pl-PL"/>
        </a:p>
      </dgm:t>
    </dgm:pt>
    <dgm:pt modelId="{9B05D4FF-FC25-4244-9AA6-E98A94182698}" type="sibTrans" cxnId="{012ED4D5-D611-4080-8A2E-0C1012DB3E4E}">
      <dgm:prSet/>
      <dgm:spPr/>
      <dgm:t>
        <a:bodyPr/>
        <a:lstStyle/>
        <a:p>
          <a:endParaRPr lang="pl-PL"/>
        </a:p>
      </dgm:t>
    </dgm:pt>
    <dgm:pt modelId="{683D590C-3010-4DC4-8F1B-879016330430}">
      <dgm:prSet custT="1"/>
      <dgm:spPr/>
      <dgm:t>
        <a:bodyPr/>
        <a:lstStyle/>
        <a:p>
          <a:r>
            <a:rPr lang="pl-PL" sz="1100"/>
            <a:t>polegające na aktualizacji dokumentów strategicznych planistycznych obwiązujących w mieście, wdrażaniu nowych procedur oraz nawiązywaniu współpracy pomiędzy podmiotami odpowiedzialnymi za adaptację do zmian klimatu, zmiany prawa miejscowego czy stworzenie wytycznych postępowania w sytuacjach wystąpienia zagrożeń klimatycznych.</a:t>
          </a:r>
        </a:p>
      </dgm:t>
    </dgm:pt>
    <dgm:pt modelId="{E8BB488E-2841-4E14-BBD8-45DC767EE488}" type="parTrans" cxnId="{B184D615-8EA6-4368-B16E-1AA4E1DA2B3D}">
      <dgm:prSet/>
      <dgm:spPr/>
      <dgm:t>
        <a:bodyPr/>
        <a:lstStyle/>
        <a:p>
          <a:endParaRPr lang="pl-PL"/>
        </a:p>
      </dgm:t>
    </dgm:pt>
    <dgm:pt modelId="{31FDC8B7-AD2B-4620-8F5C-FBE5C0CD87AE}" type="sibTrans" cxnId="{B184D615-8EA6-4368-B16E-1AA4E1DA2B3D}">
      <dgm:prSet/>
      <dgm:spPr/>
      <dgm:t>
        <a:bodyPr/>
        <a:lstStyle/>
        <a:p>
          <a:endParaRPr lang="pl-PL"/>
        </a:p>
      </dgm:t>
    </dgm:pt>
    <dgm:pt modelId="{B9B2A844-857B-4DAE-968C-54251AA06419}">
      <dgm:prSet custT="1"/>
      <dgm:spPr/>
      <dgm:t>
        <a:bodyPr/>
        <a:lstStyle/>
        <a:p>
          <a:r>
            <a:rPr lang="pl-PL" sz="1100"/>
            <a:t>działania o charakterze inwestycyjnym obejmujące budowę nowej lub modernizację istniejącej infrastruktury. Do kluczowych działań technicznych, które pozwolą miastu uzyskać odporność miasta na zagrożenia związane ze zmianami klimatu, zaliczono przedsięwzięcia polegające na inwestycjach w infrastrukturę i środowisko, takich jak: sieć wodociągowa, sieć kanalizacyjna, wały przeciwpowodziowe, drogi, termomodernizacja budynków i obiektów, OZE, tereny zielone, działania związane z budową i rozwojem systemu gospodarowania wodami opadowymi oraz błękitnej i zielonej infrastruktury, rozwój terenów zielonych, działania rewitalizacyjne.</a:t>
          </a:r>
        </a:p>
      </dgm:t>
    </dgm:pt>
    <dgm:pt modelId="{66B16ACA-7E5B-4DC8-8AEF-08C5DD214BB1}" type="parTrans" cxnId="{DDC67AE7-F8B6-414D-AEBA-6F97E689E0B2}">
      <dgm:prSet/>
      <dgm:spPr/>
      <dgm:t>
        <a:bodyPr/>
        <a:lstStyle/>
        <a:p>
          <a:endParaRPr lang="pl-PL"/>
        </a:p>
      </dgm:t>
    </dgm:pt>
    <dgm:pt modelId="{5927265F-4372-4488-B3D9-312222ECD349}" type="sibTrans" cxnId="{DDC67AE7-F8B6-414D-AEBA-6F97E689E0B2}">
      <dgm:prSet/>
      <dgm:spPr/>
      <dgm:t>
        <a:bodyPr/>
        <a:lstStyle/>
        <a:p>
          <a:endParaRPr lang="pl-PL"/>
        </a:p>
      </dgm:t>
    </dgm:pt>
    <dgm:pt modelId="{16478D99-A1C5-4AC8-9610-D6865AE2F8CB}" type="pres">
      <dgm:prSet presAssocID="{FB3E1B77-0024-4F5D-B3F9-B583252874FE}" presName="linear" presStyleCnt="0">
        <dgm:presLayoutVars>
          <dgm:dir/>
          <dgm:animLvl val="lvl"/>
          <dgm:resizeHandles val="exact"/>
        </dgm:presLayoutVars>
      </dgm:prSet>
      <dgm:spPr/>
    </dgm:pt>
    <dgm:pt modelId="{866CA8D5-4B13-4385-A7C0-01518D91A72F}" type="pres">
      <dgm:prSet presAssocID="{94DAE772-F010-48E8-A0F3-FE90F397E1A1}" presName="parentLin" presStyleCnt="0"/>
      <dgm:spPr/>
    </dgm:pt>
    <dgm:pt modelId="{8DF14833-07FA-4D70-A116-03BB956F1B15}" type="pres">
      <dgm:prSet presAssocID="{94DAE772-F010-48E8-A0F3-FE90F397E1A1}" presName="parentLeftMargin" presStyleLbl="node1" presStyleIdx="0" presStyleCnt="3"/>
      <dgm:spPr/>
    </dgm:pt>
    <dgm:pt modelId="{9E2D45F4-15B1-426B-9936-5D8CED6F44BC}" type="pres">
      <dgm:prSet presAssocID="{94DAE772-F010-48E8-A0F3-FE90F397E1A1}" presName="parentText" presStyleLbl="node1" presStyleIdx="0" presStyleCnt="3">
        <dgm:presLayoutVars>
          <dgm:chMax val="0"/>
          <dgm:bulletEnabled val="1"/>
        </dgm:presLayoutVars>
      </dgm:prSet>
      <dgm:spPr/>
    </dgm:pt>
    <dgm:pt modelId="{FFD26DF1-F370-479B-9012-A279D774B74A}" type="pres">
      <dgm:prSet presAssocID="{94DAE772-F010-48E8-A0F3-FE90F397E1A1}" presName="negativeSpace" presStyleCnt="0"/>
      <dgm:spPr/>
    </dgm:pt>
    <dgm:pt modelId="{ED58607F-BF65-4678-8419-A05362CD9B26}" type="pres">
      <dgm:prSet presAssocID="{94DAE772-F010-48E8-A0F3-FE90F397E1A1}" presName="childText" presStyleLbl="conFgAcc1" presStyleIdx="0" presStyleCnt="3">
        <dgm:presLayoutVars>
          <dgm:bulletEnabled val="1"/>
        </dgm:presLayoutVars>
      </dgm:prSet>
      <dgm:spPr/>
    </dgm:pt>
    <dgm:pt modelId="{DE5F95A1-880A-42AF-8EEC-A5B4005A38E5}" type="pres">
      <dgm:prSet presAssocID="{63E54291-0647-4DC4-AF2C-CC0C24BE6958}" presName="spaceBetweenRectangles" presStyleCnt="0"/>
      <dgm:spPr/>
    </dgm:pt>
    <dgm:pt modelId="{8A5569FD-0FC4-49CE-B68E-DCB29C009609}" type="pres">
      <dgm:prSet presAssocID="{3D4637AE-1476-485A-B900-256F0725044B}" presName="parentLin" presStyleCnt="0"/>
      <dgm:spPr/>
    </dgm:pt>
    <dgm:pt modelId="{29435C79-5E09-478D-AB04-69FCB2D134B2}" type="pres">
      <dgm:prSet presAssocID="{3D4637AE-1476-485A-B900-256F0725044B}" presName="parentLeftMargin" presStyleLbl="node1" presStyleIdx="0" presStyleCnt="3"/>
      <dgm:spPr/>
    </dgm:pt>
    <dgm:pt modelId="{B42AFD30-E46C-4ECE-9557-C2D8CB475930}" type="pres">
      <dgm:prSet presAssocID="{3D4637AE-1476-485A-B900-256F0725044B}" presName="parentText" presStyleLbl="node1" presStyleIdx="1" presStyleCnt="3">
        <dgm:presLayoutVars>
          <dgm:chMax val="0"/>
          <dgm:bulletEnabled val="1"/>
        </dgm:presLayoutVars>
      </dgm:prSet>
      <dgm:spPr/>
    </dgm:pt>
    <dgm:pt modelId="{4B7CDD21-D563-4592-B169-BD2702601E62}" type="pres">
      <dgm:prSet presAssocID="{3D4637AE-1476-485A-B900-256F0725044B}" presName="negativeSpace" presStyleCnt="0"/>
      <dgm:spPr/>
    </dgm:pt>
    <dgm:pt modelId="{42B85487-C0FE-4780-AFEB-D2EF16582334}" type="pres">
      <dgm:prSet presAssocID="{3D4637AE-1476-485A-B900-256F0725044B}" presName="childText" presStyleLbl="conFgAcc1" presStyleIdx="1" presStyleCnt="3">
        <dgm:presLayoutVars>
          <dgm:bulletEnabled val="1"/>
        </dgm:presLayoutVars>
      </dgm:prSet>
      <dgm:spPr/>
    </dgm:pt>
    <dgm:pt modelId="{E0543A3F-6B8D-4F53-A5BB-7F45FAB44647}" type="pres">
      <dgm:prSet presAssocID="{AEA60CD2-8388-4B6F-86E9-95C69C5B1652}" presName="spaceBetweenRectangles" presStyleCnt="0"/>
      <dgm:spPr/>
    </dgm:pt>
    <dgm:pt modelId="{068B756C-61F8-4BB8-90ED-584E3014C05A}" type="pres">
      <dgm:prSet presAssocID="{57CEE51F-790C-48C8-83D9-67A2AF4E5553}" presName="parentLin" presStyleCnt="0"/>
      <dgm:spPr/>
    </dgm:pt>
    <dgm:pt modelId="{553B4970-73C0-4752-8160-4C51F0D28706}" type="pres">
      <dgm:prSet presAssocID="{57CEE51F-790C-48C8-83D9-67A2AF4E5553}" presName="parentLeftMargin" presStyleLbl="node1" presStyleIdx="1" presStyleCnt="3"/>
      <dgm:spPr/>
    </dgm:pt>
    <dgm:pt modelId="{4FB1E9EC-7F97-4926-B75A-A08C93A63BE7}" type="pres">
      <dgm:prSet presAssocID="{57CEE51F-790C-48C8-83D9-67A2AF4E5553}" presName="parentText" presStyleLbl="node1" presStyleIdx="2" presStyleCnt="3">
        <dgm:presLayoutVars>
          <dgm:chMax val="0"/>
          <dgm:bulletEnabled val="1"/>
        </dgm:presLayoutVars>
      </dgm:prSet>
      <dgm:spPr/>
    </dgm:pt>
    <dgm:pt modelId="{3EA0C113-FABC-4ED3-9E0C-395B5FEE8E3B}" type="pres">
      <dgm:prSet presAssocID="{57CEE51F-790C-48C8-83D9-67A2AF4E5553}" presName="negativeSpace" presStyleCnt="0"/>
      <dgm:spPr/>
    </dgm:pt>
    <dgm:pt modelId="{F85AFFEB-97D3-40E5-8950-36BFBB0C09F5}" type="pres">
      <dgm:prSet presAssocID="{57CEE51F-790C-48C8-83D9-67A2AF4E5553}" presName="childText" presStyleLbl="conFgAcc1" presStyleIdx="2" presStyleCnt="3">
        <dgm:presLayoutVars>
          <dgm:bulletEnabled val="1"/>
        </dgm:presLayoutVars>
      </dgm:prSet>
      <dgm:spPr/>
    </dgm:pt>
  </dgm:ptLst>
  <dgm:cxnLst>
    <dgm:cxn modelId="{03527909-26D6-4BEB-9E6F-88FCAD7F3BE2}" srcId="{FB3E1B77-0024-4F5D-B3F9-B583252874FE}" destId="{3D4637AE-1476-485A-B900-256F0725044B}" srcOrd="1" destOrd="0" parTransId="{BA3BE7BF-F6B3-4F35-A601-55603901D353}" sibTransId="{AEA60CD2-8388-4B6F-86E9-95C69C5B1652}"/>
    <dgm:cxn modelId="{B184D615-8EA6-4368-B16E-1AA4E1DA2B3D}" srcId="{3D4637AE-1476-485A-B900-256F0725044B}" destId="{683D590C-3010-4DC4-8F1B-879016330430}" srcOrd="0" destOrd="0" parTransId="{E8BB488E-2841-4E14-BBD8-45DC767EE488}" sibTransId="{31FDC8B7-AD2B-4620-8F5C-FBE5C0CD87AE}"/>
    <dgm:cxn modelId="{AF0F1D1F-C969-4D35-B4E0-BCF617EE8C65}" type="presOf" srcId="{94DAE772-F010-48E8-A0F3-FE90F397E1A1}" destId="{8DF14833-07FA-4D70-A116-03BB956F1B15}" srcOrd="0" destOrd="0" presId="urn:microsoft.com/office/officeart/2005/8/layout/list1"/>
    <dgm:cxn modelId="{21FED72F-F70F-4086-9787-2A917ECA3510}" type="presOf" srcId="{3D344FD0-2806-4655-9342-8846FD9AC737}" destId="{ED58607F-BF65-4678-8419-A05362CD9B26}" srcOrd="0" destOrd="0" presId="urn:microsoft.com/office/officeart/2005/8/layout/list1"/>
    <dgm:cxn modelId="{45EE0B60-8DD4-414A-A55F-508E274E3050}" type="presOf" srcId="{57CEE51F-790C-48C8-83D9-67A2AF4E5553}" destId="{4FB1E9EC-7F97-4926-B75A-A08C93A63BE7}" srcOrd="1" destOrd="0" presId="urn:microsoft.com/office/officeart/2005/8/layout/list1"/>
    <dgm:cxn modelId="{F4A5CE69-D330-4A8B-8FBC-DADECBC61001}" type="presOf" srcId="{B9B2A844-857B-4DAE-968C-54251AA06419}" destId="{F85AFFEB-97D3-40E5-8950-36BFBB0C09F5}" srcOrd="0" destOrd="0" presId="urn:microsoft.com/office/officeart/2005/8/layout/list1"/>
    <dgm:cxn modelId="{84F84D6E-25D3-485F-AFC0-4EBA98D69D6B}" type="presOf" srcId="{683D590C-3010-4DC4-8F1B-879016330430}" destId="{42B85487-C0FE-4780-AFEB-D2EF16582334}" srcOrd="0" destOrd="0" presId="urn:microsoft.com/office/officeart/2005/8/layout/list1"/>
    <dgm:cxn modelId="{A9925788-DFB0-4D9F-A019-1BB32818F9D6}" type="presOf" srcId="{57CEE51F-790C-48C8-83D9-67A2AF4E5553}" destId="{553B4970-73C0-4752-8160-4C51F0D28706}" srcOrd="0" destOrd="0" presId="urn:microsoft.com/office/officeart/2005/8/layout/list1"/>
    <dgm:cxn modelId="{F7DB1F99-96EA-45D9-B788-A78F7605A7A8}" srcId="{FB3E1B77-0024-4F5D-B3F9-B583252874FE}" destId="{94DAE772-F010-48E8-A0F3-FE90F397E1A1}" srcOrd="0" destOrd="0" parTransId="{CF5811BD-3ECD-4758-8EAD-0A2F9AB8A0A4}" sibTransId="{63E54291-0647-4DC4-AF2C-CC0C24BE6958}"/>
    <dgm:cxn modelId="{6270D2C3-5AD1-4749-9CDF-AE0EB06F60B5}" srcId="{FB3E1B77-0024-4F5D-B3F9-B583252874FE}" destId="{57CEE51F-790C-48C8-83D9-67A2AF4E5553}" srcOrd="2" destOrd="0" parTransId="{35F02F2B-14EE-4B36-B68F-0A5A4E5EE2D7}" sibTransId="{3AFF58A5-D0F7-43C4-AE0F-F93DBCE5CA8D}"/>
    <dgm:cxn modelId="{B47761CC-4D31-4A90-8E17-1EBC5E574157}" type="presOf" srcId="{94DAE772-F010-48E8-A0F3-FE90F397E1A1}" destId="{9E2D45F4-15B1-426B-9936-5D8CED6F44BC}" srcOrd="1" destOrd="0" presId="urn:microsoft.com/office/officeart/2005/8/layout/list1"/>
    <dgm:cxn modelId="{814BAED2-FDB3-462F-9F72-B526A3BC78D8}" type="presOf" srcId="{FB3E1B77-0024-4F5D-B3F9-B583252874FE}" destId="{16478D99-A1C5-4AC8-9610-D6865AE2F8CB}" srcOrd="0" destOrd="0" presId="urn:microsoft.com/office/officeart/2005/8/layout/list1"/>
    <dgm:cxn modelId="{012ED4D5-D611-4080-8A2E-0C1012DB3E4E}" srcId="{94DAE772-F010-48E8-A0F3-FE90F397E1A1}" destId="{3D344FD0-2806-4655-9342-8846FD9AC737}" srcOrd="0" destOrd="0" parTransId="{398E66C1-9B64-4F30-AA83-CF364FC69C41}" sibTransId="{9B05D4FF-FC25-4244-9AA6-E98A94182698}"/>
    <dgm:cxn modelId="{DD8919DC-0C2A-4611-BFF6-E98D78019FAA}" type="presOf" srcId="{3D4637AE-1476-485A-B900-256F0725044B}" destId="{B42AFD30-E46C-4ECE-9557-C2D8CB475930}" srcOrd="1" destOrd="0" presId="urn:microsoft.com/office/officeart/2005/8/layout/list1"/>
    <dgm:cxn modelId="{DDC67AE7-F8B6-414D-AEBA-6F97E689E0B2}" srcId="{57CEE51F-790C-48C8-83D9-67A2AF4E5553}" destId="{B9B2A844-857B-4DAE-968C-54251AA06419}" srcOrd="0" destOrd="0" parTransId="{66B16ACA-7E5B-4DC8-8AEF-08C5DD214BB1}" sibTransId="{5927265F-4372-4488-B3D9-312222ECD349}"/>
    <dgm:cxn modelId="{E67049EB-F68C-4F65-BD4D-86A357119841}" type="presOf" srcId="{3D4637AE-1476-485A-B900-256F0725044B}" destId="{29435C79-5E09-478D-AB04-69FCB2D134B2}" srcOrd="0" destOrd="0" presId="urn:microsoft.com/office/officeart/2005/8/layout/list1"/>
    <dgm:cxn modelId="{7518F6E8-3277-4BBA-A308-259A2361B903}" type="presParOf" srcId="{16478D99-A1C5-4AC8-9610-D6865AE2F8CB}" destId="{866CA8D5-4B13-4385-A7C0-01518D91A72F}" srcOrd="0" destOrd="0" presId="urn:microsoft.com/office/officeart/2005/8/layout/list1"/>
    <dgm:cxn modelId="{967ED73F-FFB6-4E93-9187-C81B79224E94}" type="presParOf" srcId="{866CA8D5-4B13-4385-A7C0-01518D91A72F}" destId="{8DF14833-07FA-4D70-A116-03BB956F1B15}" srcOrd="0" destOrd="0" presId="urn:microsoft.com/office/officeart/2005/8/layout/list1"/>
    <dgm:cxn modelId="{CB64E9D5-30F5-471C-9056-1BD1A7A4AB57}" type="presParOf" srcId="{866CA8D5-4B13-4385-A7C0-01518D91A72F}" destId="{9E2D45F4-15B1-426B-9936-5D8CED6F44BC}" srcOrd="1" destOrd="0" presId="urn:microsoft.com/office/officeart/2005/8/layout/list1"/>
    <dgm:cxn modelId="{E843F098-D9E8-45A3-86C9-5F8AB7B0B4FC}" type="presParOf" srcId="{16478D99-A1C5-4AC8-9610-D6865AE2F8CB}" destId="{FFD26DF1-F370-479B-9012-A279D774B74A}" srcOrd="1" destOrd="0" presId="urn:microsoft.com/office/officeart/2005/8/layout/list1"/>
    <dgm:cxn modelId="{CC800A81-D8D8-44DD-8A83-DD0B43FED887}" type="presParOf" srcId="{16478D99-A1C5-4AC8-9610-D6865AE2F8CB}" destId="{ED58607F-BF65-4678-8419-A05362CD9B26}" srcOrd="2" destOrd="0" presId="urn:microsoft.com/office/officeart/2005/8/layout/list1"/>
    <dgm:cxn modelId="{1382B1E4-483C-4B1E-BDF3-F01902498D0C}" type="presParOf" srcId="{16478D99-A1C5-4AC8-9610-D6865AE2F8CB}" destId="{DE5F95A1-880A-42AF-8EEC-A5B4005A38E5}" srcOrd="3" destOrd="0" presId="urn:microsoft.com/office/officeart/2005/8/layout/list1"/>
    <dgm:cxn modelId="{2C3670CB-76C3-4813-9487-509306C29405}" type="presParOf" srcId="{16478D99-A1C5-4AC8-9610-D6865AE2F8CB}" destId="{8A5569FD-0FC4-49CE-B68E-DCB29C009609}" srcOrd="4" destOrd="0" presId="urn:microsoft.com/office/officeart/2005/8/layout/list1"/>
    <dgm:cxn modelId="{98426D0B-FF64-43EC-AFFB-647DDEBD8F14}" type="presParOf" srcId="{8A5569FD-0FC4-49CE-B68E-DCB29C009609}" destId="{29435C79-5E09-478D-AB04-69FCB2D134B2}" srcOrd="0" destOrd="0" presId="urn:microsoft.com/office/officeart/2005/8/layout/list1"/>
    <dgm:cxn modelId="{052F2394-5456-4C39-B1BA-114C4570548A}" type="presParOf" srcId="{8A5569FD-0FC4-49CE-B68E-DCB29C009609}" destId="{B42AFD30-E46C-4ECE-9557-C2D8CB475930}" srcOrd="1" destOrd="0" presId="urn:microsoft.com/office/officeart/2005/8/layout/list1"/>
    <dgm:cxn modelId="{475CBB11-C25D-42FF-A50C-C6DC04B21C49}" type="presParOf" srcId="{16478D99-A1C5-4AC8-9610-D6865AE2F8CB}" destId="{4B7CDD21-D563-4592-B169-BD2702601E62}" srcOrd="5" destOrd="0" presId="urn:microsoft.com/office/officeart/2005/8/layout/list1"/>
    <dgm:cxn modelId="{A2BD8617-B941-4AED-8241-E422819D0CC7}" type="presParOf" srcId="{16478D99-A1C5-4AC8-9610-D6865AE2F8CB}" destId="{42B85487-C0FE-4780-AFEB-D2EF16582334}" srcOrd="6" destOrd="0" presId="urn:microsoft.com/office/officeart/2005/8/layout/list1"/>
    <dgm:cxn modelId="{54D16798-5A89-453D-848F-10BBB1FE2B65}" type="presParOf" srcId="{16478D99-A1C5-4AC8-9610-D6865AE2F8CB}" destId="{E0543A3F-6B8D-4F53-A5BB-7F45FAB44647}" srcOrd="7" destOrd="0" presId="urn:microsoft.com/office/officeart/2005/8/layout/list1"/>
    <dgm:cxn modelId="{9497F09F-36EE-4849-B4C6-27248C4FD503}" type="presParOf" srcId="{16478D99-A1C5-4AC8-9610-D6865AE2F8CB}" destId="{068B756C-61F8-4BB8-90ED-584E3014C05A}" srcOrd="8" destOrd="0" presId="urn:microsoft.com/office/officeart/2005/8/layout/list1"/>
    <dgm:cxn modelId="{05D872E9-FE0F-4AE9-85DA-796FCEA69340}" type="presParOf" srcId="{068B756C-61F8-4BB8-90ED-584E3014C05A}" destId="{553B4970-73C0-4752-8160-4C51F0D28706}" srcOrd="0" destOrd="0" presId="urn:microsoft.com/office/officeart/2005/8/layout/list1"/>
    <dgm:cxn modelId="{22D6225E-8512-4692-B44A-D7563822A498}" type="presParOf" srcId="{068B756C-61F8-4BB8-90ED-584E3014C05A}" destId="{4FB1E9EC-7F97-4926-B75A-A08C93A63BE7}" srcOrd="1" destOrd="0" presId="urn:microsoft.com/office/officeart/2005/8/layout/list1"/>
    <dgm:cxn modelId="{20F634C0-515D-4918-9731-1A716E5C189D}" type="presParOf" srcId="{16478D99-A1C5-4AC8-9610-D6865AE2F8CB}" destId="{3EA0C113-FABC-4ED3-9E0C-395B5FEE8E3B}" srcOrd="9" destOrd="0" presId="urn:microsoft.com/office/officeart/2005/8/layout/list1"/>
    <dgm:cxn modelId="{7EF0D5EB-C675-470E-8317-C4970ED67F0E}" type="presParOf" srcId="{16478D99-A1C5-4AC8-9610-D6865AE2F8CB}" destId="{F85AFFEB-97D3-40E5-8950-36BFBB0C09F5}" srcOrd="10" destOrd="0" presId="urn:microsoft.com/office/officeart/2005/8/layout/list1"/>
  </dgm:cxnLst>
  <dgm:bg/>
  <dgm:whole/>
  <dgm:extLst>
    <a:ext uri="http://schemas.microsoft.com/office/drawing/2008/diagram">
      <dsp:dataModelExt xmlns:dsp="http://schemas.microsoft.com/office/drawing/2008/diagram" relId="rId144"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8A316AB6-2C62-43F4-82AE-40CBC2459DDB}" type="doc">
      <dgm:prSet loTypeId="urn:microsoft.com/office/officeart/2009/layout/CircleArrowProcess" loCatId="process" qsTypeId="urn:microsoft.com/office/officeart/2005/8/quickstyle/simple1" qsCatId="simple" csTypeId="urn:microsoft.com/office/officeart/2005/8/colors/colorful4" csCatId="colorful" phldr="1"/>
      <dgm:spPr/>
      <dgm:t>
        <a:bodyPr/>
        <a:lstStyle/>
        <a:p>
          <a:endParaRPr lang="en-GB"/>
        </a:p>
      </dgm:t>
    </dgm:pt>
    <dgm:pt modelId="{4CD3895A-47B1-4031-82CE-C7D07273D728}">
      <dgm:prSet phldrT="[Tekst]" custT="1"/>
      <dgm:spPr>
        <a:xfrm>
          <a:off x="1588064" y="556229"/>
          <a:ext cx="855991" cy="427893"/>
        </a:xfrm>
        <a:noFill/>
        <a:ln>
          <a:noFill/>
        </a:ln>
        <a:effectLst/>
      </dgm:spPr>
      <dgm:t>
        <a:bodyPr/>
        <a:lstStyle/>
        <a:p>
          <a:r>
            <a:rPr lang="pl-PL" sz="1000">
              <a:solidFill>
                <a:sysClr val="windowText" lastClr="000000">
                  <a:hueOff val="0"/>
                  <a:satOff val="0"/>
                  <a:lumOff val="0"/>
                  <a:alphaOff val="0"/>
                </a:sysClr>
              </a:solidFill>
              <a:latin typeface="+mn-lt"/>
              <a:ea typeface="+mn-ea"/>
              <a:cs typeface="Arial" panose="020B0604020202020204" pitchFamily="34" charset="0"/>
            </a:rPr>
            <a:t>OZE, </a:t>
          </a:r>
          <a:r>
            <a:rPr lang="pl-PL" sz="1000">
              <a:solidFill>
                <a:sysClr val="windowText" lastClr="000000">
                  <a:hueOff val="0"/>
                  <a:satOff val="0"/>
                  <a:lumOff val="0"/>
                  <a:alphaOff val="0"/>
                </a:sysClr>
              </a:solidFill>
              <a:latin typeface="+mn-lt"/>
              <a:ea typeface="+mn-ea"/>
              <a:cs typeface="+mn-cs"/>
            </a:rPr>
            <a:t>efektywność</a:t>
          </a:r>
          <a:r>
            <a:rPr lang="pl-PL" sz="1000">
              <a:solidFill>
                <a:sysClr val="windowText" lastClr="000000">
                  <a:hueOff val="0"/>
                  <a:satOff val="0"/>
                  <a:lumOff val="0"/>
                  <a:alphaOff val="0"/>
                </a:sysClr>
              </a:solidFill>
              <a:latin typeface="+mn-lt"/>
              <a:ea typeface="+mn-ea"/>
              <a:cs typeface="Arial" panose="020B0604020202020204" pitchFamily="34" charset="0"/>
            </a:rPr>
            <a:t> energetyczna</a:t>
          </a:r>
          <a:endParaRPr lang="en-GB" sz="1000">
            <a:solidFill>
              <a:sysClr val="windowText" lastClr="000000">
                <a:hueOff val="0"/>
                <a:satOff val="0"/>
                <a:lumOff val="0"/>
                <a:alphaOff val="0"/>
              </a:sysClr>
            </a:solidFill>
            <a:latin typeface="+mn-lt"/>
            <a:ea typeface="+mn-ea"/>
            <a:cs typeface="Arial" panose="020B0604020202020204" pitchFamily="34" charset="0"/>
          </a:endParaRPr>
        </a:p>
      </dgm:t>
    </dgm:pt>
    <dgm:pt modelId="{6FFA69D5-7E15-4103-A74B-AB2108687632}" type="parTrans" cxnId="{75001F2C-8764-4644-A571-CB39B35ECB93}">
      <dgm:prSet/>
      <dgm:spPr/>
      <dgm:t>
        <a:bodyPr/>
        <a:lstStyle/>
        <a:p>
          <a:endParaRPr lang="en-GB" sz="1000">
            <a:latin typeface="+mn-lt"/>
            <a:cs typeface="Arial" panose="020B0604020202020204" pitchFamily="34" charset="0"/>
          </a:endParaRPr>
        </a:p>
      </dgm:t>
    </dgm:pt>
    <dgm:pt modelId="{342380ED-3E78-4004-B5B6-8DD7E463AE8B}" type="sibTrans" cxnId="{75001F2C-8764-4644-A571-CB39B35ECB93}">
      <dgm:prSet/>
      <dgm:spPr/>
      <dgm:t>
        <a:bodyPr/>
        <a:lstStyle/>
        <a:p>
          <a:endParaRPr lang="en-GB" sz="1000">
            <a:latin typeface="+mn-lt"/>
            <a:cs typeface="Arial" panose="020B0604020202020204" pitchFamily="34" charset="0"/>
          </a:endParaRPr>
        </a:p>
      </dgm:t>
    </dgm:pt>
    <dgm:pt modelId="{A26F64A7-F730-48CC-ACEB-C4AA060786DD}">
      <dgm:prSet phldrT="[Tekst]" custT="1"/>
      <dgm:spPr>
        <a:xfrm>
          <a:off x="1161948" y="1446580"/>
          <a:ext cx="855991" cy="427893"/>
        </a:xfrm>
        <a:noFill/>
        <a:ln>
          <a:noFill/>
        </a:ln>
        <a:effectLst/>
      </dgm:spPr>
      <dgm:t>
        <a:bodyPr/>
        <a:lstStyle/>
        <a:p>
          <a:r>
            <a:rPr lang="pl-PL" sz="1000">
              <a:solidFill>
                <a:sysClr val="windowText" lastClr="000000">
                  <a:hueOff val="0"/>
                  <a:satOff val="0"/>
                  <a:lumOff val="0"/>
                  <a:alphaOff val="0"/>
                </a:sysClr>
              </a:solidFill>
              <a:latin typeface="+mn-lt"/>
              <a:ea typeface="+mn-ea"/>
              <a:cs typeface="Arial" panose="020B0604020202020204" pitchFamily="34" charset="0"/>
            </a:rPr>
            <a:t>Sekwestracja CO</a:t>
          </a:r>
          <a:r>
            <a:rPr lang="pl-PL" sz="1000" baseline="-25000">
              <a:solidFill>
                <a:sysClr val="windowText" lastClr="000000">
                  <a:hueOff val="0"/>
                  <a:satOff val="0"/>
                  <a:lumOff val="0"/>
                  <a:alphaOff val="0"/>
                </a:sysClr>
              </a:solidFill>
              <a:latin typeface="+mn-lt"/>
              <a:ea typeface="+mn-ea"/>
              <a:cs typeface="Arial" panose="020B0604020202020204" pitchFamily="34" charset="0"/>
            </a:rPr>
            <a:t>2</a:t>
          </a:r>
          <a:endParaRPr lang="en-GB" sz="1000">
            <a:solidFill>
              <a:sysClr val="windowText" lastClr="000000">
                <a:hueOff val="0"/>
                <a:satOff val="0"/>
                <a:lumOff val="0"/>
                <a:alphaOff val="0"/>
              </a:sysClr>
            </a:solidFill>
            <a:latin typeface="+mn-lt"/>
            <a:ea typeface="+mn-ea"/>
            <a:cs typeface="Arial" panose="020B0604020202020204" pitchFamily="34" charset="0"/>
          </a:endParaRPr>
        </a:p>
      </dgm:t>
    </dgm:pt>
    <dgm:pt modelId="{728C4BB7-7452-4651-B92F-C342C5855D5E}" type="parTrans" cxnId="{6E1862D5-AD34-49BB-9A42-75DC441A5408}">
      <dgm:prSet/>
      <dgm:spPr/>
      <dgm:t>
        <a:bodyPr/>
        <a:lstStyle/>
        <a:p>
          <a:endParaRPr lang="en-GB" sz="1000">
            <a:latin typeface="+mn-lt"/>
            <a:cs typeface="Arial" panose="020B0604020202020204" pitchFamily="34" charset="0"/>
          </a:endParaRPr>
        </a:p>
      </dgm:t>
    </dgm:pt>
    <dgm:pt modelId="{4D331FDD-52F7-4A25-ACB2-CF47FB833A68}" type="sibTrans" cxnId="{6E1862D5-AD34-49BB-9A42-75DC441A5408}">
      <dgm:prSet/>
      <dgm:spPr/>
      <dgm:t>
        <a:bodyPr/>
        <a:lstStyle/>
        <a:p>
          <a:endParaRPr lang="en-GB" sz="1000">
            <a:latin typeface="+mn-lt"/>
            <a:cs typeface="Arial" panose="020B0604020202020204" pitchFamily="34" charset="0"/>
          </a:endParaRPr>
        </a:p>
      </dgm:t>
    </dgm:pt>
    <dgm:pt modelId="{1AB32EAB-EFD1-4E2B-9A9B-61409CCE04DF}">
      <dgm:prSet phldrT="[Tekst]" custT="1"/>
      <dgm:spPr>
        <a:xfrm>
          <a:off x="1590089" y="2338212"/>
          <a:ext cx="855991" cy="427893"/>
        </a:xfrm>
        <a:noFill/>
        <a:ln>
          <a:noFill/>
        </a:ln>
        <a:effectLst/>
      </dgm:spPr>
      <dgm:t>
        <a:bodyPr/>
        <a:lstStyle/>
        <a:p>
          <a:r>
            <a:rPr lang="pl-PL" sz="1000">
              <a:solidFill>
                <a:sysClr val="windowText" lastClr="000000">
                  <a:hueOff val="0"/>
                  <a:satOff val="0"/>
                  <a:lumOff val="0"/>
                  <a:alphaOff val="0"/>
                </a:sysClr>
              </a:solidFill>
              <a:latin typeface="+mn-lt"/>
              <a:ea typeface="+mn-ea"/>
              <a:cs typeface="Arial" panose="020B0604020202020204" pitchFamily="34" charset="0"/>
            </a:rPr>
            <a:t>Ochrona przyrody</a:t>
          </a:r>
          <a:endParaRPr lang="en-GB" sz="1000">
            <a:solidFill>
              <a:sysClr val="windowText" lastClr="000000">
                <a:hueOff val="0"/>
                <a:satOff val="0"/>
                <a:lumOff val="0"/>
                <a:alphaOff val="0"/>
              </a:sysClr>
            </a:solidFill>
            <a:latin typeface="+mn-lt"/>
            <a:ea typeface="+mn-ea"/>
            <a:cs typeface="Arial" panose="020B0604020202020204" pitchFamily="34" charset="0"/>
          </a:endParaRPr>
        </a:p>
      </dgm:t>
    </dgm:pt>
    <dgm:pt modelId="{1B0DF0EB-3328-41AA-9822-013647DFE5BE}" type="parTrans" cxnId="{03F78E8A-1472-424C-BD22-8F09EF0E6D62}">
      <dgm:prSet/>
      <dgm:spPr/>
      <dgm:t>
        <a:bodyPr/>
        <a:lstStyle/>
        <a:p>
          <a:endParaRPr lang="en-GB" sz="1000">
            <a:latin typeface="+mn-lt"/>
            <a:cs typeface="Arial" panose="020B0604020202020204" pitchFamily="34" charset="0"/>
          </a:endParaRPr>
        </a:p>
      </dgm:t>
    </dgm:pt>
    <dgm:pt modelId="{C9668EF3-A0B8-4FAF-AE62-2338B5BFA2F4}" type="sibTrans" cxnId="{03F78E8A-1472-424C-BD22-8F09EF0E6D62}">
      <dgm:prSet/>
      <dgm:spPr/>
      <dgm:t>
        <a:bodyPr/>
        <a:lstStyle/>
        <a:p>
          <a:endParaRPr lang="en-GB" sz="1000">
            <a:latin typeface="+mn-lt"/>
            <a:cs typeface="Arial" panose="020B0604020202020204" pitchFamily="34" charset="0"/>
          </a:endParaRPr>
        </a:p>
      </dgm:t>
    </dgm:pt>
    <dgm:pt modelId="{31B610AA-677A-4386-A395-8782B112F2A8}">
      <dgm:prSet phldrT="[Tekst]" custT="1"/>
      <dgm:spPr>
        <a:xfrm>
          <a:off x="2653922" y="329613"/>
          <a:ext cx="2832477" cy="960747"/>
        </a:xfrm>
        <a:noFill/>
        <a:ln>
          <a:noFill/>
        </a:ln>
        <a:effectLst/>
      </dgm:spPr>
      <dgm:t>
        <a:bodyPr/>
        <a:lstStyle/>
        <a:p>
          <a:r>
            <a:rPr lang="pl-PL" sz="1000" dirty="0">
              <a:solidFill>
                <a:sysClr val="windowText" lastClr="000000">
                  <a:hueOff val="0"/>
                  <a:satOff val="0"/>
                  <a:lumOff val="0"/>
                  <a:alphaOff val="0"/>
                </a:sysClr>
              </a:solidFill>
              <a:latin typeface="+mn-lt"/>
              <a:ea typeface="+mn-ea"/>
              <a:cs typeface="Arial" pitchFamily="34" charset="0"/>
            </a:rPr>
            <a:t>Zwiększenie udziału odnawialnych źródeł energii (OZE) i podniesienie efektywności energetycznej</a:t>
          </a:r>
          <a:endParaRPr lang="en-GB" sz="1000">
            <a:solidFill>
              <a:sysClr val="windowText" lastClr="000000">
                <a:hueOff val="0"/>
                <a:satOff val="0"/>
                <a:lumOff val="0"/>
                <a:alphaOff val="0"/>
              </a:sysClr>
            </a:solidFill>
            <a:latin typeface="+mn-lt"/>
            <a:ea typeface="+mn-ea"/>
            <a:cs typeface="Arial" panose="020B0604020202020204" pitchFamily="34" charset="0"/>
          </a:endParaRPr>
        </a:p>
      </dgm:t>
    </dgm:pt>
    <dgm:pt modelId="{8A5A36BB-DC39-441A-AAF9-6EFC0E1A9DB1}" type="parTrans" cxnId="{F9009254-9FDF-4E1E-9DAB-1EF06D8F15FD}">
      <dgm:prSet/>
      <dgm:spPr/>
      <dgm:t>
        <a:bodyPr/>
        <a:lstStyle/>
        <a:p>
          <a:endParaRPr lang="en-GB" sz="1000">
            <a:latin typeface="+mn-lt"/>
            <a:cs typeface="Arial" panose="020B0604020202020204" pitchFamily="34" charset="0"/>
          </a:endParaRPr>
        </a:p>
      </dgm:t>
    </dgm:pt>
    <dgm:pt modelId="{2090C0F1-7A62-42A4-B385-BE3D41A5D14A}" type="sibTrans" cxnId="{F9009254-9FDF-4E1E-9DAB-1EF06D8F15FD}">
      <dgm:prSet/>
      <dgm:spPr/>
      <dgm:t>
        <a:bodyPr/>
        <a:lstStyle/>
        <a:p>
          <a:endParaRPr lang="en-GB" sz="1000">
            <a:latin typeface="+mn-lt"/>
            <a:cs typeface="Arial" panose="020B0604020202020204" pitchFamily="34" charset="0"/>
          </a:endParaRPr>
        </a:p>
      </dgm:t>
    </dgm:pt>
    <dgm:pt modelId="{844153CE-2B02-4140-9AEC-A39E9FC87823}">
      <dgm:prSet phldrT="[Tekst]" custT="1"/>
      <dgm:spPr>
        <a:xfrm>
          <a:off x="2199642" y="1231630"/>
          <a:ext cx="3074107" cy="852353"/>
        </a:xfrm>
        <a:noFill/>
        <a:ln>
          <a:noFill/>
        </a:ln>
        <a:effectLst/>
      </dgm:spPr>
      <dgm:t>
        <a:bodyPr/>
        <a:lstStyle/>
        <a:p>
          <a:r>
            <a:rPr lang="pl-PL" sz="1000" dirty="0">
              <a:solidFill>
                <a:sysClr val="windowText" lastClr="000000">
                  <a:hueOff val="0"/>
                  <a:satOff val="0"/>
                  <a:lumOff val="0"/>
                  <a:alphaOff val="0"/>
                </a:sysClr>
              </a:solidFill>
              <a:latin typeface="+mn-lt"/>
              <a:ea typeface="+mn-ea"/>
              <a:cs typeface="Arial" pitchFamily="34" charset="0"/>
            </a:rPr>
            <a:t>Metody sekwestracji (wychwytywania i bezpiecznego składowania dwutlenku węgla)</a:t>
          </a:r>
          <a:endParaRPr lang="en-GB" sz="1000">
            <a:solidFill>
              <a:sysClr val="windowText" lastClr="000000">
                <a:hueOff val="0"/>
                <a:satOff val="0"/>
                <a:lumOff val="0"/>
                <a:alphaOff val="0"/>
              </a:sysClr>
            </a:solidFill>
            <a:latin typeface="+mn-lt"/>
            <a:ea typeface="+mn-ea"/>
            <a:cs typeface="Arial" panose="020B0604020202020204" pitchFamily="34" charset="0"/>
          </a:endParaRPr>
        </a:p>
      </dgm:t>
    </dgm:pt>
    <dgm:pt modelId="{0EE44BED-E985-47A7-9367-7A847AA32E8D}" type="parTrans" cxnId="{71E81EAD-FDCA-4F2C-AA53-599D9DE91C8D}">
      <dgm:prSet/>
      <dgm:spPr/>
      <dgm:t>
        <a:bodyPr/>
        <a:lstStyle/>
        <a:p>
          <a:endParaRPr lang="en-GB" sz="1000">
            <a:latin typeface="+mn-lt"/>
            <a:cs typeface="Arial" panose="020B0604020202020204" pitchFamily="34" charset="0"/>
          </a:endParaRPr>
        </a:p>
      </dgm:t>
    </dgm:pt>
    <dgm:pt modelId="{3CA279C8-98A8-42ED-BF66-5C0E6921D30F}" type="sibTrans" cxnId="{71E81EAD-FDCA-4F2C-AA53-599D9DE91C8D}">
      <dgm:prSet/>
      <dgm:spPr/>
      <dgm:t>
        <a:bodyPr/>
        <a:lstStyle/>
        <a:p>
          <a:endParaRPr lang="en-GB" sz="1000">
            <a:latin typeface="+mn-lt"/>
            <a:cs typeface="Arial" panose="020B0604020202020204" pitchFamily="34" charset="0"/>
          </a:endParaRPr>
        </a:p>
      </dgm:t>
    </dgm:pt>
    <dgm:pt modelId="{A3A98B3E-6E6A-4F18-BC13-6163B30231E5}">
      <dgm:prSet phldrT="[Tekst]" custT="1"/>
      <dgm:spPr>
        <a:xfrm>
          <a:off x="2658016" y="1980334"/>
          <a:ext cx="2828383" cy="1220065"/>
        </a:xfrm>
        <a:noFill/>
        <a:ln>
          <a:noFill/>
        </a:ln>
        <a:effectLst/>
      </dgm:spPr>
      <dgm:t>
        <a:bodyPr/>
        <a:lstStyle/>
        <a:p>
          <a:r>
            <a:rPr lang="pl-PL" sz="1000" dirty="0">
              <a:solidFill>
                <a:sysClr val="windowText" lastClr="000000">
                  <a:hueOff val="0"/>
                  <a:satOff val="0"/>
                  <a:lumOff val="0"/>
                  <a:alphaOff val="0"/>
                </a:sysClr>
              </a:solidFill>
              <a:latin typeface="+mn-lt"/>
              <a:ea typeface="+mn-ea"/>
              <a:cs typeface="Arial" pitchFamily="34" charset="0"/>
            </a:rPr>
            <a:t>Ochrona ekosystemów, bioróżnorodności biologicznej - min. zwiększenie pochłaniania gazów cieplarnianych przez ekosystemy</a:t>
          </a:r>
          <a:endParaRPr lang="en-GB" sz="1000">
            <a:solidFill>
              <a:sysClr val="windowText" lastClr="000000">
                <a:hueOff val="0"/>
                <a:satOff val="0"/>
                <a:lumOff val="0"/>
                <a:alphaOff val="0"/>
              </a:sysClr>
            </a:solidFill>
            <a:latin typeface="+mn-lt"/>
            <a:ea typeface="+mn-ea"/>
            <a:cs typeface="Arial" panose="020B0604020202020204" pitchFamily="34" charset="0"/>
          </a:endParaRPr>
        </a:p>
      </dgm:t>
    </dgm:pt>
    <dgm:pt modelId="{2BB8CF3E-769C-4CFC-A3CA-645AC72AAAD6}" type="parTrans" cxnId="{CBE9AED6-91AB-440C-8D97-62F90D811AF9}">
      <dgm:prSet/>
      <dgm:spPr/>
      <dgm:t>
        <a:bodyPr/>
        <a:lstStyle/>
        <a:p>
          <a:endParaRPr lang="en-GB" sz="1000">
            <a:latin typeface="+mn-lt"/>
            <a:cs typeface="Arial" panose="020B0604020202020204" pitchFamily="34" charset="0"/>
          </a:endParaRPr>
        </a:p>
      </dgm:t>
    </dgm:pt>
    <dgm:pt modelId="{C32D479F-B8C3-4D5F-8FB9-0314F20EE86B}" type="sibTrans" cxnId="{CBE9AED6-91AB-440C-8D97-62F90D811AF9}">
      <dgm:prSet/>
      <dgm:spPr/>
      <dgm:t>
        <a:bodyPr/>
        <a:lstStyle/>
        <a:p>
          <a:endParaRPr lang="en-GB" sz="1000">
            <a:latin typeface="+mn-lt"/>
            <a:cs typeface="Arial" panose="020B0604020202020204" pitchFamily="34" charset="0"/>
          </a:endParaRPr>
        </a:p>
      </dgm:t>
    </dgm:pt>
    <dgm:pt modelId="{1A72F5E8-19E9-458E-9957-0484CB3CAED2}" type="pres">
      <dgm:prSet presAssocID="{8A316AB6-2C62-43F4-82AE-40CBC2459DDB}" presName="Name0" presStyleCnt="0">
        <dgm:presLayoutVars>
          <dgm:chMax val="7"/>
          <dgm:chPref val="7"/>
          <dgm:dir/>
          <dgm:animLvl val="lvl"/>
        </dgm:presLayoutVars>
      </dgm:prSet>
      <dgm:spPr/>
    </dgm:pt>
    <dgm:pt modelId="{8D9E200C-947F-4354-92EA-9A08B1E25196}" type="pres">
      <dgm:prSet presAssocID="{4CD3895A-47B1-4031-82CE-C7D07273D728}" presName="Accent1" presStyleCnt="0"/>
      <dgm:spPr/>
    </dgm:pt>
    <dgm:pt modelId="{14A1EE49-067D-40E7-95DE-24B242CC76B9}" type="pres">
      <dgm:prSet presAssocID="{4CD3895A-47B1-4031-82CE-C7D07273D728}" presName="Accent" presStyleLbl="node1" presStyleIdx="0" presStyleCnt="3"/>
      <dgm:spPr>
        <a:xfrm>
          <a:off x="1247576" y="0"/>
          <a:ext cx="1540438" cy="1540672"/>
        </a:xfrm>
        <a:prstGeom prst="circularArrow">
          <a:avLst>
            <a:gd name="adj1" fmla="val 10980"/>
            <a:gd name="adj2" fmla="val 1142322"/>
            <a:gd name="adj3" fmla="val 4500000"/>
            <a:gd name="adj4" fmla="val 10800000"/>
            <a:gd name="adj5" fmla="val 12500"/>
          </a:avLst>
        </a:prstGeom>
        <a:solidFill>
          <a:srgbClr val="029676">
            <a:hueOff val="0"/>
            <a:satOff val="0"/>
            <a:lumOff val="0"/>
            <a:alphaOff val="0"/>
          </a:srgbClr>
        </a:solidFill>
        <a:ln w="25400" cap="flat" cmpd="sng" algn="ctr">
          <a:solidFill>
            <a:sysClr val="window" lastClr="FFFFFF">
              <a:hueOff val="0"/>
              <a:satOff val="0"/>
              <a:lumOff val="0"/>
              <a:alphaOff val="0"/>
            </a:sysClr>
          </a:solidFill>
          <a:prstDash val="solid"/>
        </a:ln>
        <a:effectLst/>
      </dgm:spPr>
    </dgm:pt>
    <dgm:pt modelId="{BB07432B-EB6A-4DB8-825B-BC12676163D9}" type="pres">
      <dgm:prSet presAssocID="{4CD3895A-47B1-4031-82CE-C7D07273D728}" presName="Child1" presStyleLbl="revTx" presStyleIdx="0" presStyleCnt="6" custScaleX="306458" custScaleY="155865" custLinFactNeighborX="97893" custLinFactNeighborY="6900">
        <dgm:presLayoutVars>
          <dgm:chMax val="0"/>
          <dgm:chPref val="0"/>
          <dgm:bulletEnabled val="1"/>
        </dgm:presLayoutVars>
      </dgm:prSet>
      <dgm:spPr>
        <a:prstGeom prst="rect">
          <a:avLst/>
        </a:prstGeom>
      </dgm:spPr>
    </dgm:pt>
    <dgm:pt modelId="{D4D25F8E-76F8-4342-A0C6-2FCADCA7CA56}" type="pres">
      <dgm:prSet presAssocID="{4CD3895A-47B1-4031-82CE-C7D07273D728}" presName="Parent1" presStyleLbl="revTx" presStyleIdx="1" presStyleCnt="6">
        <dgm:presLayoutVars>
          <dgm:chMax val="1"/>
          <dgm:chPref val="1"/>
          <dgm:bulletEnabled val="1"/>
        </dgm:presLayoutVars>
      </dgm:prSet>
      <dgm:spPr>
        <a:prstGeom prst="rect">
          <a:avLst/>
        </a:prstGeom>
      </dgm:spPr>
    </dgm:pt>
    <dgm:pt modelId="{0B56870A-3F8B-4BE3-8A4B-F4C4E6133A11}" type="pres">
      <dgm:prSet presAssocID="{A26F64A7-F730-48CC-ACEB-C4AA060786DD}" presName="Accent2" presStyleCnt="0"/>
      <dgm:spPr/>
    </dgm:pt>
    <dgm:pt modelId="{6C3C1B3A-2568-41C1-A6ED-2893F5DCA43A}" type="pres">
      <dgm:prSet presAssocID="{A26F64A7-F730-48CC-ACEB-C4AA060786DD}" presName="Accent" presStyleLbl="node1" presStyleIdx="1" presStyleCnt="3" custLinFactNeighborX="-2473" custLinFactNeighborY="-618"/>
      <dgm:spPr>
        <a:xfrm>
          <a:off x="781630" y="875709"/>
          <a:ext cx="1540438" cy="1540672"/>
        </a:xfrm>
        <a:prstGeom prst="leftCircularArrow">
          <a:avLst>
            <a:gd name="adj1" fmla="val 10980"/>
            <a:gd name="adj2" fmla="val 1142322"/>
            <a:gd name="adj3" fmla="val 6300000"/>
            <a:gd name="adj4" fmla="val 18900000"/>
            <a:gd name="adj5" fmla="val 12500"/>
          </a:avLst>
        </a:prstGeom>
        <a:solidFill>
          <a:srgbClr val="029676">
            <a:hueOff val="610539"/>
            <a:satOff val="-23261"/>
            <a:lumOff val="11568"/>
            <a:alphaOff val="0"/>
          </a:srgbClr>
        </a:solidFill>
        <a:ln w="25400" cap="flat" cmpd="sng" algn="ctr">
          <a:solidFill>
            <a:sysClr val="window" lastClr="FFFFFF">
              <a:hueOff val="0"/>
              <a:satOff val="0"/>
              <a:lumOff val="0"/>
              <a:alphaOff val="0"/>
            </a:sysClr>
          </a:solidFill>
          <a:prstDash val="solid"/>
        </a:ln>
        <a:effectLst/>
      </dgm:spPr>
    </dgm:pt>
    <dgm:pt modelId="{90CF7704-D109-41F3-AA0D-E74A4C9B14F8}" type="pres">
      <dgm:prSet presAssocID="{A26F64A7-F730-48CC-ACEB-C4AA060786DD}" presName="Child2" presStyleLbl="revTx" presStyleIdx="2" presStyleCnt="6" custScaleX="332601" custScaleY="138280" custLinFactNeighborX="98933">
        <dgm:presLayoutVars>
          <dgm:chMax val="0"/>
          <dgm:chPref val="0"/>
          <dgm:bulletEnabled val="1"/>
        </dgm:presLayoutVars>
      </dgm:prSet>
      <dgm:spPr>
        <a:prstGeom prst="rect">
          <a:avLst/>
        </a:prstGeom>
      </dgm:spPr>
    </dgm:pt>
    <dgm:pt modelId="{798961AD-16FF-489A-A3A4-5F3C58A385A6}" type="pres">
      <dgm:prSet presAssocID="{A26F64A7-F730-48CC-ACEB-C4AA060786DD}" presName="Parent2" presStyleLbl="revTx" presStyleIdx="3" presStyleCnt="6">
        <dgm:presLayoutVars>
          <dgm:chMax val="1"/>
          <dgm:chPref val="1"/>
          <dgm:bulletEnabled val="1"/>
        </dgm:presLayoutVars>
      </dgm:prSet>
      <dgm:spPr>
        <a:prstGeom prst="rect">
          <a:avLst/>
        </a:prstGeom>
      </dgm:spPr>
    </dgm:pt>
    <dgm:pt modelId="{043F27E3-6E45-4917-A4BC-C1C8E55258B1}" type="pres">
      <dgm:prSet presAssocID="{1AB32EAB-EFD1-4E2B-9A9B-61409CCE04DF}" presName="Accent3" presStyleCnt="0"/>
      <dgm:spPr/>
    </dgm:pt>
    <dgm:pt modelId="{5B5CB89D-72A0-4ECE-8B06-FF43AE971D81}" type="pres">
      <dgm:prSet presAssocID="{1AB32EAB-EFD1-4E2B-9A9B-61409CCE04DF}" presName="Accent" presStyleLbl="node1" presStyleIdx="2" presStyleCnt="3"/>
      <dgm:spPr>
        <a:xfrm>
          <a:off x="1357215" y="1876394"/>
          <a:ext cx="1323475" cy="1324005"/>
        </a:xfrm>
        <a:prstGeom prst="blockArc">
          <a:avLst>
            <a:gd name="adj1" fmla="val 13500000"/>
            <a:gd name="adj2" fmla="val 10800000"/>
            <a:gd name="adj3" fmla="val 12740"/>
          </a:avLst>
        </a:prstGeom>
        <a:solidFill>
          <a:srgbClr val="029676">
            <a:hueOff val="1221077"/>
            <a:satOff val="-46523"/>
            <a:lumOff val="23135"/>
            <a:alphaOff val="0"/>
          </a:srgbClr>
        </a:solidFill>
        <a:ln w="25400" cap="flat" cmpd="sng" algn="ctr">
          <a:solidFill>
            <a:sysClr val="window" lastClr="FFFFFF">
              <a:hueOff val="0"/>
              <a:satOff val="0"/>
              <a:lumOff val="0"/>
              <a:alphaOff val="0"/>
            </a:sysClr>
          </a:solidFill>
          <a:prstDash val="solid"/>
        </a:ln>
        <a:effectLst/>
      </dgm:spPr>
    </dgm:pt>
    <dgm:pt modelId="{27AFE551-E2BD-44AC-8A87-506B411FF8AB}" type="pres">
      <dgm:prSet presAssocID="{1AB32EAB-EFD1-4E2B-9A9B-61409CCE04DF}" presName="Child3" presStyleLbl="revTx" presStyleIdx="4" presStyleCnt="6" custScaleX="306015" custScaleY="197935" custLinFactNeighborX="99981" custLinFactNeighborY="6900">
        <dgm:presLayoutVars>
          <dgm:chMax val="0"/>
          <dgm:chPref val="0"/>
          <dgm:bulletEnabled val="1"/>
        </dgm:presLayoutVars>
      </dgm:prSet>
      <dgm:spPr>
        <a:prstGeom prst="rect">
          <a:avLst/>
        </a:prstGeom>
      </dgm:spPr>
    </dgm:pt>
    <dgm:pt modelId="{533F8C1B-9870-4463-8CD4-70EDA6A5385C}" type="pres">
      <dgm:prSet presAssocID="{1AB32EAB-EFD1-4E2B-9A9B-61409CCE04DF}" presName="Parent3" presStyleLbl="revTx" presStyleIdx="5" presStyleCnt="6">
        <dgm:presLayoutVars>
          <dgm:chMax val="1"/>
          <dgm:chPref val="1"/>
          <dgm:bulletEnabled val="1"/>
        </dgm:presLayoutVars>
      </dgm:prSet>
      <dgm:spPr>
        <a:prstGeom prst="rect">
          <a:avLst/>
        </a:prstGeom>
      </dgm:spPr>
    </dgm:pt>
  </dgm:ptLst>
  <dgm:cxnLst>
    <dgm:cxn modelId="{07C73F14-3B7B-4C67-B48D-4304B4252B6F}" type="presOf" srcId="{31B610AA-677A-4386-A395-8782B112F2A8}" destId="{BB07432B-EB6A-4DB8-825B-BC12676163D9}" srcOrd="0" destOrd="0" presId="urn:microsoft.com/office/officeart/2009/layout/CircleArrowProcess"/>
    <dgm:cxn modelId="{99BFAD29-95A4-4732-BE34-A4D87779B02B}" type="presOf" srcId="{8A316AB6-2C62-43F4-82AE-40CBC2459DDB}" destId="{1A72F5E8-19E9-458E-9957-0484CB3CAED2}" srcOrd="0" destOrd="0" presId="urn:microsoft.com/office/officeart/2009/layout/CircleArrowProcess"/>
    <dgm:cxn modelId="{75001F2C-8764-4644-A571-CB39B35ECB93}" srcId="{8A316AB6-2C62-43F4-82AE-40CBC2459DDB}" destId="{4CD3895A-47B1-4031-82CE-C7D07273D728}" srcOrd="0" destOrd="0" parTransId="{6FFA69D5-7E15-4103-A74B-AB2108687632}" sibTransId="{342380ED-3E78-4004-B5B6-8DD7E463AE8B}"/>
    <dgm:cxn modelId="{A5598F35-116D-46EF-8CF3-4B94F7D8CDF7}" type="presOf" srcId="{4CD3895A-47B1-4031-82CE-C7D07273D728}" destId="{D4D25F8E-76F8-4342-A0C6-2FCADCA7CA56}" srcOrd="0" destOrd="0" presId="urn:microsoft.com/office/officeart/2009/layout/CircleArrowProcess"/>
    <dgm:cxn modelId="{F9009254-9FDF-4E1E-9DAB-1EF06D8F15FD}" srcId="{4CD3895A-47B1-4031-82CE-C7D07273D728}" destId="{31B610AA-677A-4386-A395-8782B112F2A8}" srcOrd="0" destOrd="0" parTransId="{8A5A36BB-DC39-441A-AAF9-6EFC0E1A9DB1}" sibTransId="{2090C0F1-7A62-42A4-B385-BE3D41A5D14A}"/>
    <dgm:cxn modelId="{6DEF0375-0C17-4715-98AA-F7660C52226F}" type="presOf" srcId="{1AB32EAB-EFD1-4E2B-9A9B-61409CCE04DF}" destId="{533F8C1B-9870-4463-8CD4-70EDA6A5385C}" srcOrd="0" destOrd="0" presId="urn:microsoft.com/office/officeart/2009/layout/CircleArrowProcess"/>
    <dgm:cxn modelId="{86673675-9AAA-4A88-AFDD-22345BFC3D1E}" type="presOf" srcId="{A26F64A7-F730-48CC-ACEB-C4AA060786DD}" destId="{798961AD-16FF-489A-A3A4-5F3C58A385A6}" srcOrd="0" destOrd="0" presId="urn:microsoft.com/office/officeart/2009/layout/CircleArrowProcess"/>
    <dgm:cxn modelId="{C2D3C67D-467F-496C-BD3A-999702A4F13C}" type="presOf" srcId="{844153CE-2B02-4140-9AEC-A39E9FC87823}" destId="{90CF7704-D109-41F3-AA0D-E74A4C9B14F8}" srcOrd="0" destOrd="0" presId="urn:microsoft.com/office/officeart/2009/layout/CircleArrowProcess"/>
    <dgm:cxn modelId="{03F78E8A-1472-424C-BD22-8F09EF0E6D62}" srcId="{8A316AB6-2C62-43F4-82AE-40CBC2459DDB}" destId="{1AB32EAB-EFD1-4E2B-9A9B-61409CCE04DF}" srcOrd="2" destOrd="0" parTransId="{1B0DF0EB-3328-41AA-9822-013647DFE5BE}" sibTransId="{C9668EF3-A0B8-4FAF-AE62-2338B5BFA2F4}"/>
    <dgm:cxn modelId="{71E81EAD-FDCA-4F2C-AA53-599D9DE91C8D}" srcId="{A26F64A7-F730-48CC-ACEB-C4AA060786DD}" destId="{844153CE-2B02-4140-9AEC-A39E9FC87823}" srcOrd="0" destOrd="0" parTransId="{0EE44BED-E985-47A7-9367-7A847AA32E8D}" sibTransId="{3CA279C8-98A8-42ED-BF66-5C0E6921D30F}"/>
    <dgm:cxn modelId="{7A3839B1-3EA4-4BC4-8D13-DF7AE5EE1448}" type="presOf" srcId="{A3A98B3E-6E6A-4F18-BC13-6163B30231E5}" destId="{27AFE551-E2BD-44AC-8A87-506B411FF8AB}" srcOrd="0" destOrd="0" presId="urn:microsoft.com/office/officeart/2009/layout/CircleArrowProcess"/>
    <dgm:cxn modelId="{6E1862D5-AD34-49BB-9A42-75DC441A5408}" srcId="{8A316AB6-2C62-43F4-82AE-40CBC2459DDB}" destId="{A26F64A7-F730-48CC-ACEB-C4AA060786DD}" srcOrd="1" destOrd="0" parTransId="{728C4BB7-7452-4651-B92F-C342C5855D5E}" sibTransId="{4D331FDD-52F7-4A25-ACB2-CF47FB833A68}"/>
    <dgm:cxn modelId="{CBE9AED6-91AB-440C-8D97-62F90D811AF9}" srcId="{1AB32EAB-EFD1-4E2B-9A9B-61409CCE04DF}" destId="{A3A98B3E-6E6A-4F18-BC13-6163B30231E5}" srcOrd="0" destOrd="0" parTransId="{2BB8CF3E-769C-4CFC-A3CA-645AC72AAAD6}" sibTransId="{C32D479F-B8C3-4D5F-8FB9-0314F20EE86B}"/>
    <dgm:cxn modelId="{8B5DAFE0-F927-44BF-B517-6019638A9547}" type="presParOf" srcId="{1A72F5E8-19E9-458E-9957-0484CB3CAED2}" destId="{8D9E200C-947F-4354-92EA-9A08B1E25196}" srcOrd="0" destOrd="0" presId="urn:microsoft.com/office/officeart/2009/layout/CircleArrowProcess"/>
    <dgm:cxn modelId="{4894A450-5B4A-42DC-979B-F76B6596FECE}" type="presParOf" srcId="{8D9E200C-947F-4354-92EA-9A08B1E25196}" destId="{14A1EE49-067D-40E7-95DE-24B242CC76B9}" srcOrd="0" destOrd="0" presId="urn:microsoft.com/office/officeart/2009/layout/CircleArrowProcess"/>
    <dgm:cxn modelId="{B343E6FC-02E9-4E30-854D-8EB0B0F76214}" type="presParOf" srcId="{1A72F5E8-19E9-458E-9957-0484CB3CAED2}" destId="{BB07432B-EB6A-4DB8-825B-BC12676163D9}" srcOrd="1" destOrd="0" presId="urn:microsoft.com/office/officeart/2009/layout/CircleArrowProcess"/>
    <dgm:cxn modelId="{E4799338-6A46-4F9C-BC30-44489F9F893E}" type="presParOf" srcId="{1A72F5E8-19E9-458E-9957-0484CB3CAED2}" destId="{D4D25F8E-76F8-4342-A0C6-2FCADCA7CA56}" srcOrd="2" destOrd="0" presId="urn:microsoft.com/office/officeart/2009/layout/CircleArrowProcess"/>
    <dgm:cxn modelId="{F6EC10A3-F48A-48DD-AE59-86CEC5865B54}" type="presParOf" srcId="{1A72F5E8-19E9-458E-9957-0484CB3CAED2}" destId="{0B56870A-3F8B-4BE3-8A4B-F4C4E6133A11}" srcOrd="3" destOrd="0" presId="urn:microsoft.com/office/officeart/2009/layout/CircleArrowProcess"/>
    <dgm:cxn modelId="{6F4CE2DA-FC3C-4583-8D30-F7DDF4F847CD}" type="presParOf" srcId="{0B56870A-3F8B-4BE3-8A4B-F4C4E6133A11}" destId="{6C3C1B3A-2568-41C1-A6ED-2893F5DCA43A}" srcOrd="0" destOrd="0" presId="urn:microsoft.com/office/officeart/2009/layout/CircleArrowProcess"/>
    <dgm:cxn modelId="{E2FD9E37-E513-4757-BA6D-E81C4082DBD0}" type="presParOf" srcId="{1A72F5E8-19E9-458E-9957-0484CB3CAED2}" destId="{90CF7704-D109-41F3-AA0D-E74A4C9B14F8}" srcOrd="4" destOrd="0" presId="urn:microsoft.com/office/officeart/2009/layout/CircleArrowProcess"/>
    <dgm:cxn modelId="{A3F9A11C-AB00-4BA3-8714-D0369BD55B39}" type="presParOf" srcId="{1A72F5E8-19E9-458E-9957-0484CB3CAED2}" destId="{798961AD-16FF-489A-A3A4-5F3C58A385A6}" srcOrd="5" destOrd="0" presId="urn:microsoft.com/office/officeart/2009/layout/CircleArrowProcess"/>
    <dgm:cxn modelId="{587771DF-5FA0-4CFC-9676-589646AD130F}" type="presParOf" srcId="{1A72F5E8-19E9-458E-9957-0484CB3CAED2}" destId="{043F27E3-6E45-4917-A4BC-C1C8E55258B1}" srcOrd="6" destOrd="0" presId="urn:microsoft.com/office/officeart/2009/layout/CircleArrowProcess"/>
    <dgm:cxn modelId="{DA60D740-56D7-452D-A546-472702B136C1}" type="presParOf" srcId="{043F27E3-6E45-4917-A4BC-C1C8E55258B1}" destId="{5B5CB89D-72A0-4ECE-8B06-FF43AE971D81}" srcOrd="0" destOrd="0" presId="urn:microsoft.com/office/officeart/2009/layout/CircleArrowProcess"/>
    <dgm:cxn modelId="{FA9743C3-B744-4A7E-B04C-2E8D24670417}" type="presParOf" srcId="{1A72F5E8-19E9-458E-9957-0484CB3CAED2}" destId="{27AFE551-E2BD-44AC-8A87-506B411FF8AB}" srcOrd="7" destOrd="0" presId="urn:microsoft.com/office/officeart/2009/layout/CircleArrowProcess"/>
    <dgm:cxn modelId="{59349013-9880-4D4B-8BA6-7D18D48748C4}" type="presParOf" srcId="{1A72F5E8-19E9-458E-9957-0484CB3CAED2}" destId="{533F8C1B-9870-4463-8CD4-70EDA6A5385C}" srcOrd="8" destOrd="0" presId="urn:microsoft.com/office/officeart/2009/layout/CircleArrowProcess"/>
  </dgm:cxnLst>
  <dgm:bg>
    <a:noFill/>
  </dgm:bg>
  <dgm:whole/>
  <dgm:extLst>
    <a:ext uri="http://schemas.microsoft.com/office/drawing/2008/diagram">
      <dsp:dataModelExt xmlns:dsp="http://schemas.microsoft.com/office/drawing/2008/diagram" relId="rId14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D7B335-AE2F-4986-A065-EF23ECB396F9}">
      <dsp:nvSpPr>
        <dsp:cNvPr id="0" name=""/>
        <dsp:cNvSpPr/>
      </dsp:nvSpPr>
      <dsp:spPr>
        <a:xfrm>
          <a:off x="0" y="393922"/>
          <a:ext cx="5759991" cy="434212"/>
        </a:xfrm>
        <a:prstGeom prst="rect">
          <a:avLst/>
        </a:prstGeom>
        <a:solidFill>
          <a:sysClr val="window" lastClr="FFFFFF">
            <a:alpha val="90000"/>
            <a:hueOff val="0"/>
            <a:satOff val="0"/>
            <a:lumOff val="0"/>
            <a:alphaOff val="0"/>
          </a:sysClr>
        </a:solidFill>
        <a:ln w="25400" cap="flat" cmpd="sng" algn="ctr">
          <a:solidFill>
            <a:srgbClr val="9BBB59">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835564A4-7921-4905-B6FE-E7828F236B5E}">
      <dsp:nvSpPr>
        <dsp:cNvPr id="0" name=""/>
        <dsp:cNvSpPr/>
      </dsp:nvSpPr>
      <dsp:spPr>
        <a:xfrm>
          <a:off x="374505" y="121862"/>
          <a:ext cx="4894359" cy="693731"/>
        </a:xfrm>
        <a:prstGeom prst="roundRect">
          <a:avLst/>
        </a:prstGeom>
        <a:solidFill>
          <a:srgbClr val="9BBB59">
            <a:lumMod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693" tIns="0" rIns="152693" bIns="0" numCol="1" spcCol="1270" anchor="ctr" anchorCtr="0">
          <a:noAutofit/>
        </a:bodyPr>
        <a:lstStyle/>
        <a:p>
          <a:pPr marL="0" lvl="0" indent="0" algn="ctr" defTabSz="533400">
            <a:lnSpc>
              <a:spcPct val="90000"/>
            </a:lnSpc>
            <a:spcBef>
              <a:spcPct val="0"/>
            </a:spcBef>
            <a:spcAft>
              <a:spcPct val="35000"/>
            </a:spcAft>
            <a:buNone/>
          </a:pPr>
          <a:r>
            <a:rPr lang="pl-PL" sz="1200" b="1" kern="1200">
              <a:solidFill>
                <a:sysClr val="window" lastClr="FFFFFF"/>
              </a:solidFill>
              <a:latin typeface="Arial" panose="020B0604020202020204" pitchFamily="34" charset="0"/>
              <a:ea typeface="+mn-ea"/>
              <a:cs typeface="Arial" panose="020B0604020202020204" pitchFamily="34" charset="0"/>
            </a:rPr>
            <a:t>Celem nadrzędnym opracowania zapewnienie zrównoważonego rozwoju oraz efektywnego funkcjonowania gospodarki i społeczeństwa w warunkach zmian klimatu</a:t>
          </a:r>
        </a:p>
      </dsp:txBody>
      <dsp:txXfrm>
        <a:off x="408370" y="155727"/>
        <a:ext cx="4826629" cy="626001"/>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6C6726-9C95-4E5F-AEB8-89010EE9B70A}">
      <dsp:nvSpPr>
        <dsp:cNvPr id="0" name=""/>
        <dsp:cNvSpPr/>
      </dsp:nvSpPr>
      <dsp:spPr>
        <a:xfrm>
          <a:off x="550097" y="0"/>
          <a:ext cx="3363351" cy="2568386"/>
        </a:xfrm>
        <a:prstGeom prst="ellipse">
          <a:avLst/>
        </a:prstGeom>
        <a:solidFill>
          <a:srgbClr val="C0CF3A">
            <a:alpha val="50000"/>
            <a:hueOff val="0"/>
            <a:satOff val="0"/>
            <a:lumOff val="0"/>
            <a:alphaOff val="0"/>
          </a:srgbClr>
        </a:solidFill>
        <a:ln w="38100" cap="flat" cmpd="sng" algn="ctr">
          <a:solidFill>
            <a:sysClr val="window" lastClr="FFFFFF">
              <a:hueOff val="0"/>
              <a:satOff val="0"/>
              <a:lumOff val="0"/>
              <a:alphaOff val="0"/>
            </a:sys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hueOff val="0"/>
                  <a:satOff val="0"/>
                  <a:lumOff val="0"/>
                  <a:alphaOff val="0"/>
                </a:sysClr>
              </a:solidFill>
              <a:latin typeface="Calibri"/>
              <a:ea typeface="+mn-ea"/>
              <a:cs typeface="+mn-cs"/>
            </a:rPr>
            <a:t> </a:t>
          </a:r>
          <a:endParaRPr lang="en-GB" sz="900" kern="1200">
            <a:solidFill>
              <a:sysClr val="windowText" lastClr="000000">
                <a:hueOff val="0"/>
                <a:satOff val="0"/>
                <a:lumOff val="0"/>
                <a:alphaOff val="0"/>
              </a:sysClr>
            </a:solidFill>
            <a:latin typeface="Calibri"/>
            <a:ea typeface="+mn-ea"/>
            <a:cs typeface="+mn-cs"/>
          </a:endParaRPr>
        </a:p>
      </dsp:txBody>
      <dsp:txXfrm>
        <a:off x="1019754" y="302867"/>
        <a:ext cx="1939229" cy="1962650"/>
      </dsp:txXfrm>
    </dsp:sp>
    <dsp:sp modelId="{41545029-A804-49DA-BDBD-0B7A212A207D}">
      <dsp:nvSpPr>
        <dsp:cNvPr id="0" name=""/>
        <dsp:cNvSpPr/>
      </dsp:nvSpPr>
      <dsp:spPr>
        <a:xfrm>
          <a:off x="2000092" y="28305"/>
          <a:ext cx="3363351" cy="2568386"/>
        </a:xfrm>
        <a:prstGeom prst="ellipse">
          <a:avLst/>
        </a:prstGeom>
        <a:solidFill>
          <a:srgbClr val="4AB5C4">
            <a:lumMod val="60000"/>
            <a:lumOff val="40000"/>
            <a:alpha val="50000"/>
          </a:srgbClr>
        </a:solidFill>
        <a:ln w="38100" cap="flat" cmpd="sng" algn="ctr">
          <a:solidFill>
            <a:sysClr val="window" lastClr="FFFFFF">
              <a:hueOff val="0"/>
              <a:satOff val="0"/>
              <a:lumOff val="0"/>
              <a:alphaOff val="0"/>
            </a:sysClr>
          </a:solidFill>
          <a:prstDash val="solid"/>
        </a:ln>
        <a:effectLst/>
      </dsp:spPr>
      <dsp:style>
        <a:lnRef idx="3">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00050">
            <a:lnSpc>
              <a:spcPct val="90000"/>
            </a:lnSpc>
            <a:spcBef>
              <a:spcPct val="0"/>
            </a:spcBef>
            <a:spcAft>
              <a:spcPct val="35000"/>
            </a:spcAft>
            <a:buNone/>
          </a:pPr>
          <a:r>
            <a:rPr lang="pl-PL" sz="900" kern="1200">
              <a:solidFill>
                <a:sysClr val="windowText" lastClr="000000">
                  <a:hueOff val="0"/>
                  <a:satOff val="0"/>
                  <a:lumOff val="0"/>
                  <a:alphaOff val="0"/>
                </a:sysClr>
              </a:solidFill>
              <a:latin typeface="Calibri"/>
              <a:ea typeface="+mn-ea"/>
              <a:cs typeface="+mn-cs"/>
            </a:rPr>
            <a:t> </a:t>
          </a:r>
          <a:endParaRPr lang="en-GB" sz="900" kern="1200">
            <a:solidFill>
              <a:sysClr val="windowText" lastClr="000000">
                <a:hueOff val="0"/>
                <a:satOff val="0"/>
                <a:lumOff val="0"/>
                <a:alphaOff val="0"/>
              </a:sysClr>
            </a:solidFill>
            <a:latin typeface="Calibri"/>
            <a:ea typeface="+mn-ea"/>
            <a:cs typeface="+mn-cs"/>
          </a:endParaRPr>
        </a:p>
      </dsp:txBody>
      <dsp:txXfrm>
        <a:off x="2954556" y="331173"/>
        <a:ext cx="1939229" cy="1962650"/>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B3CB8E7-7DB5-48CD-9FC0-F46148E4578F}">
      <dsp:nvSpPr>
        <dsp:cNvPr id="0" name=""/>
        <dsp:cNvSpPr/>
      </dsp:nvSpPr>
      <dsp:spPr>
        <a:xfrm>
          <a:off x="1799" y="133334"/>
          <a:ext cx="1755000" cy="2880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pl-PL" sz="1000" kern="1200"/>
            <a:t>Wskaźniki produktu</a:t>
          </a:r>
        </a:p>
      </dsp:txBody>
      <dsp:txXfrm>
        <a:off x="1799" y="133334"/>
        <a:ext cx="1755000" cy="288000"/>
      </dsp:txXfrm>
    </dsp:sp>
    <dsp:sp modelId="{CCD6D66D-27BE-4397-A599-85A9413274A0}">
      <dsp:nvSpPr>
        <dsp:cNvPr id="0" name=""/>
        <dsp:cNvSpPr/>
      </dsp:nvSpPr>
      <dsp:spPr>
        <a:xfrm>
          <a:off x="1799" y="421334"/>
          <a:ext cx="1755000" cy="1125449"/>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pl-PL" sz="1000" kern="1200"/>
            <a:t>Określają to, co powstanie w wyniku realizacji działania adaptacyjnego. Produkt stanowi „dowód”, że działanie zostało wykonane. Wskaźniki produktu mogą mieć również charakter binarny (tak/nie)</a:t>
          </a:r>
        </a:p>
      </dsp:txBody>
      <dsp:txXfrm>
        <a:off x="1799" y="421334"/>
        <a:ext cx="1755000" cy="1125449"/>
      </dsp:txXfrm>
    </dsp:sp>
    <dsp:sp modelId="{27BE6D52-FFD6-4E06-BF9B-C1AE5FC81032}">
      <dsp:nvSpPr>
        <dsp:cNvPr id="0" name=""/>
        <dsp:cNvSpPr/>
      </dsp:nvSpPr>
      <dsp:spPr>
        <a:xfrm>
          <a:off x="2002500" y="133334"/>
          <a:ext cx="1755000" cy="2880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pl-PL" sz="1000" kern="1200"/>
            <a:t>Wskaźniki rezultatu</a:t>
          </a:r>
        </a:p>
      </dsp:txBody>
      <dsp:txXfrm>
        <a:off x="2002500" y="133334"/>
        <a:ext cx="1755000" cy="288000"/>
      </dsp:txXfrm>
    </dsp:sp>
    <dsp:sp modelId="{0C632FD6-430C-4E9A-9259-876A27C1314F}">
      <dsp:nvSpPr>
        <dsp:cNvPr id="0" name=""/>
        <dsp:cNvSpPr/>
      </dsp:nvSpPr>
      <dsp:spPr>
        <a:xfrm>
          <a:off x="2002500" y="421334"/>
          <a:ext cx="1755000" cy="1125449"/>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pl-PL" sz="1000" kern="1200"/>
            <a:t>Bezpośredni skutek realizacji działania adaptacyjnego. Skutek ten powstaje w krótkim czasie po zakończeniu realizacji działania</a:t>
          </a:r>
        </a:p>
      </dsp:txBody>
      <dsp:txXfrm>
        <a:off x="2002500" y="421334"/>
        <a:ext cx="1755000" cy="1125449"/>
      </dsp:txXfrm>
    </dsp:sp>
    <dsp:sp modelId="{D25AB72A-4B35-4B0B-A81D-B3DD593BD207}">
      <dsp:nvSpPr>
        <dsp:cNvPr id="0" name=""/>
        <dsp:cNvSpPr/>
      </dsp:nvSpPr>
      <dsp:spPr>
        <a:xfrm>
          <a:off x="4003200" y="133334"/>
          <a:ext cx="1755000" cy="288000"/>
        </a:xfrm>
        <a:prstGeom prst="rect">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40640" rIns="71120" bIns="40640" numCol="1" spcCol="1270" anchor="ctr" anchorCtr="0">
          <a:noAutofit/>
        </a:bodyPr>
        <a:lstStyle/>
        <a:p>
          <a:pPr marL="0" lvl="0" indent="0" algn="ctr" defTabSz="444500">
            <a:lnSpc>
              <a:spcPct val="90000"/>
            </a:lnSpc>
            <a:spcBef>
              <a:spcPct val="0"/>
            </a:spcBef>
            <a:spcAft>
              <a:spcPct val="35000"/>
            </a:spcAft>
            <a:buNone/>
          </a:pPr>
          <a:r>
            <a:rPr lang="pl-PL" sz="1000" kern="1200"/>
            <a:t>Wskaźniki oddziaływania</a:t>
          </a:r>
        </a:p>
      </dsp:txBody>
      <dsp:txXfrm>
        <a:off x="4003200" y="133334"/>
        <a:ext cx="1755000" cy="288000"/>
      </dsp:txXfrm>
    </dsp:sp>
    <dsp:sp modelId="{A7F15FF3-BE18-4BFC-A8B1-A3D344A6BEA3}">
      <dsp:nvSpPr>
        <dsp:cNvPr id="0" name=""/>
        <dsp:cNvSpPr/>
      </dsp:nvSpPr>
      <dsp:spPr>
        <a:xfrm>
          <a:off x="4003200" y="421334"/>
          <a:ext cx="1755000" cy="1125449"/>
        </a:xfrm>
        <a:prstGeom prst="rect">
          <a:avLst/>
        </a:prstGeom>
        <a:solidFill>
          <a:schemeClr val="accent1">
            <a:alpha val="90000"/>
            <a:tint val="40000"/>
            <a:hueOff val="0"/>
            <a:satOff val="0"/>
            <a:lumOff val="0"/>
            <a:alphaOff val="0"/>
          </a:schemeClr>
        </a:solidFill>
        <a:ln w="25400" cap="flat" cmpd="sng" algn="ctr">
          <a:solidFill>
            <a:schemeClr val="accent1">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pl-PL" sz="1000" kern="1200"/>
            <a:t>Długookresowy wynik realizacji planu (poprawa sytuacji w mieście w zakresie odczuwania skutków zmian klimatu), mierzone również w sposób jakościowy (opisowo)</a:t>
          </a:r>
        </a:p>
      </dsp:txBody>
      <dsp:txXfrm>
        <a:off x="4003200" y="421334"/>
        <a:ext cx="1755000" cy="112544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2E99AB1-EF37-42D5-92EF-82965D78B082}">
      <dsp:nvSpPr>
        <dsp:cNvPr id="0" name=""/>
        <dsp:cNvSpPr/>
      </dsp:nvSpPr>
      <dsp:spPr>
        <a:xfrm>
          <a:off x="0" y="393075"/>
          <a:ext cx="5528930" cy="302400"/>
        </a:xfrm>
        <a:prstGeom prst="rect">
          <a:avLst/>
        </a:prstGeom>
        <a:solidFill>
          <a:sysClr val="window" lastClr="FFFFFF">
            <a:alpha val="90000"/>
            <a:hueOff val="0"/>
            <a:satOff val="0"/>
            <a:lumOff val="0"/>
            <a:alphaOff val="0"/>
          </a:sysClr>
        </a:solidFill>
        <a:ln w="25400" cap="flat" cmpd="sng" algn="ctr">
          <a:solidFill>
            <a:srgbClr val="9BBB59">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30A4C196-EEF4-4CF5-A8A1-2CA7C4A9A7FB}">
      <dsp:nvSpPr>
        <dsp:cNvPr id="0" name=""/>
        <dsp:cNvSpPr/>
      </dsp:nvSpPr>
      <dsp:spPr>
        <a:xfrm>
          <a:off x="276446" y="30195"/>
          <a:ext cx="5173210" cy="539999"/>
        </a:xfrm>
        <a:prstGeom prst="roundRect">
          <a:avLst/>
        </a:prstGeom>
        <a:solidFill>
          <a:srgbClr val="9BBB59">
            <a:shade val="80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286" tIns="0" rIns="146286" bIns="0" numCol="1" spcCol="1270" anchor="ctr" anchorCtr="0">
          <a:noAutofit/>
        </a:bodyPr>
        <a:lstStyle/>
        <a:p>
          <a:pPr marL="0" lvl="0" indent="0" algn="l" defTabSz="444500">
            <a:lnSpc>
              <a:spcPct val="90000"/>
            </a:lnSpc>
            <a:spcBef>
              <a:spcPct val="0"/>
            </a:spcBef>
            <a:spcAft>
              <a:spcPct val="35000"/>
            </a:spcAft>
            <a:buNone/>
          </a:pPr>
          <a:r>
            <a:rPr lang="pl-PL" sz="1000" kern="1200"/>
            <a:t>Cel 1. Zapewnienie bezpieczeństwa energetycznego i dobrego stanu środowiska</a:t>
          </a:r>
          <a:endParaRPr lang="pl-PL" sz="1000" kern="1200">
            <a:solidFill>
              <a:sysClr val="windowText" lastClr="000000"/>
            </a:solidFill>
            <a:latin typeface="Arial" panose="020B0604020202020204" pitchFamily="34" charset="0"/>
            <a:ea typeface="+mn-ea"/>
            <a:cs typeface="Arial" panose="020B0604020202020204" pitchFamily="34" charset="0"/>
          </a:endParaRPr>
        </a:p>
      </dsp:txBody>
      <dsp:txXfrm>
        <a:off x="302807" y="56556"/>
        <a:ext cx="5120488" cy="487277"/>
      </dsp:txXfrm>
    </dsp:sp>
    <dsp:sp modelId="{B7D6AB0E-4537-41EB-9AB6-1F3BD7D4EC95}">
      <dsp:nvSpPr>
        <dsp:cNvPr id="0" name=""/>
        <dsp:cNvSpPr/>
      </dsp:nvSpPr>
      <dsp:spPr>
        <a:xfrm>
          <a:off x="0" y="1123154"/>
          <a:ext cx="5528930" cy="302400"/>
        </a:xfrm>
        <a:prstGeom prst="rect">
          <a:avLst/>
        </a:prstGeom>
        <a:solidFill>
          <a:schemeClr val="lt1">
            <a:alpha val="90000"/>
            <a:hueOff val="0"/>
            <a:satOff val="0"/>
            <a:lumOff val="0"/>
            <a:alphaOff val="0"/>
          </a:schemeClr>
        </a:solidFill>
        <a:ln w="25400" cap="flat" cmpd="sng" algn="ctr">
          <a:solidFill>
            <a:schemeClr val="accent3">
              <a:shade val="80000"/>
              <a:hueOff val="18270"/>
              <a:satOff val="-7845"/>
              <a:lumOff val="6739"/>
              <a:alphaOff val="0"/>
            </a:schemeClr>
          </a:solidFill>
          <a:prstDash val="solid"/>
        </a:ln>
        <a:effectLst/>
      </dsp:spPr>
      <dsp:style>
        <a:lnRef idx="2">
          <a:scrgbClr r="0" g="0" b="0"/>
        </a:lnRef>
        <a:fillRef idx="1">
          <a:scrgbClr r="0" g="0" b="0"/>
        </a:fillRef>
        <a:effectRef idx="0">
          <a:scrgbClr r="0" g="0" b="0"/>
        </a:effectRef>
        <a:fontRef idx="minor"/>
      </dsp:style>
    </dsp:sp>
    <dsp:sp modelId="{9A426A98-5749-4127-A302-C86BA45F7E34}">
      <dsp:nvSpPr>
        <dsp:cNvPr id="0" name=""/>
        <dsp:cNvSpPr/>
      </dsp:nvSpPr>
      <dsp:spPr>
        <a:xfrm>
          <a:off x="276446" y="760275"/>
          <a:ext cx="5171894" cy="539999"/>
        </a:xfrm>
        <a:prstGeom prst="roundRect">
          <a:avLst/>
        </a:prstGeom>
        <a:solidFill>
          <a:schemeClr val="accent3">
            <a:shade val="80000"/>
            <a:hueOff val="18270"/>
            <a:satOff val="-7845"/>
            <a:lumOff val="673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286" tIns="0" rIns="146286" bIns="0" numCol="1" spcCol="1270" anchor="ctr" anchorCtr="0">
          <a:noAutofit/>
        </a:bodyPr>
        <a:lstStyle/>
        <a:p>
          <a:pPr marL="0" lvl="0" indent="0" algn="l" defTabSz="444500">
            <a:lnSpc>
              <a:spcPct val="90000"/>
            </a:lnSpc>
            <a:spcBef>
              <a:spcPct val="0"/>
            </a:spcBef>
            <a:spcAft>
              <a:spcPct val="35000"/>
            </a:spcAft>
            <a:buNone/>
          </a:pPr>
          <a:r>
            <a:rPr lang="pl-PL" sz="1000" kern="1200"/>
            <a:t>Cel 2. Odpowiedzialna gospodarka wodna, przeciwdziałająca występowaniu powodzi i suszy</a:t>
          </a:r>
          <a:endParaRPr lang="en-GB" sz="1000" kern="1200"/>
        </a:p>
      </dsp:txBody>
      <dsp:txXfrm>
        <a:off x="302807" y="786636"/>
        <a:ext cx="5119172" cy="487277"/>
      </dsp:txXfrm>
    </dsp:sp>
    <dsp:sp modelId="{1D2FEF17-B57A-49A1-AD36-6D2609D227BF}">
      <dsp:nvSpPr>
        <dsp:cNvPr id="0" name=""/>
        <dsp:cNvSpPr/>
      </dsp:nvSpPr>
      <dsp:spPr>
        <a:xfrm>
          <a:off x="0" y="1793233"/>
          <a:ext cx="5528930" cy="302400"/>
        </a:xfrm>
        <a:prstGeom prst="rect">
          <a:avLst/>
        </a:prstGeom>
        <a:solidFill>
          <a:schemeClr val="lt1">
            <a:alpha val="90000"/>
            <a:hueOff val="0"/>
            <a:satOff val="0"/>
            <a:lumOff val="0"/>
            <a:alphaOff val="0"/>
          </a:schemeClr>
        </a:solidFill>
        <a:ln w="25400" cap="flat" cmpd="sng" algn="ctr">
          <a:solidFill>
            <a:schemeClr val="accent3">
              <a:shade val="80000"/>
              <a:hueOff val="36539"/>
              <a:satOff val="-15690"/>
              <a:lumOff val="13478"/>
              <a:alphaOff val="0"/>
            </a:schemeClr>
          </a:solidFill>
          <a:prstDash val="solid"/>
        </a:ln>
        <a:effectLst/>
      </dsp:spPr>
      <dsp:style>
        <a:lnRef idx="2">
          <a:scrgbClr r="0" g="0" b="0"/>
        </a:lnRef>
        <a:fillRef idx="1">
          <a:scrgbClr r="0" g="0" b="0"/>
        </a:fillRef>
        <a:effectRef idx="0">
          <a:scrgbClr r="0" g="0" b="0"/>
        </a:effectRef>
        <a:fontRef idx="minor"/>
      </dsp:style>
    </dsp:sp>
    <dsp:sp modelId="{8CDEC3E4-5529-4DA2-B426-9C92BC841D69}">
      <dsp:nvSpPr>
        <dsp:cNvPr id="0" name=""/>
        <dsp:cNvSpPr/>
      </dsp:nvSpPr>
      <dsp:spPr>
        <a:xfrm>
          <a:off x="276446" y="1490354"/>
          <a:ext cx="5171894" cy="479998"/>
        </a:xfrm>
        <a:prstGeom prst="roundRect">
          <a:avLst/>
        </a:prstGeom>
        <a:solidFill>
          <a:schemeClr val="accent3">
            <a:shade val="80000"/>
            <a:hueOff val="36539"/>
            <a:satOff val="-15690"/>
            <a:lumOff val="1347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286" tIns="0" rIns="146286" bIns="0" numCol="1" spcCol="1270" anchor="ctr" anchorCtr="0">
          <a:noAutofit/>
        </a:bodyPr>
        <a:lstStyle/>
        <a:p>
          <a:pPr marL="0" lvl="0" indent="0" algn="l" defTabSz="444500">
            <a:lnSpc>
              <a:spcPct val="90000"/>
            </a:lnSpc>
            <a:spcBef>
              <a:spcPct val="0"/>
            </a:spcBef>
            <a:spcAft>
              <a:spcPct val="35000"/>
            </a:spcAft>
            <a:buNone/>
          </a:pPr>
          <a:r>
            <a:rPr lang="pl-PL" sz="1000" kern="1200"/>
            <a:t>Cel 3. Rozwój transportu w warunkach zmian klimatu</a:t>
          </a:r>
          <a:endParaRPr lang="en-GB" sz="1000" kern="1200"/>
        </a:p>
      </dsp:txBody>
      <dsp:txXfrm>
        <a:off x="299878" y="1513786"/>
        <a:ext cx="5125030" cy="433134"/>
      </dsp:txXfrm>
    </dsp:sp>
    <dsp:sp modelId="{8E81B518-CFA2-46B3-8B7D-1956B15883A5}">
      <dsp:nvSpPr>
        <dsp:cNvPr id="0" name=""/>
        <dsp:cNvSpPr/>
      </dsp:nvSpPr>
      <dsp:spPr>
        <a:xfrm>
          <a:off x="0" y="2463312"/>
          <a:ext cx="5528930" cy="302400"/>
        </a:xfrm>
        <a:prstGeom prst="rect">
          <a:avLst/>
        </a:prstGeom>
        <a:solidFill>
          <a:schemeClr val="lt1">
            <a:alpha val="90000"/>
            <a:hueOff val="0"/>
            <a:satOff val="0"/>
            <a:lumOff val="0"/>
            <a:alphaOff val="0"/>
          </a:schemeClr>
        </a:solidFill>
        <a:ln w="25400" cap="flat" cmpd="sng" algn="ctr">
          <a:solidFill>
            <a:schemeClr val="accent3">
              <a:shade val="80000"/>
              <a:hueOff val="54809"/>
              <a:satOff val="-23536"/>
              <a:lumOff val="20216"/>
              <a:alphaOff val="0"/>
            </a:schemeClr>
          </a:solidFill>
          <a:prstDash val="solid"/>
        </a:ln>
        <a:effectLst/>
      </dsp:spPr>
      <dsp:style>
        <a:lnRef idx="2">
          <a:scrgbClr r="0" g="0" b="0"/>
        </a:lnRef>
        <a:fillRef idx="1">
          <a:scrgbClr r="0" g="0" b="0"/>
        </a:fillRef>
        <a:effectRef idx="0">
          <a:scrgbClr r="0" g="0" b="0"/>
        </a:effectRef>
        <a:fontRef idx="minor"/>
      </dsp:style>
    </dsp:sp>
    <dsp:sp modelId="{75C88A80-1771-411D-BE50-6C68EE289D2C}">
      <dsp:nvSpPr>
        <dsp:cNvPr id="0" name=""/>
        <dsp:cNvSpPr/>
      </dsp:nvSpPr>
      <dsp:spPr>
        <a:xfrm>
          <a:off x="276446" y="2160433"/>
          <a:ext cx="5171894" cy="479998"/>
        </a:xfrm>
        <a:prstGeom prst="roundRect">
          <a:avLst/>
        </a:prstGeom>
        <a:solidFill>
          <a:schemeClr val="accent3">
            <a:shade val="80000"/>
            <a:hueOff val="54809"/>
            <a:satOff val="-23536"/>
            <a:lumOff val="2021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286" tIns="0" rIns="146286" bIns="0" numCol="1" spcCol="1270" anchor="ctr" anchorCtr="0">
          <a:noAutofit/>
        </a:bodyPr>
        <a:lstStyle/>
        <a:p>
          <a:pPr marL="0" lvl="0" indent="0" algn="l" defTabSz="444500">
            <a:lnSpc>
              <a:spcPct val="90000"/>
            </a:lnSpc>
            <a:spcBef>
              <a:spcPct val="0"/>
            </a:spcBef>
            <a:spcAft>
              <a:spcPct val="35000"/>
            </a:spcAft>
            <a:buNone/>
          </a:pPr>
          <a:r>
            <a:rPr lang="pl-PL" sz="1000" kern="1200"/>
            <a:t>Cel 4. Zapewnienie zrównoważonego rozwoju, także obszarów wiejskich, z uwzględnieniem zmian klimatu </a:t>
          </a:r>
          <a:endParaRPr lang="en-GB" sz="1000" kern="1200"/>
        </a:p>
      </dsp:txBody>
      <dsp:txXfrm>
        <a:off x="299878" y="2183865"/>
        <a:ext cx="5125030" cy="433134"/>
      </dsp:txXfrm>
    </dsp:sp>
    <dsp:sp modelId="{D53E6275-9D3A-4C3D-BF44-FCF3C98FB744}">
      <dsp:nvSpPr>
        <dsp:cNvPr id="0" name=""/>
        <dsp:cNvSpPr/>
      </dsp:nvSpPr>
      <dsp:spPr>
        <a:xfrm>
          <a:off x="0" y="3133391"/>
          <a:ext cx="5528930" cy="302400"/>
        </a:xfrm>
        <a:prstGeom prst="rect">
          <a:avLst/>
        </a:prstGeom>
        <a:solidFill>
          <a:schemeClr val="lt1">
            <a:alpha val="90000"/>
            <a:hueOff val="0"/>
            <a:satOff val="0"/>
            <a:lumOff val="0"/>
            <a:alphaOff val="0"/>
          </a:schemeClr>
        </a:solidFill>
        <a:ln w="25400" cap="flat" cmpd="sng" algn="ctr">
          <a:solidFill>
            <a:schemeClr val="accent3">
              <a:shade val="80000"/>
              <a:hueOff val="73078"/>
              <a:satOff val="-31381"/>
              <a:lumOff val="26955"/>
              <a:alphaOff val="0"/>
            </a:schemeClr>
          </a:solidFill>
          <a:prstDash val="solid"/>
        </a:ln>
        <a:effectLst/>
      </dsp:spPr>
      <dsp:style>
        <a:lnRef idx="2">
          <a:scrgbClr r="0" g="0" b="0"/>
        </a:lnRef>
        <a:fillRef idx="1">
          <a:scrgbClr r="0" g="0" b="0"/>
        </a:fillRef>
        <a:effectRef idx="0">
          <a:scrgbClr r="0" g="0" b="0"/>
        </a:effectRef>
        <a:fontRef idx="minor"/>
      </dsp:style>
    </dsp:sp>
    <dsp:sp modelId="{61EE3443-4587-4FEF-A652-FA6B161B166E}">
      <dsp:nvSpPr>
        <dsp:cNvPr id="0" name=""/>
        <dsp:cNvSpPr/>
      </dsp:nvSpPr>
      <dsp:spPr>
        <a:xfrm>
          <a:off x="276446" y="2830512"/>
          <a:ext cx="5171894" cy="479998"/>
        </a:xfrm>
        <a:prstGeom prst="roundRect">
          <a:avLst/>
        </a:prstGeom>
        <a:solidFill>
          <a:schemeClr val="accent3">
            <a:shade val="80000"/>
            <a:hueOff val="73078"/>
            <a:satOff val="-31381"/>
            <a:lumOff val="2695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286" tIns="0" rIns="146286" bIns="0" numCol="1" spcCol="1270" anchor="ctr" anchorCtr="0">
          <a:noAutofit/>
        </a:bodyPr>
        <a:lstStyle/>
        <a:p>
          <a:pPr marL="0" lvl="0" indent="0" algn="l" defTabSz="444500">
            <a:lnSpc>
              <a:spcPct val="90000"/>
            </a:lnSpc>
            <a:spcBef>
              <a:spcPct val="0"/>
            </a:spcBef>
            <a:spcAft>
              <a:spcPct val="35000"/>
            </a:spcAft>
            <a:buNone/>
          </a:pPr>
          <a:r>
            <a:rPr lang="pl-PL" sz="1000" kern="1200"/>
            <a:t>Cel 5. Stymulowanie innowacji sprzyjających adaptacji do zmian klimatu</a:t>
          </a:r>
          <a:endParaRPr lang="en-GB" sz="1000" kern="1200"/>
        </a:p>
      </dsp:txBody>
      <dsp:txXfrm>
        <a:off x="299878" y="2853944"/>
        <a:ext cx="5125030" cy="433134"/>
      </dsp:txXfrm>
    </dsp:sp>
    <dsp:sp modelId="{24CD0E43-34CE-4771-8DCA-BB83F990C965}">
      <dsp:nvSpPr>
        <dsp:cNvPr id="0" name=""/>
        <dsp:cNvSpPr/>
      </dsp:nvSpPr>
      <dsp:spPr>
        <a:xfrm>
          <a:off x="0" y="3803469"/>
          <a:ext cx="5528930" cy="302400"/>
        </a:xfrm>
        <a:prstGeom prst="rect">
          <a:avLst/>
        </a:prstGeom>
        <a:solidFill>
          <a:schemeClr val="lt1">
            <a:alpha val="90000"/>
            <a:hueOff val="0"/>
            <a:satOff val="0"/>
            <a:lumOff val="0"/>
            <a:alphaOff val="0"/>
          </a:schemeClr>
        </a:solidFill>
        <a:ln w="25400" cap="flat" cmpd="sng" algn="ctr">
          <a:solidFill>
            <a:schemeClr val="accent3">
              <a:shade val="80000"/>
              <a:hueOff val="91348"/>
              <a:satOff val="-39226"/>
              <a:lumOff val="33694"/>
              <a:alphaOff val="0"/>
            </a:schemeClr>
          </a:solidFill>
          <a:prstDash val="solid"/>
        </a:ln>
        <a:effectLst/>
      </dsp:spPr>
      <dsp:style>
        <a:lnRef idx="2">
          <a:scrgbClr r="0" g="0" b="0"/>
        </a:lnRef>
        <a:fillRef idx="1">
          <a:scrgbClr r="0" g="0" b="0"/>
        </a:fillRef>
        <a:effectRef idx="0">
          <a:scrgbClr r="0" g="0" b="0"/>
        </a:effectRef>
        <a:fontRef idx="minor"/>
      </dsp:style>
    </dsp:sp>
    <dsp:sp modelId="{CCEBAE98-B5F2-4AC9-99A9-32EE887A811E}">
      <dsp:nvSpPr>
        <dsp:cNvPr id="0" name=""/>
        <dsp:cNvSpPr/>
      </dsp:nvSpPr>
      <dsp:spPr>
        <a:xfrm>
          <a:off x="276446" y="3500591"/>
          <a:ext cx="5171894" cy="479998"/>
        </a:xfrm>
        <a:prstGeom prst="roundRect">
          <a:avLst/>
        </a:prstGeom>
        <a:solidFill>
          <a:schemeClr val="accent3">
            <a:shade val="80000"/>
            <a:hueOff val="91348"/>
            <a:satOff val="-39226"/>
            <a:lumOff val="3369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6286" tIns="0" rIns="146286" bIns="0" numCol="1" spcCol="1270" anchor="ctr" anchorCtr="0">
          <a:noAutofit/>
        </a:bodyPr>
        <a:lstStyle/>
        <a:p>
          <a:pPr marL="0" lvl="0" indent="0" algn="l" defTabSz="444500">
            <a:lnSpc>
              <a:spcPct val="90000"/>
            </a:lnSpc>
            <a:spcBef>
              <a:spcPct val="0"/>
            </a:spcBef>
            <a:spcAft>
              <a:spcPct val="35000"/>
            </a:spcAft>
            <a:buNone/>
          </a:pPr>
          <a:r>
            <a:rPr lang="pl-PL" sz="1000" kern="1200"/>
            <a:t>Cel 6. Kształtowanie postaw społecznych sprzyjających adaptacji do zmian klimatu </a:t>
          </a:r>
          <a:endParaRPr lang="en-GB" sz="1000" kern="1200"/>
        </a:p>
      </dsp:txBody>
      <dsp:txXfrm>
        <a:off x="299878" y="3524023"/>
        <a:ext cx="5125030" cy="43313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4D78DCB-61FD-4465-BA8C-FCB9F85681E5}">
      <dsp:nvSpPr>
        <dsp:cNvPr id="0" name=""/>
        <dsp:cNvSpPr/>
      </dsp:nvSpPr>
      <dsp:spPr>
        <a:xfrm>
          <a:off x="5219" y="2013"/>
          <a:ext cx="5475960" cy="1684496"/>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kern="1200"/>
            <a:t>Projekt opracowania Planu Adaptacji do zmian klimatu dla Miasta Tarnogród dofinansowany został z programu </a:t>
          </a:r>
          <a:r>
            <a:rPr lang="pl-PL" sz="1400" b="1" kern="1200"/>
            <a:t>Fundusze Europejskie dla Lubelskiego 2021-2027</a:t>
          </a:r>
          <a:r>
            <a:rPr lang="pl-PL" sz="1400" kern="1200"/>
            <a:t>, będącego częścią </a:t>
          </a:r>
          <a:r>
            <a:rPr lang="pl-PL" sz="1400" b="1" kern="1200"/>
            <a:t>Europejskiego Funduszu Rozwoju Regionalnego</a:t>
          </a:r>
          <a:r>
            <a:rPr lang="pl-PL" sz="1400" kern="1200"/>
            <a:t>, w ramach działania </a:t>
          </a:r>
          <a:r>
            <a:rPr lang="pl-PL" sz="1400" b="1" kern="1200"/>
            <a:t>3.2. Dostosowanie do zmian klimatu i zapobieganie powodziom i suszy</a:t>
          </a:r>
          <a:r>
            <a:rPr lang="pl-PL" sz="1400" kern="1200"/>
            <a:t>.</a:t>
          </a:r>
        </a:p>
        <a:p>
          <a:pPr marL="0" lvl="0" indent="0" algn="ctr" defTabSz="622300">
            <a:lnSpc>
              <a:spcPct val="90000"/>
            </a:lnSpc>
            <a:spcBef>
              <a:spcPct val="0"/>
            </a:spcBef>
            <a:spcAft>
              <a:spcPct val="35000"/>
            </a:spcAft>
            <a:buNone/>
          </a:pPr>
          <a:r>
            <a:rPr lang="pl-PL" sz="1400" kern="1200"/>
            <a:t>Więcej informacji: https://mapadotacji.gov.pl/projekty/1668312 </a:t>
          </a:r>
        </a:p>
      </dsp:txBody>
      <dsp:txXfrm>
        <a:off x="5219" y="2013"/>
        <a:ext cx="5475960" cy="168449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CFDF9AB-E5C0-4F27-B46D-6E315CAA48AB}">
      <dsp:nvSpPr>
        <dsp:cNvPr id="0" name=""/>
        <dsp:cNvSpPr/>
      </dsp:nvSpPr>
      <dsp:spPr>
        <a:xfrm>
          <a:off x="1620527" y="-5043"/>
          <a:ext cx="1078945" cy="1107537"/>
        </a:xfrm>
        <a:prstGeom prst="ellips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Arial" panose="020B0604020202020204" pitchFamily="34" charset="0"/>
              <a:ea typeface="+mn-ea"/>
              <a:cs typeface="Arial" panose="020B0604020202020204" pitchFamily="34" charset="0"/>
            </a:rPr>
            <a:t>Etap 1.</a:t>
          </a:r>
        </a:p>
        <a:p>
          <a:pPr marL="0" lvl="0" indent="0" algn="ctr" defTabSz="355600">
            <a:lnSpc>
              <a:spcPct val="90000"/>
            </a:lnSpc>
            <a:spcBef>
              <a:spcPct val="0"/>
            </a:spcBef>
            <a:spcAft>
              <a:spcPct val="35000"/>
            </a:spcAft>
            <a:buNone/>
          </a:pPr>
          <a:r>
            <a:rPr lang="pl-PL" sz="800" b="1" kern="1200">
              <a:solidFill>
                <a:sysClr val="windowText" lastClr="000000"/>
              </a:solidFill>
              <a:latin typeface="Arial" panose="020B0604020202020204" pitchFamily="34" charset="0"/>
              <a:ea typeface="+mn-ea"/>
              <a:cs typeface="Arial" panose="020B0604020202020204" pitchFamily="34" charset="0"/>
            </a:rPr>
            <a:t>Przogotowanie do procesu adaptacji miasta do zmian klimatu</a:t>
          </a:r>
        </a:p>
      </dsp:txBody>
      <dsp:txXfrm>
        <a:off x="1778535" y="157152"/>
        <a:ext cx="762929" cy="783147"/>
      </dsp:txXfrm>
    </dsp:sp>
    <dsp:sp modelId="{0F0F4652-DF1E-42BE-840D-BBA6D69C34D2}">
      <dsp:nvSpPr>
        <dsp:cNvPr id="0" name=""/>
        <dsp:cNvSpPr/>
      </dsp:nvSpPr>
      <dsp:spPr>
        <a:xfrm rot="1800000">
          <a:off x="2713295" y="768106"/>
          <a:ext cx="284084" cy="364144"/>
        </a:xfrm>
        <a:prstGeom prst="rightArrow">
          <a:avLst>
            <a:gd name="adj1" fmla="val 60000"/>
            <a:gd name="adj2" fmla="val 50000"/>
          </a:avLst>
        </a:prstGeom>
        <a:gradFill rotWithShape="0">
          <a:gsLst>
            <a:gs pos="0">
              <a:schemeClr val="accent3">
                <a:tint val="60000"/>
                <a:hueOff val="0"/>
                <a:satOff val="0"/>
                <a:lumOff val="0"/>
                <a:alphaOff val="0"/>
                <a:shade val="51000"/>
                <a:satMod val="130000"/>
              </a:schemeClr>
            </a:gs>
            <a:gs pos="80000">
              <a:schemeClr val="accent3">
                <a:tint val="60000"/>
                <a:hueOff val="0"/>
                <a:satOff val="0"/>
                <a:lumOff val="0"/>
                <a:alphaOff val="0"/>
                <a:shade val="93000"/>
                <a:satMod val="130000"/>
              </a:schemeClr>
            </a:gs>
            <a:gs pos="100000">
              <a:schemeClr val="accent3">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pl-PL" sz="800" b="1" kern="1200">
            <a:solidFill>
              <a:sysClr val="windowText" lastClr="000000"/>
            </a:solidFill>
            <a:latin typeface="Arial" panose="020B0604020202020204" pitchFamily="34" charset="0"/>
            <a:ea typeface="+mn-ea"/>
            <a:cs typeface="Arial" panose="020B0604020202020204" pitchFamily="34" charset="0"/>
          </a:endParaRPr>
        </a:p>
      </dsp:txBody>
      <dsp:txXfrm>
        <a:off x="2719004" y="819629"/>
        <a:ext cx="198859" cy="218486"/>
      </dsp:txXfrm>
    </dsp:sp>
    <dsp:sp modelId="{3A7B1762-C47B-44C5-9CAF-205AE18FB3E9}">
      <dsp:nvSpPr>
        <dsp:cNvPr id="0" name=""/>
        <dsp:cNvSpPr/>
      </dsp:nvSpPr>
      <dsp:spPr>
        <a:xfrm>
          <a:off x="3022122" y="818463"/>
          <a:ext cx="1078945" cy="1078945"/>
        </a:xfrm>
        <a:prstGeom prst="ellips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Arial" panose="020B0604020202020204" pitchFamily="34" charset="0"/>
              <a:ea typeface="+mn-ea"/>
              <a:cs typeface="Arial" panose="020B0604020202020204" pitchFamily="34" charset="0"/>
            </a:rPr>
            <a:t>Etap 2.</a:t>
          </a:r>
        </a:p>
        <a:p>
          <a:pPr marL="0" lvl="0" indent="0" algn="ctr" defTabSz="355600">
            <a:lnSpc>
              <a:spcPct val="90000"/>
            </a:lnSpc>
            <a:spcBef>
              <a:spcPct val="0"/>
            </a:spcBef>
            <a:spcAft>
              <a:spcPct val="35000"/>
            </a:spcAft>
            <a:buNone/>
          </a:pPr>
          <a:r>
            <a:rPr lang="pl-PL" sz="800" b="1" kern="1200">
              <a:solidFill>
                <a:sysClr val="windowText" lastClr="000000"/>
              </a:solidFill>
              <a:latin typeface="Arial" panose="020B0604020202020204" pitchFamily="34" charset="0"/>
              <a:ea typeface="+mn-ea"/>
              <a:cs typeface="Arial" panose="020B0604020202020204" pitchFamily="34" charset="0"/>
            </a:rPr>
            <a:t>Ocena podstności i analiza ryzyka klimatycznego</a:t>
          </a:r>
        </a:p>
      </dsp:txBody>
      <dsp:txXfrm>
        <a:off x="3180130" y="976471"/>
        <a:ext cx="762929" cy="762929"/>
      </dsp:txXfrm>
    </dsp:sp>
    <dsp:sp modelId="{BE3F1F96-2280-4CEE-B95C-855011585CFA}">
      <dsp:nvSpPr>
        <dsp:cNvPr id="0" name=""/>
        <dsp:cNvSpPr/>
      </dsp:nvSpPr>
      <dsp:spPr>
        <a:xfrm rot="5400000">
          <a:off x="3418633" y="1976983"/>
          <a:ext cx="285923" cy="364144"/>
        </a:xfrm>
        <a:prstGeom prst="rightArrow">
          <a:avLst>
            <a:gd name="adj1" fmla="val 60000"/>
            <a:gd name="adj2" fmla="val 50000"/>
          </a:avLst>
        </a:prstGeom>
        <a:gradFill rotWithShape="0">
          <a:gsLst>
            <a:gs pos="0">
              <a:schemeClr val="accent3">
                <a:tint val="60000"/>
                <a:hueOff val="0"/>
                <a:satOff val="0"/>
                <a:lumOff val="0"/>
                <a:alphaOff val="0"/>
                <a:shade val="51000"/>
                <a:satMod val="130000"/>
              </a:schemeClr>
            </a:gs>
            <a:gs pos="80000">
              <a:schemeClr val="accent3">
                <a:tint val="60000"/>
                <a:hueOff val="0"/>
                <a:satOff val="0"/>
                <a:lumOff val="0"/>
                <a:alphaOff val="0"/>
                <a:shade val="93000"/>
                <a:satMod val="130000"/>
              </a:schemeClr>
            </a:gs>
            <a:gs pos="100000">
              <a:schemeClr val="accent3">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pl-PL" sz="800" b="1" kern="1200">
            <a:solidFill>
              <a:sysClr val="windowText" lastClr="000000"/>
            </a:solidFill>
            <a:latin typeface="Arial" panose="020B0604020202020204" pitchFamily="34" charset="0"/>
            <a:ea typeface="+mn-ea"/>
            <a:cs typeface="Arial" panose="020B0604020202020204" pitchFamily="34" charset="0"/>
          </a:endParaRPr>
        </a:p>
      </dsp:txBody>
      <dsp:txXfrm>
        <a:off x="3461522" y="2006924"/>
        <a:ext cx="200146" cy="218486"/>
      </dsp:txXfrm>
    </dsp:sp>
    <dsp:sp modelId="{0AFF489C-3846-4FA6-9430-9342355A3773}">
      <dsp:nvSpPr>
        <dsp:cNvPr id="0" name=""/>
        <dsp:cNvSpPr/>
      </dsp:nvSpPr>
      <dsp:spPr>
        <a:xfrm>
          <a:off x="3022122" y="2436886"/>
          <a:ext cx="1078945" cy="1078945"/>
        </a:xfrm>
        <a:prstGeom prst="ellips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Arial" panose="020B0604020202020204" pitchFamily="34" charset="0"/>
              <a:ea typeface="+mn-ea"/>
              <a:cs typeface="Arial" panose="020B0604020202020204" pitchFamily="34" charset="0"/>
            </a:rPr>
            <a:t>Etap 3. Identyfikacja opcji adaptacji</a:t>
          </a:r>
        </a:p>
      </dsp:txBody>
      <dsp:txXfrm>
        <a:off x="3180130" y="2594894"/>
        <a:ext cx="762929" cy="762929"/>
      </dsp:txXfrm>
    </dsp:sp>
    <dsp:sp modelId="{2056CB31-840F-45AC-B886-E52E62EF54F8}">
      <dsp:nvSpPr>
        <dsp:cNvPr id="0" name=""/>
        <dsp:cNvSpPr/>
      </dsp:nvSpPr>
      <dsp:spPr>
        <a:xfrm rot="9000000">
          <a:off x="2724844" y="3194847"/>
          <a:ext cx="285923" cy="364144"/>
        </a:xfrm>
        <a:prstGeom prst="rightArrow">
          <a:avLst>
            <a:gd name="adj1" fmla="val 60000"/>
            <a:gd name="adj2" fmla="val 50000"/>
          </a:avLst>
        </a:prstGeom>
        <a:gradFill rotWithShape="0">
          <a:gsLst>
            <a:gs pos="0">
              <a:schemeClr val="accent3">
                <a:tint val="60000"/>
                <a:hueOff val="0"/>
                <a:satOff val="0"/>
                <a:lumOff val="0"/>
                <a:alphaOff val="0"/>
                <a:shade val="51000"/>
                <a:satMod val="130000"/>
              </a:schemeClr>
            </a:gs>
            <a:gs pos="80000">
              <a:schemeClr val="accent3">
                <a:tint val="60000"/>
                <a:hueOff val="0"/>
                <a:satOff val="0"/>
                <a:lumOff val="0"/>
                <a:alphaOff val="0"/>
                <a:shade val="93000"/>
                <a:satMod val="130000"/>
              </a:schemeClr>
            </a:gs>
            <a:gs pos="100000">
              <a:schemeClr val="accent3">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pl-PL" sz="800" b="1" kern="1200">
            <a:solidFill>
              <a:sysClr val="windowText" lastClr="000000"/>
            </a:solidFill>
            <a:latin typeface="Arial" panose="020B0604020202020204" pitchFamily="34" charset="0"/>
            <a:ea typeface="+mn-ea"/>
            <a:cs typeface="Arial" panose="020B0604020202020204" pitchFamily="34" charset="0"/>
          </a:endParaRPr>
        </a:p>
      </dsp:txBody>
      <dsp:txXfrm rot="10800000">
        <a:off x="2804875" y="3246232"/>
        <a:ext cx="200146" cy="218486"/>
      </dsp:txXfrm>
    </dsp:sp>
    <dsp:sp modelId="{4B04BAA8-0981-4C56-B108-C058D83170D3}">
      <dsp:nvSpPr>
        <dsp:cNvPr id="0" name=""/>
        <dsp:cNvSpPr/>
      </dsp:nvSpPr>
      <dsp:spPr>
        <a:xfrm>
          <a:off x="1620527" y="3246098"/>
          <a:ext cx="1078945" cy="1078945"/>
        </a:xfrm>
        <a:prstGeom prst="ellips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Arial" panose="020B0604020202020204" pitchFamily="34" charset="0"/>
              <a:ea typeface="+mn-ea"/>
              <a:cs typeface="Arial" panose="020B0604020202020204" pitchFamily="34" charset="0"/>
            </a:rPr>
            <a:t>Etap 4. </a:t>
          </a:r>
        </a:p>
        <a:p>
          <a:pPr marL="0" lvl="0" indent="0" algn="ctr" defTabSz="355600">
            <a:lnSpc>
              <a:spcPct val="90000"/>
            </a:lnSpc>
            <a:spcBef>
              <a:spcPct val="0"/>
            </a:spcBef>
            <a:spcAft>
              <a:spcPct val="35000"/>
            </a:spcAft>
            <a:buNone/>
          </a:pPr>
          <a:r>
            <a:rPr lang="pl-PL" sz="800" b="1" kern="1200">
              <a:solidFill>
                <a:sysClr val="windowText" lastClr="000000"/>
              </a:solidFill>
              <a:latin typeface="Arial" panose="020B0604020202020204" pitchFamily="34" charset="0"/>
              <a:ea typeface="+mn-ea"/>
              <a:cs typeface="Arial" panose="020B0604020202020204" pitchFamily="34" charset="0"/>
            </a:rPr>
            <a:t>Wybór opcji adaptacji</a:t>
          </a:r>
        </a:p>
      </dsp:txBody>
      <dsp:txXfrm>
        <a:off x="1778535" y="3404106"/>
        <a:ext cx="762929" cy="762929"/>
      </dsp:txXfrm>
    </dsp:sp>
    <dsp:sp modelId="{832DAE1D-F4CE-4942-A480-F71E143E40EE}">
      <dsp:nvSpPr>
        <dsp:cNvPr id="0" name=""/>
        <dsp:cNvSpPr/>
      </dsp:nvSpPr>
      <dsp:spPr>
        <a:xfrm rot="12600000">
          <a:off x="1323248" y="3202939"/>
          <a:ext cx="285923" cy="364144"/>
        </a:xfrm>
        <a:prstGeom prst="rightArrow">
          <a:avLst>
            <a:gd name="adj1" fmla="val 60000"/>
            <a:gd name="adj2" fmla="val 50000"/>
          </a:avLst>
        </a:prstGeom>
        <a:gradFill rotWithShape="0">
          <a:gsLst>
            <a:gs pos="0">
              <a:schemeClr val="accent3">
                <a:tint val="60000"/>
                <a:hueOff val="0"/>
                <a:satOff val="0"/>
                <a:lumOff val="0"/>
                <a:alphaOff val="0"/>
                <a:shade val="51000"/>
                <a:satMod val="130000"/>
              </a:schemeClr>
            </a:gs>
            <a:gs pos="80000">
              <a:schemeClr val="accent3">
                <a:tint val="60000"/>
                <a:hueOff val="0"/>
                <a:satOff val="0"/>
                <a:lumOff val="0"/>
                <a:alphaOff val="0"/>
                <a:shade val="93000"/>
                <a:satMod val="130000"/>
              </a:schemeClr>
            </a:gs>
            <a:gs pos="100000">
              <a:schemeClr val="accent3">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pl-PL" sz="800" b="1" kern="1200">
            <a:solidFill>
              <a:sysClr val="windowText" lastClr="000000"/>
            </a:solidFill>
            <a:latin typeface="Arial" panose="020B0604020202020204" pitchFamily="34" charset="0"/>
            <a:ea typeface="+mn-ea"/>
            <a:cs typeface="Arial" panose="020B0604020202020204" pitchFamily="34" charset="0"/>
          </a:endParaRPr>
        </a:p>
      </dsp:txBody>
      <dsp:txXfrm rot="10800000">
        <a:off x="1403279" y="3297212"/>
        <a:ext cx="200146" cy="218486"/>
      </dsp:txXfrm>
    </dsp:sp>
    <dsp:sp modelId="{CC0DF2F9-E191-4AAA-BD2E-06CEB862566D}">
      <dsp:nvSpPr>
        <dsp:cNvPr id="0" name=""/>
        <dsp:cNvSpPr/>
      </dsp:nvSpPr>
      <dsp:spPr>
        <a:xfrm>
          <a:off x="218931" y="2436886"/>
          <a:ext cx="1078945" cy="1078945"/>
        </a:xfrm>
        <a:prstGeom prst="ellips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Arial" panose="020B0604020202020204" pitchFamily="34" charset="0"/>
              <a:ea typeface="+mn-ea"/>
              <a:cs typeface="Arial" panose="020B0604020202020204" pitchFamily="34" charset="0"/>
            </a:rPr>
            <a:t>Etap 5.</a:t>
          </a:r>
        </a:p>
        <a:p>
          <a:pPr marL="0" lvl="0" indent="0" algn="ctr" defTabSz="355600">
            <a:lnSpc>
              <a:spcPct val="90000"/>
            </a:lnSpc>
            <a:spcBef>
              <a:spcPct val="0"/>
            </a:spcBef>
            <a:spcAft>
              <a:spcPct val="35000"/>
            </a:spcAft>
            <a:buNone/>
          </a:pPr>
          <a:r>
            <a:rPr lang="pl-PL" sz="800" b="1" kern="1200">
              <a:solidFill>
                <a:sysClr val="windowText" lastClr="000000"/>
              </a:solidFill>
              <a:latin typeface="Arial" panose="020B0604020202020204" pitchFamily="34" charset="0"/>
              <a:ea typeface="+mn-ea"/>
              <a:cs typeface="Arial" panose="020B0604020202020204" pitchFamily="34" charset="0"/>
            </a:rPr>
            <a:t>Wdrażanie</a:t>
          </a:r>
        </a:p>
      </dsp:txBody>
      <dsp:txXfrm>
        <a:off x="376939" y="2594894"/>
        <a:ext cx="762929" cy="762929"/>
      </dsp:txXfrm>
    </dsp:sp>
    <dsp:sp modelId="{DAA19CD7-DA5B-4128-AD7E-D6FF57EFE25F}">
      <dsp:nvSpPr>
        <dsp:cNvPr id="0" name=""/>
        <dsp:cNvSpPr/>
      </dsp:nvSpPr>
      <dsp:spPr>
        <a:xfrm rot="16200000">
          <a:off x="615443" y="1993168"/>
          <a:ext cx="285923" cy="364144"/>
        </a:xfrm>
        <a:prstGeom prst="rightArrow">
          <a:avLst>
            <a:gd name="adj1" fmla="val 60000"/>
            <a:gd name="adj2" fmla="val 50000"/>
          </a:avLst>
        </a:prstGeom>
        <a:gradFill rotWithShape="0">
          <a:gsLst>
            <a:gs pos="0">
              <a:schemeClr val="accent3">
                <a:tint val="60000"/>
                <a:hueOff val="0"/>
                <a:satOff val="0"/>
                <a:lumOff val="0"/>
                <a:alphaOff val="0"/>
                <a:shade val="51000"/>
                <a:satMod val="130000"/>
              </a:schemeClr>
            </a:gs>
            <a:gs pos="80000">
              <a:schemeClr val="accent3">
                <a:tint val="60000"/>
                <a:hueOff val="0"/>
                <a:satOff val="0"/>
                <a:lumOff val="0"/>
                <a:alphaOff val="0"/>
                <a:shade val="93000"/>
                <a:satMod val="130000"/>
              </a:schemeClr>
            </a:gs>
            <a:gs pos="100000">
              <a:schemeClr val="accent3">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pl-PL" sz="800" b="1" kern="1200">
            <a:solidFill>
              <a:sysClr val="windowText" lastClr="000000"/>
            </a:solidFill>
            <a:latin typeface="Arial" panose="020B0604020202020204" pitchFamily="34" charset="0"/>
            <a:ea typeface="+mn-ea"/>
            <a:cs typeface="Arial" panose="020B0604020202020204" pitchFamily="34" charset="0"/>
          </a:endParaRPr>
        </a:p>
      </dsp:txBody>
      <dsp:txXfrm>
        <a:off x="658332" y="2108886"/>
        <a:ext cx="200146" cy="218486"/>
      </dsp:txXfrm>
    </dsp:sp>
    <dsp:sp modelId="{996875EB-E59B-4B07-A50A-B48B81876BE8}">
      <dsp:nvSpPr>
        <dsp:cNvPr id="0" name=""/>
        <dsp:cNvSpPr/>
      </dsp:nvSpPr>
      <dsp:spPr>
        <a:xfrm>
          <a:off x="218931" y="818463"/>
          <a:ext cx="1078945" cy="1078945"/>
        </a:xfrm>
        <a:prstGeom prst="ellipse">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pl-PL" sz="800" b="1" kern="1200">
              <a:solidFill>
                <a:sysClr val="windowText" lastClr="000000"/>
              </a:solidFill>
              <a:latin typeface="Arial" panose="020B0604020202020204" pitchFamily="34" charset="0"/>
              <a:ea typeface="+mn-ea"/>
              <a:cs typeface="Arial" panose="020B0604020202020204" pitchFamily="34" charset="0"/>
            </a:rPr>
            <a:t>Etap 6. Monitoring i ewaluacja</a:t>
          </a:r>
        </a:p>
      </dsp:txBody>
      <dsp:txXfrm>
        <a:off x="376939" y="976471"/>
        <a:ext cx="762929" cy="762929"/>
      </dsp:txXfrm>
    </dsp:sp>
    <dsp:sp modelId="{9FEBFE6A-8A21-4D16-BB05-AFCE5736D125}">
      <dsp:nvSpPr>
        <dsp:cNvPr id="0" name=""/>
        <dsp:cNvSpPr/>
      </dsp:nvSpPr>
      <dsp:spPr>
        <a:xfrm rot="19800000">
          <a:off x="1308694" y="776146"/>
          <a:ext cx="284084" cy="364144"/>
        </a:xfrm>
        <a:prstGeom prst="rightArrow">
          <a:avLst>
            <a:gd name="adj1" fmla="val 60000"/>
            <a:gd name="adj2" fmla="val 50000"/>
          </a:avLst>
        </a:prstGeom>
        <a:gradFill rotWithShape="0">
          <a:gsLst>
            <a:gs pos="0">
              <a:schemeClr val="accent3">
                <a:tint val="60000"/>
                <a:hueOff val="0"/>
                <a:satOff val="0"/>
                <a:lumOff val="0"/>
                <a:alphaOff val="0"/>
                <a:shade val="51000"/>
                <a:satMod val="130000"/>
              </a:schemeClr>
            </a:gs>
            <a:gs pos="80000">
              <a:schemeClr val="accent3">
                <a:tint val="60000"/>
                <a:hueOff val="0"/>
                <a:satOff val="0"/>
                <a:lumOff val="0"/>
                <a:alphaOff val="0"/>
                <a:shade val="93000"/>
                <a:satMod val="130000"/>
              </a:schemeClr>
            </a:gs>
            <a:gs pos="100000">
              <a:schemeClr val="accent3">
                <a:tint val="60000"/>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marL="0" lvl="0" indent="0" algn="ctr" defTabSz="666750">
            <a:lnSpc>
              <a:spcPct val="90000"/>
            </a:lnSpc>
            <a:spcBef>
              <a:spcPct val="0"/>
            </a:spcBef>
            <a:spcAft>
              <a:spcPct val="35000"/>
            </a:spcAft>
            <a:buNone/>
          </a:pPr>
          <a:endParaRPr lang="pl-PL" sz="1500" b="1" kern="1200">
            <a:solidFill>
              <a:sysClr val="windowText" lastClr="000000"/>
            </a:solidFill>
          </a:endParaRPr>
        </a:p>
      </dsp:txBody>
      <dsp:txXfrm>
        <a:off x="1314403" y="870281"/>
        <a:ext cx="198859" cy="21848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C7E13D0-FF0C-4DC9-A666-BF2908275996}">
      <dsp:nvSpPr>
        <dsp:cNvPr id="0" name=""/>
        <dsp:cNvSpPr/>
      </dsp:nvSpPr>
      <dsp:spPr>
        <a:xfrm>
          <a:off x="3685574" y="1145567"/>
          <a:ext cx="1315460" cy="657730"/>
        </a:xfrm>
        <a:prstGeom prst="roundRect">
          <a:avLst>
            <a:gd name="adj" fmla="val 10000"/>
          </a:avLst>
        </a:prstGeom>
        <a:solidFill>
          <a:schemeClr val="accent6">
            <a:lumMod val="5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latin typeface="Arial" panose="020B0604020202020204" pitchFamily="34" charset="0"/>
              <a:ea typeface="+mn-ea"/>
              <a:cs typeface="Arial" panose="020B0604020202020204" pitchFamily="34" charset="0"/>
            </a:rPr>
            <a:t>Podatność</a:t>
          </a:r>
        </a:p>
        <a:p>
          <a:pPr marL="0" lvl="0" indent="0" algn="ctr" defTabSz="444500">
            <a:lnSpc>
              <a:spcPct val="90000"/>
            </a:lnSpc>
            <a:spcBef>
              <a:spcPct val="0"/>
            </a:spcBef>
            <a:spcAft>
              <a:spcPct val="35000"/>
            </a:spcAft>
            <a:buNone/>
          </a:pPr>
          <a:r>
            <a:rPr lang="pl-PL" sz="1000" kern="1200">
              <a:latin typeface="Arial" panose="020B0604020202020204" pitchFamily="34" charset="0"/>
              <a:ea typeface="+mn-ea"/>
              <a:cs typeface="Arial" panose="020B0604020202020204" pitchFamily="34" charset="0"/>
            </a:rPr>
            <a:t>na czynnik klimatyczny</a:t>
          </a:r>
        </a:p>
      </dsp:txBody>
      <dsp:txXfrm>
        <a:off x="3704838" y="1164831"/>
        <a:ext cx="1276932" cy="619202"/>
      </dsp:txXfrm>
    </dsp:sp>
    <dsp:sp modelId="{A90B8724-E68B-4F10-B9FD-AC9AF187F1A1}">
      <dsp:nvSpPr>
        <dsp:cNvPr id="0" name=""/>
        <dsp:cNvSpPr/>
      </dsp:nvSpPr>
      <dsp:spPr>
        <a:xfrm rot="12942401">
          <a:off x="3098483" y="1262308"/>
          <a:ext cx="647997" cy="46054"/>
        </a:xfrm>
        <a:custGeom>
          <a:avLst/>
          <a:gdLst/>
          <a:ahLst/>
          <a:cxnLst/>
          <a:rect l="0" t="0" r="0" b="0"/>
          <a:pathLst>
            <a:path>
              <a:moveTo>
                <a:pt x="0" y="21906"/>
              </a:moveTo>
              <a:lnTo>
                <a:pt x="668036" y="21906"/>
              </a:lnTo>
            </a:path>
          </a:pathLst>
        </a:custGeom>
        <a:noFill/>
        <a:ln w="25400" cap="flat" cmpd="sng" algn="ctr">
          <a:solidFill>
            <a:schemeClr val="accent1"/>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pl-PL" sz="1000" kern="1200">
            <a:solidFill>
              <a:sysClr val="windowText" lastClr="000000"/>
            </a:solidFill>
            <a:latin typeface="Arial" panose="020B0604020202020204" pitchFamily="34" charset="0"/>
            <a:ea typeface="+mn-ea"/>
            <a:cs typeface="Arial" panose="020B0604020202020204" pitchFamily="34" charset="0"/>
          </a:endParaRPr>
        </a:p>
      </dsp:txBody>
      <dsp:txXfrm rot="10800000">
        <a:off x="3406282" y="1269135"/>
        <a:ext cx="32399" cy="32399"/>
      </dsp:txXfrm>
    </dsp:sp>
    <dsp:sp modelId="{F48A8838-FD94-40C2-AE6C-4FFB7ABA3CB7}">
      <dsp:nvSpPr>
        <dsp:cNvPr id="0" name=""/>
        <dsp:cNvSpPr/>
      </dsp:nvSpPr>
      <dsp:spPr>
        <a:xfrm>
          <a:off x="1843930" y="767372"/>
          <a:ext cx="1315460" cy="657730"/>
        </a:xfrm>
        <a:prstGeom prst="roundRect">
          <a:avLst>
            <a:gd name="adj" fmla="val 10000"/>
          </a:avLst>
        </a:prstGeom>
        <a:solidFill>
          <a:schemeClr val="accent3">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Text" lastClr="000000"/>
              </a:solidFill>
              <a:latin typeface="Arial" panose="020B0604020202020204" pitchFamily="34" charset="0"/>
              <a:ea typeface="+mn-ea"/>
              <a:cs typeface="Arial" panose="020B0604020202020204" pitchFamily="34" charset="0"/>
            </a:rPr>
            <a:t>Określenie stopnia </a:t>
          </a:r>
          <a:r>
            <a:rPr lang="en-GB" sz="1000" b="1" kern="1200">
              <a:solidFill>
                <a:sysClr val="windowText" lastClr="000000"/>
              </a:solidFill>
              <a:latin typeface="Arial" panose="020B0604020202020204" pitchFamily="34" charset="0"/>
              <a:ea typeface="+mn-ea"/>
              <a:cs typeface="Arial" panose="020B0604020202020204" pitchFamily="34" charset="0"/>
            </a:rPr>
            <a:t>wpływu</a:t>
          </a:r>
          <a:r>
            <a:rPr lang="en-GB" sz="1000" kern="1200">
              <a:solidFill>
                <a:sysClr val="windowText" lastClr="000000"/>
              </a:solidFill>
              <a:latin typeface="Arial" panose="020B0604020202020204" pitchFamily="34" charset="0"/>
              <a:ea typeface="+mn-ea"/>
              <a:cs typeface="Arial" panose="020B0604020202020204" pitchFamily="34" charset="0"/>
            </a:rPr>
            <a:t> zmian klimatycznych</a:t>
          </a:r>
          <a:endParaRPr lang="pl-PL" sz="1000" kern="1200">
            <a:solidFill>
              <a:sysClr val="windowText" lastClr="000000"/>
            </a:solidFill>
            <a:latin typeface="Arial" panose="020B0604020202020204" pitchFamily="34" charset="0"/>
            <a:ea typeface="+mn-ea"/>
            <a:cs typeface="Arial" panose="020B0604020202020204" pitchFamily="34" charset="0"/>
          </a:endParaRPr>
        </a:p>
      </dsp:txBody>
      <dsp:txXfrm>
        <a:off x="1863194" y="786636"/>
        <a:ext cx="1276932" cy="619202"/>
      </dsp:txXfrm>
    </dsp:sp>
    <dsp:sp modelId="{8BC2ED3B-6133-45B3-A7B1-B8990BD88D82}">
      <dsp:nvSpPr>
        <dsp:cNvPr id="0" name=""/>
        <dsp:cNvSpPr/>
      </dsp:nvSpPr>
      <dsp:spPr>
        <a:xfrm rot="12942401">
          <a:off x="1256839" y="884113"/>
          <a:ext cx="647997" cy="46054"/>
        </a:xfrm>
        <a:custGeom>
          <a:avLst/>
          <a:gdLst/>
          <a:ahLst/>
          <a:cxnLst/>
          <a:rect l="0" t="0" r="0" b="0"/>
          <a:pathLst>
            <a:path>
              <a:moveTo>
                <a:pt x="0" y="21906"/>
              </a:moveTo>
              <a:lnTo>
                <a:pt x="668036" y="21906"/>
              </a:lnTo>
            </a:path>
          </a:pathLst>
        </a:custGeom>
        <a:noFill/>
        <a:ln w="25400" cap="flat" cmpd="sng" algn="ctr">
          <a:solidFill>
            <a:schemeClr val="accent1"/>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pl-PL" sz="1000" kern="1200">
            <a:solidFill>
              <a:sysClr val="windowText" lastClr="000000"/>
            </a:solidFill>
            <a:latin typeface="Arial" panose="020B0604020202020204" pitchFamily="34" charset="0"/>
            <a:ea typeface="+mn-ea"/>
            <a:cs typeface="Arial" panose="020B0604020202020204" pitchFamily="34" charset="0"/>
          </a:endParaRPr>
        </a:p>
      </dsp:txBody>
      <dsp:txXfrm rot="10800000">
        <a:off x="1564638" y="890940"/>
        <a:ext cx="32399" cy="32399"/>
      </dsp:txXfrm>
    </dsp:sp>
    <dsp:sp modelId="{67BBBFC5-7332-40B7-B7C8-369A659E97C7}">
      <dsp:nvSpPr>
        <dsp:cNvPr id="0" name=""/>
        <dsp:cNvSpPr/>
      </dsp:nvSpPr>
      <dsp:spPr>
        <a:xfrm>
          <a:off x="2285" y="389177"/>
          <a:ext cx="1315460" cy="657730"/>
        </a:xfrm>
        <a:prstGeom prst="roundRect">
          <a:avLst>
            <a:gd name="adj" fmla="val 10000"/>
          </a:avLst>
        </a:prstGeom>
        <a:solidFill>
          <a:schemeClr val="accent1">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solidFill>
              <a:latin typeface="Arial" panose="020B0604020202020204" pitchFamily="34" charset="0"/>
              <a:ea typeface="+mn-ea"/>
              <a:cs typeface="Arial" panose="020B0604020202020204" pitchFamily="34" charset="0"/>
            </a:rPr>
            <a:t>Narażenie </a:t>
          </a:r>
        </a:p>
        <a:p>
          <a:pPr marL="0" lvl="0" indent="0" algn="ctr" defTabSz="444500">
            <a:lnSpc>
              <a:spcPct val="90000"/>
            </a:lnSpc>
            <a:spcBef>
              <a:spcPct val="0"/>
            </a:spcBef>
            <a:spcAft>
              <a:spcPct val="35000"/>
            </a:spcAft>
            <a:buNone/>
          </a:pPr>
          <a:r>
            <a:rPr lang="pl-PL" sz="1000" kern="1200">
              <a:solidFill>
                <a:sysClr val="windowText" lastClr="000000"/>
              </a:solidFill>
              <a:latin typeface="Arial" panose="020B0604020202020204" pitchFamily="34" charset="0"/>
              <a:ea typeface="+mn-ea"/>
              <a:cs typeface="Arial" panose="020B0604020202020204" pitchFamily="34" charset="0"/>
            </a:rPr>
            <a:t>na czynnik klimatyczny </a:t>
          </a:r>
        </a:p>
      </dsp:txBody>
      <dsp:txXfrm>
        <a:off x="21549" y="408441"/>
        <a:ext cx="1276932" cy="619202"/>
      </dsp:txXfrm>
    </dsp:sp>
    <dsp:sp modelId="{85EA1F28-E35E-409E-BE3E-3284C39BA8E4}">
      <dsp:nvSpPr>
        <dsp:cNvPr id="0" name=""/>
        <dsp:cNvSpPr/>
      </dsp:nvSpPr>
      <dsp:spPr>
        <a:xfrm rot="8657599">
          <a:off x="1256839" y="1262308"/>
          <a:ext cx="647997" cy="46054"/>
        </a:xfrm>
        <a:custGeom>
          <a:avLst/>
          <a:gdLst/>
          <a:ahLst/>
          <a:cxnLst/>
          <a:rect l="0" t="0" r="0" b="0"/>
          <a:pathLst>
            <a:path>
              <a:moveTo>
                <a:pt x="0" y="21906"/>
              </a:moveTo>
              <a:lnTo>
                <a:pt x="668036" y="21906"/>
              </a:lnTo>
            </a:path>
          </a:pathLst>
        </a:custGeom>
        <a:noFill/>
        <a:ln w="25400" cap="flat" cmpd="sng" algn="ctr">
          <a:solidFill>
            <a:schemeClr val="accent1"/>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pl-PL" sz="1000" kern="1200">
            <a:solidFill>
              <a:sysClr val="windowText" lastClr="000000"/>
            </a:solidFill>
            <a:latin typeface="Arial" panose="020B0604020202020204" pitchFamily="34" charset="0"/>
            <a:ea typeface="+mn-ea"/>
            <a:cs typeface="Arial" panose="020B0604020202020204" pitchFamily="34" charset="0"/>
          </a:endParaRPr>
        </a:p>
      </dsp:txBody>
      <dsp:txXfrm rot="10800000">
        <a:off x="1564638" y="1269135"/>
        <a:ext cx="32399" cy="32399"/>
      </dsp:txXfrm>
    </dsp:sp>
    <dsp:sp modelId="{0203B2E5-D59F-4031-BB4C-EA3B1C0E95C0}">
      <dsp:nvSpPr>
        <dsp:cNvPr id="0" name=""/>
        <dsp:cNvSpPr/>
      </dsp:nvSpPr>
      <dsp:spPr>
        <a:xfrm>
          <a:off x="2285" y="1145567"/>
          <a:ext cx="1315460" cy="657730"/>
        </a:xfrm>
        <a:prstGeom prst="roundRect">
          <a:avLst>
            <a:gd name="adj" fmla="val 10000"/>
          </a:avLst>
        </a:prstGeom>
        <a:solidFill>
          <a:schemeClr val="accent1">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solidFill>
              <a:latin typeface="Arial" panose="020B0604020202020204" pitchFamily="34" charset="0"/>
              <a:ea typeface="+mn-ea"/>
              <a:cs typeface="Arial" panose="020B0604020202020204" pitchFamily="34" charset="0"/>
            </a:rPr>
            <a:t>Wrażliwość</a:t>
          </a:r>
          <a:r>
            <a:rPr lang="pl-PL" sz="1000" kern="1200">
              <a:solidFill>
                <a:sysClr val="windowText" lastClr="000000"/>
              </a:solidFill>
              <a:latin typeface="Arial" panose="020B0604020202020204" pitchFamily="34" charset="0"/>
              <a:ea typeface="+mn-ea"/>
              <a:cs typeface="Arial" panose="020B0604020202020204" pitchFamily="34" charset="0"/>
            </a:rPr>
            <a:t> </a:t>
          </a:r>
        </a:p>
        <a:p>
          <a:pPr marL="0" lvl="0" indent="0" algn="ctr" defTabSz="444500">
            <a:lnSpc>
              <a:spcPct val="90000"/>
            </a:lnSpc>
            <a:spcBef>
              <a:spcPct val="0"/>
            </a:spcBef>
            <a:spcAft>
              <a:spcPct val="35000"/>
            </a:spcAft>
            <a:buNone/>
          </a:pPr>
          <a:r>
            <a:rPr lang="pl-PL" sz="1000" kern="1200">
              <a:solidFill>
                <a:sysClr val="windowText" lastClr="000000"/>
              </a:solidFill>
              <a:latin typeface="Arial" panose="020B0604020202020204" pitchFamily="34" charset="0"/>
              <a:ea typeface="+mn-ea"/>
              <a:cs typeface="Arial" panose="020B0604020202020204" pitchFamily="34" charset="0"/>
            </a:rPr>
            <a:t>obszaru na dany czynnik</a:t>
          </a:r>
        </a:p>
      </dsp:txBody>
      <dsp:txXfrm>
        <a:off x="21549" y="1164831"/>
        <a:ext cx="1276932" cy="619202"/>
      </dsp:txXfrm>
    </dsp:sp>
    <dsp:sp modelId="{FDA18AB2-C5E8-4B37-8809-78EE7B80377A}">
      <dsp:nvSpPr>
        <dsp:cNvPr id="0" name=""/>
        <dsp:cNvSpPr/>
      </dsp:nvSpPr>
      <dsp:spPr>
        <a:xfrm rot="9723575">
          <a:off x="1254895" y="1835092"/>
          <a:ext cx="2491245" cy="46054"/>
        </a:xfrm>
        <a:custGeom>
          <a:avLst/>
          <a:gdLst/>
          <a:ahLst/>
          <a:cxnLst/>
          <a:rect l="0" t="0" r="0" b="0"/>
          <a:pathLst>
            <a:path>
              <a:moveTo>
                <a:pt x="0" y="21906"/>
              </a:moveTo>
              <a:lnTo>
                <a:pt x="2589375" y="21906"/>
              </a:lnTo>
            </a:path>
          </a:pathLst>
        </a:custGeom>
        <a:noFill/>
        <a:ln w="25400" cap="flat" cmpd="sng" algn="ctr">
          <a:solidFill>
            <a:schemeClr val="accent1"/>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444500">
            <a:lnSpc>
              <a:spcPct val="90000"/>
            </a:lnSpc>
            <a:spcBef>
              <a:spcPct val="0"/>
            </a:spcBef>
            <a:spcAft>
              <a:spcPct val="35000"/>
            </a:spcAft>
            <a:buNone/>
          </a:pPr>
          <a:endParaRPr lang="pl-PL" sz="1000" kern="1200">
            <a:solidFill>
              <a:sysClr val="windowText" lastClr="000000"/>
            </a:solidFill>
            <a:latin typeface="Arial" panose="020B0604020202020204" pitchFamily="34" charset="0"/>
            <a:ea typeface="+mn-ea"/>
            <a:cs typeface="Arial" panose="020B0604020202020204" pitchFamily="34" charset="0"/>
          </a:endParaRPr>
        </a:p>
      </dsp:txBody>
      <dsp:txXfrm rot="10800000">
        <a:off x="2438236" y="1795838"/>
        <a:ext cx="124562" cy="124562"/>
      </dsp:txXfrm>
    </dsp:sp>
    <dsp:sp modelId="{8FD50E84-A8DA-4A0B-82DD-DCE6C8A1DB43}">
      <dsp:nvSpPr>
        <dsp:cNvPr id="0" name=""/>
        <dsp:cNvSpPr/>
      </dsp:nvSpPr>
      <dsp:spPr>
        <a:xfrm>
          <a:off x="0" y="1912940"/>
          <a:ext cx="1315460" cy="657730"/>
        </a:xfrm>
        <a:prstGeom prst="roundRect">
          <a:avLst>
            <a:gd name="adj" fmla="val 10000"/>
          </a:avLst>
        </a:prstGeom>
        <a:solidFill>
          <a:schemeClr val="accent3">
            <a:lumMod val="40000"/>
            <a:lumOff val="60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Text" lastClr="000000"/>
              </a:solidFill>
              <a:latin typeface="Arial" panose="020B0604020202020204" pitchFamily="34" charset="0"/>
              <a:ea typeface="+mn-ea"/>
              <a:cs typeface="Arial" panose="020B0604020202020204" pitchFamily="34" charset="0"/>
            </a:rPr>
            <a:t>Potencjał adaptacyjny</a:t>
          </a:r>
        </a:p>
        <a:p>
          <a:pPr marL="0" lvl="0" indent="0" algn="ctr" defTabSz="444500">
            <a:lnSpc>
              <a:spcPct val="90000"/>
            </a:lnSpc>
            <a:spcBef>
              <a:spcPct val="0"/>
            </a:spcBef>
            <a:spcAft>
              <a:spcPct val="35000"/>
            </a:spcAft>
            <a:buNone/>
          </a:pPr>
          <a:r>
            <a:rPr lang="pl-PL" sz="1000" b="0" kern="1200">
              <a:solidFill>
                <a:sysClr val="windowText" lastClr="000000"/>
              </a:solidFill>
              <a:latin typeface="Arial" panose="020B0604020202020204" pitchFamily="34" charset="0"/>
              <a:ea typeface="+mn-ea"/>
              <a:cs typeface="Arial" panose="020B0604020202020204" pitchFamily="34" charset="0"/>
            </a:rPr>
            <a:t>miasta</a:t>
          </a:r>
        </a:p>
      </dsp:txBody>
      <dsp:txXfrm>
        <a:off x="19264" y="1932204"/>
        <a:ext cx="1276932" cy="61920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0FB0CFC-295A-4A37-8480-B2126C6D0080}">
      <dsp:nvSpPr>
        <dsp:cNvPr id="0" name=""/>
        <dsp:cNvSpPr/>
      </dsp:nvSpPr>
      <dsp:spPr>
        <a:xfrm>
          <a:off x="1124077" y="115838"/>
          <a:ext cx="4635922" cy="852775"/>
        </a:xfrm>
        <a:prstGeom prst="rect">
          <a:avLst/>
        </a:prstGeom>
        <a:solidFill>
          <a:schemeClr val="accent1">
            <a:alpha val="40000"/>
            <a:tint val="4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57784" tIns="41910" rIns="41910" bIns="41910" numCol="1" spcCol="1270" anchor="ctr" anchorCtr="0">
          <a:noAutofit/>
        </a:bodyPr>
        <a:lstStyle/>
        <a:p>
          <a:pPr marL="0" lvl="0" indent="0" algn="l" defTabSz="488950">
            <a:lnSpc>
              <a:spcPct val="90000"/>
            </a:lnSpc>
            <a:spcBef>
              <a:spcPct val="0"/>
            </a:spcBef>
            <a:spcAft>
              <a:spcPct val="35000"/>
            </a:spcAft>
            <a:buNone/>
          </a:pPr>
          <a:r>
            <a:rPr lang="pl-PL" sz="1100" kern="1200"/>
            <a:t>działania o charakterze "twardym", realizowane w środowisku lub w obiektach miejskich, polegające na budowie, przebudowie, lub modernizacji infrastruktury, lub przestrzeni miejskiej; działania te pozwalają w którkim czasie uzyskać efekt adaptacj, odnoszą się raczej do zmniejszenia wrażliwości miasta na zmiany klimatu</a:t>
          </a:r>
        </a:p>
      </dsp:txBody>
      <dsp:txXfrm>
        <a:off x="1124077" y="115838"/>
        <a:ext cx="4635922" cy="852775"/>
      </dsp:txXfrm>
    </dsp:sp>
    <dsp:sp modelId="{5B1CCC90-92C1-48E8-B69B-148D8FC90958}">
      <dsp:nvSpPr>
        <dsp:cNvPr id="0" name=""/>
        <dsp:cNvSpPr/>
      </dsp:nvSpPr>
      <dsp:spPr>
        <a:xfrm>
          <a:off x="257034" y="6034"/>
          <a:ext cx="1206123" cy="864675"/>
        </a:xfrm>
        <a:prstGeom prst="rect">
          <a:avLst/>
        </a:prstGeom>
        <a:solidFill>
          <a:srgbClr val="D3DACD"/>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D368C36B-10F3-48FD-8186-79CB1E0E0789}">
      <dsp:nvSpPr>
        <dsp:cNvPr id="0" name=""/>
        <dsp:cNvSpPr/>
      </dsp:nvSpPr>
      <dsp:spPr>
        <a:xfrm>
          <a:off x="1132667" y="1280245"/>
          <a:ext cx="4627332" cy="661048"/>
        </a:xfrm>
        <a:prstGeom prst="rect">
          <a:avLst/>
        </a:prstGeom>
        <a:solidFill>
          <a:schemeClr val="accent1">
            <a:alpha val="40000"/>
            <a:tint val="4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57784" tIns="41910" rIns="41910" bIns="41910" numCol="1" spcCol="1270" anchor="ctr" anchorCtr="0">
          <a:noAutofit/>
        </a:bodyPr>
        <a:lstStyle/>
        <a:p>
          <a:pPr marL="0" lvl="0" indent="0" algn="l" defTabSz="488950">
            <a:lnSpc>
              <a:spcPct val="90000"/>
            </a:lnSpc>
            <a:spcBef>
              <a:spcPct val="0"/>
            </a:spcBef>
            <a:spcAft>
              <a:spcPct val="35000"/>
            </a:spcAft>
            <a:buNone/>
          </a:pPr>
          <a:r>
            <a:rPr lang="pl-PL" sz="1100" kern="1200"/>
            <a:t>działania służące zwiększeniu zasobów miasta w zakresie finansów, zasobów ludzkich, instytucji, zasobów wiedzy, działania te generalnie odnoszą się do budowania potencjału adaptacyjnego miasta</a:t>
          </a:r>
          <a:endParaRPr lang="pl-PL" sz="1050" kern="1200"/>
        </a:p>
      </dsp:txBody>
      <dsp:txXfrm>
        <a:off x="1132667" y="1280245"/>
        <a:ext cx="4627332" cy="661048"/>
      </dsp:txXfrm>
    </dsp:sp>
    <dsp:sp modelId="{5513E84C-04EE-4A35-A017-5BD4BFF1AE99}">
      <dsp:nvSpPr>
        <dsp:cNvPr id="0" name=""/>
        <dsp:cNvSpPr/>
      </dsp:nvSpPr>
      <dsp:spPr>
        <a:xfrm>
          <a:off x="280933" y="1035542"/>
          <a:ext cx="1178119" cy="842340"/>
        </a:xfrm>
        <a:prstGeom prst="rect">
          <a:avLst/>
        </a:prstGeom>
        <a:solidFill>
          <a:srgbClr val="D3DACD"/>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 modelId="{27CAD338-EDD1-4102-A8BB-D08CF5135BF8}">
      <dsp:nvSpPr>
        <dsp:cNvPr id="0" name=""/>
        <dsp:cNvSpPr/>
      </dsp:nvSpPr>
      <dsp:spPr>
        <a:xfrm>
          <a:off x="1125447" y="2138213"/>
          <a:ext cx="4634552" cy="830820"/>
        </a:xfrm>
        <a:prstGeom prst="rect">
          <a:avLst/>
        </a:prstGeom>
        <a:solidFill>
          <a:schemeClr val="accent1">
            <a:alpha val="40000"/>
            <a:tint val="4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557784" tIns="41910" rIns="41910" bIns="41910" numCol="1" spcCol="1270" anchor="ctr" anchorCtr="0">
          <a:noAutofit/>
        </a:bodyPr>
        <a:lstStyle/>
        <a:p>
          <a:pPr marL="0" lvl="0" indent="0" algn="l" defTabSz="488950">
            <a:lnSpc>
              <a:spcPct val="90000"/>
            </a:lnSpc>
            <a:spcBef>
              <a:spcPct val="0"/>
            </a:spcBef>
            <a:spcAft>
              <a:spcPct val="35000"/>
            </a:spcAft>
            <a:buNone/>
          </a:pPr>
          <a:r>
            <a:rPr lang="pl-PL" sz="1100" kern="1200"/>
            <a:t>działania skierowane na podnoszenie świadomości klimatycznej mieszkańców, obejmujące edukację i informowanie o zagrożeniach, planowanych i podjętych działaniach adaptacyjnych oraz o funkcjonujących systemach monitorowania i ostrzegania przed zagrożeniami, a także propagowanie dobrych praktyk</a:t>
          </a:r>
        </a:p>
      </dsp:txBody>
      <dsp:txXfrm>
        <a:off x="1125447" y="2138213"/>
        <a:ext cx="4634552" cy="830820"/>
      </dsp:txXfrm>
    </dsp:sp>
    <dsp:sp modelId="{91BE115E-A969-4D98-85F6-0A12AE8EB64B}">
      <dsp:nvSpPr>
        <dsp:cNvPr id="0" name=""/>
        <dsp:cNvSpPr/>
      </dsp:nvSpPr>
      <dsp:spPr>
        <a:xfrm>
          <a:off x="268983" y="2000518"/>
          <a:ext cx="1208464" cy="844173"/>
        </a:xfrm>
        <a:prstGeom prst="rect">
          <a:avLst/>
        </a:prstGeom>
        <a:solidFill>
          <a:srgbClr val="D3DACD"/>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5A9EEDC-A77C-41CC-933B-8BE60F861334}">
      <dsp:nvSpPr>
        <dsp:cNvPr id="0" name=""/>
        <dsp:cNvSpPr/>
      </dsp:nvSpPr>
      <dsp:spPr>
        <a:xfrm>
          <a:off x="680442" y="1559"/>
          <a:ext cx="1178718" cy="589359"/>
        </a:xfrm>
        <a:prstGeom prst="roundRect">
          <a:avLst>
            <a:gd name="adj" fmla="val 10000"/>
          </a:avLst>
        </a:prstGeom>
        <a:solidFill>
          <a:srgbClr val="9BBB59">
            <a:shade val="50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ts val="0"/>
            </a:spcAft>
            <a:buNone/>
          </a:pPr>
          <a:r>
            <a:rPr lang="pl-PL" sz="1000" b="1" kern="1200">
              <a:solidFill>
                <a:sysClr val="window" lastClr="FFFFFF"/>
              </a:solidFill>
              <a:latin typeface="Arial" panose="020B0604020202020204" pitchFamily="34" charset="0"/>
              <a:ea typeface="+mn-ea"/>
              <a:cs typeface="Arial" panose="020B0604020202020204" pitchFamily="34" charset="0"/>
            </a:rPr>
            <a:t>Opady</a:t>
          </a:r>
        </a:p>
        <a:p>
          <a:pPr marL="0" lvl="0" indent="0" algn="ctr" defTabSz="444500">
            <a:lnSpc>
              <a:spcPct val="90000"/>
            </a:lnSpc>
            <a:spcBef>
              <a:spcPct val="0"/>
            </a:spcBef>
            <a:spcAft>
              <a:spcPct val="35000"/>
            </a:spcAft>
            <a:buNone/>
          </a:pPr>
          <a:r>
            <a:rPr lang="pl-PL" sz="1000" b="1" kern="1200">
              <a:solidFill>
                <a:sysClr val="window" lastClr="FFFFFF"/>
              </a:solidFill>
              <a:latin typeface="Arial" panose="020B0604020202020204" pitchFamily="34" charset="0"/>
              <a:ea typeface="+mn-ea"/>
              <a:cs typeface="Arial" panose="020B0604020202020204" pitchFamily="34" charset="0"/>
            </a:rPr>
            <a:t>- deszcze nawalne i susze</a:t>
          </a:r>
        </a:p>
      </dsp:txBody>
      <dsp:txXfrm>
        <a:off x="697704" y="18821"/>
        <a:ext cx="1144194" cy="554835"/>
      </dsp:txXfrm>
    </dsp:sp>
    <dsp:sp modelId="{F4A29FCC-5905-4350-8247-7AB2EE186E99}">
      <dsp:nvSpPr>
        <dsp:cNvPr id="0" name=""/>
        <dsp:cNvSpPr/>
      </dsp:nvSpPr>
      <dsp:spPr>
        <a:xfrm>
          <a:off x="798314" y="590918"/>
          <a:ext cx="117871" cy="442019"/>
        </a:xfrm>
        <a:custGeom>
          <a:avLst/>
          <a:gdLst/>
          <a:ahLst/>
          <a:cxnLst/>
          <a:rect l="0" t="0" r="0" b="0"/>
          <a:pathLst>
            <a:path>
              <a:moveTo>
                <a:pt x="0" y="0"/>
              </a:moveTo>
              <a:lnTo>
                <a:pt x="0" y="442019"/>
              </a:lnTo>
              <a:lnTo>
                <a:pt x="117871" y="442019"/>
              </a:lnTo>
            </a:path>
          </a:pathLst>
        </a:custGeom>
        <a:noFill/>
        <a:ln w="25400" cap="flat" cmpd="sng" algn="ctr">
          <a:solidFill>
            <a:srgbClr val="9BBB59">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E8D91590-81D2-4833-B558-B71B6DAA2C15}">
      <dsp:nvSpPr>
        <dsp:cNvPr id="0" name=""/>
        <dsp:cNvSpPr/>
      </dsp:nvSpPr>
      <dsp:spPr>
        <a:xfrm>
          <a:off x="916185" y="738258"/>
          <a:ext cx="942975" cy="589359"/>
        </a:xfrm>
        <a:prstGeom prst="roundRect">
          <a:avLst>
            <a:gd name="adj" fmla="val 10000"/>
          </a:avLst>
        </a:prstGeom>
        <a:solidFill>
          <a:sysClr val="window" lastClr="FFFFFF">
            <a:alpha val="90000"/>
            <a:hueOff val="0"/>
            <a:satOff val="0"/>
            <a:lumOff val="0"/>
            <a:alphaOff val="0"/>
          </a:sysClr>
        </a:solidFill>
        <a:ln w="25400" cap="flat" cmpd="sng" algn="ctr">
          <a:solidFill>
            <a:srgbClr val="9BBB59">
              <a:shade val="5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Powodzie i podtopienia</a:t>
          </a:r>
        </a:p>
      </dsp:txBody>
      <dsp:txXfrm>
        <a:off x="933447" y="755520"/>
        <a:ext cx="908451" cy="554835"/>
      </dsp:txXfrm>
    </dsp:sp>
    <dsp:sp modelId="{BAFE5D85-D723-42F9-AB6D-B5C534101700}">
      <dsp:nvSpPr>
        <dsp:cNvPr id="0" name=""/>
        <dsp:cNvSpPr/>
      </dsp:nvSpPr>
      <dsp:spPr>
        <a:xfrm>
          <a:off x="798314" y="590918"/>
          <a:ext cx="117871" cy="1178718"/>
        </a:xfrm>
        <a:custGeom>
          <a:avLst/>
          <a:gdLst/>
          <a:ahLst/>
          <a:cxnLst/>
          <a:rect l="0" t="0" r="0" b="0"/>
          <a:pathLst>
            <a:path>
              <a:moveTo>
                <a:pt x="0" y="0"/>
              </a:moveTo>
              <a:lnTo>
                <a:pt x="0" y="1178718"/>
              </a:lnTo>
              <a:lnTo>
                <a:pt x="117871" y="1178718"/>
              </a:lnTo>
            </a:path>
          </a:pathLst>
        </a:custGeom>
        <a:noFill/>
        <a:ln w="25400" cap="flat" cmpd="sng" algn="ctr">
          <a:solidFill>
            <a:srgbClr val="9BBB59">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CCB99DB7-D768-456B-9DD0-F781D44D5AE9}">
      <dsp:nvSpPr>
        <dsp:cNvPr id="0" name=""/>
        <dsp:cNvSpPr/>
      </dsp:nvSpPr>
      <dsp:spPr>
        <a:xfrm>
          <a:off x="916185" y="1474957"/>
          <a:ext cx="942975" cy="589359"/>
        </a:xfrm>
        <a:prstGeom prst="roundRect">
          <a:avLst>
            <a:gd name="adj" fmla="val 10000"/>
          </a:avLst>
        </a:prstGeom>
        <a:solidFill>
          <a:sysClr val="window" lastClr="FFFFFF">
            <a:alpha val="90000"/>
            <a:hueOff val="0"/>
            <a:satOff val="0"/>
            <a:lumOff val="0"/>
            <a:alphaOff val="0"/>
          </a:sysClr>
        </a:solidFill>
        <a:ln w="25400" cap="flat" cmpd="sng" algn="ctr">
          <a:solidFill>
            <a:srgbClr val="9BBB59">
              <a:shade val="50000"/>
              <a:hueOff val="66889"/>
              <a:satOff val="-1067"/>
              <a:lumOff val="10277"/>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Niedobory wody</a:t>
          </a:r>
        </a:p>
      </dsp:txBody>
      <dsp:txXfrm>
        <a:off x="933447" y="1492219"/>
        <a:ext cx="908451" cy="554835"/>
      </dsp:txXfrm>
    </dsp:sp>
    <dsp:sp modelId="{1007224C-441B-42B3-B63E-4FAC7CAC047C}">
      <dsp:nvSpPr>
        <dsp:cNvPr id="0" name=""/>
        <dsp:cNvSpPr/>
      </dsp:nvSpPr>
      <dsp:spPr>
        <a:xfrm>
          <a:off x="798314" y="590918"/>
          <a:ext cx="117871" cy="1915417"/>
        </a:xfrm>
        <a:custGeom>
          <a:avLst/>
          <a:gdLst/>
          <a:ahLst/>
          <a:cxnLst/>
          <a:rect l="0" t="0" r="0" b="0"/>
          <a:pathLst>
            <a:path>
              <a:moveTo>
                <a:pt x="0" y="0"/>
              </a:moveTo>
              <a:lnTo>
                <a:pt x="0" y="1915417"/>
              </a:lnTo>
              <a:lnTo>
                <a:pt x="117871" y="1915417"/>
              </a:lnTo>
            </a:path>
          </a:pathLst>
        </a:custGeom>
        <a:noFill/>
        <a:ln w="25400" cap="flat" cmpd="sng" algn="ctr">
          <a:solidFill>
            <a:srgbClr val="9BBB59">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29F17EBD-5FB5-402F-AEBB-CEBBFFF8A961}">
      <dsp:nvSpPr>
        <dsp:cNvPr id="0" name=""/>
        <dsp:cNvSpPr/>
      </dsp:nvSpPr>
      <dsp:spPr>
        <a:xfrm>
          <a:off x="916185" y="2211657"/>
          <a:ext cx="942975" cy="589359"/>
        </a:xfrm>
        <a:prstGeom prst="roundRect">
          <a:avLst>
            <a:gd name="adj" fmla="val 10000"/>
          </a:avLst>
        </a:prstGeom>
        <a:solidFill>
          <a:sysClr val="window" lastClr="FFFFFF">
            <a:alpha val="90000"/>
            <a:hueOff val="0"/>
            <a:satOff val="0"/>
            <a:lumOff val="0"/>
            <a:alphaOff val="0"/>
          </a:sysClr>
        </a:solidFill>
        <a:ln w="25400" cap="flat" cmpd="sng" algn="ctr">
          <a:solidFill>
            <a:srgbClr val="9BBB59">
              <a:shade val="50000"/>
              <a:hueOff val="133778"/>
              <a:satOff val="-2135"/>
              <a:lumOff val="20553"/>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Gwałtowne zjawiska pogodowe</a:t>
          </a:r>
        </a:p>
      </dsp:txBody>
      <dsp:txXfrm>
        <a:off x="933447" y="2228919"/>
        <a:ext cx="908451" cy="554835"/>
      </dsp:txXfrm>
    </dsp:sp>
    <dsp:sp modelId="{E9B83AAE-7552-48CD-9DC5-8618518E0747}">
      <dsp:nvSpPr>
        <dsp:cNvPr id="0" name=""/>
        <dsp:cNvSpPr/>
      </dsp:nvSpPr>
      <dsp:spPr>
        <a:xfrm>
          <a:off x="2153840" y="1559"/>
          <a:ext cx="1178718" cy="589359"/>
        </a:xfrm>
        <a:prstGeom prst="roundRect">
          <a:avLst>
            <a:gd name="adj" fmla="val 10000"/>
          </a:avLst>
        </a:prstGeom>
        <a:solidFill>
          <a:srgbClr val="9BBB59">
            <a:shade val="50000"/>
            <a:hueOff val="178370"/>
            <a:satOff val="-2846"/>
            <a:lumOff val="27405"/>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 lastClr="FFFFFF"/>
              </a:solidFill>
              <a:latin typeface="Arial" panose="020B0604020202020204" pitchFamily="34" charset="0"/>
              <a:ea typeface="+mn-ea"/>
              <a:cs typeface="Arial" panose="020B0604020202020204" pitchFamily="34" charset="0"/>
            </a:rPr>
            <a:t>Występowanie ekstremów temperaturowych</a:t>
          </a:r>
        </a:p>
      </dsp:txBody>
      <dsp:txXfrm>
        <a:off x="2171102" y="18821"/>
        <a:ext cx="1144194" cy="554835"/>
      </dsp:txXfrm>
    </dsp:sp>
    <dsp:sp modelId="{87365CFF-158C-481C-95F1-631B16375A86}">
      <dsp:nvSpPr>
        <dsp:cNvPr id="0" name=""/>
        <dsp:cNvSpPr/>
      </dsp:nvSpPr>
      <dsp:spPr>
        <a:xfrm>
          <a:off x="2271712" y="590918"/>
          <a:ext cx="117871" cy="442019"/>
        </a:xfrm>
        <a:custGeom>
          <a:avLst/>
          <a:gdLst/>
          <a:ahLst/>
          <a:cxnLst/>
          <a:rect l="0" t="0" r="0" b="0"/>
          <a:pathLst>
            <a:path>
              <a:moveTo>
                <a:pt x="0" y="0"/>
              </a:moveTo>
              <a:lnTo>
                <a:pt x="0" y="442019"/>
              </a:lnTo>
              <a:lnTo>
                <a:pt x="117871" y="442019"/>
              </a:lnTo>
            </a:path>
          </a:pathLst>
        </a:custGeom>
        <a:noFill/>
        <a:ln w="25400" cap="flat" cmpd="sng" algn="ctr">
          <a:solidFill>
            <a:srgbClr val="9BBB59">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1107FC7-DF75-4E3E-9A85-06989CBAF9A5}">
      <dsp:nvSpPr>
        <dsp:cNvPr id="0" name=""/>
        <dsp:cNvSpPr/>
      </dsp:nvSpPr>
      <dsp:spPr>
        <a:xfrm>
          <a:off x="2389584" y="738258"/>
          <a:ext cx="942975" cy="589359"/>
        </a:xfrm>
        <a:prstGeom prst="roundRect">
          <a:avLst>
            <a:gd name="adj" fmla="val 10000"/>
          </a:avLst>
        </a:prstGeom>
        <a:solidFill>
          <a:sysClr val="window" lastClr="FFFFFF">
            <a:alpha val="90000"/>
            <a:hueOff val="0"/>
            <a:satOff val="0"/>
            <a:lumOff val="0"/>
            <a:alphaOff val="0"/>
          </a:sysClr>
        </a:solidFill>
        <a:ln w="25400" cap="flat" cmpd="sng" algn="ctr">
          <a:solidFill>
            <a:srgbClr val="9BBB59">
              <a:shade val="50000"/>
              <a:hueOff val="200666"/>
              <a:satOff val="-3202"/>
              <a:lumOff val="3083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Miejska wyspa ciepła</a:t>
          </a:r>
        </a:p>
      </dsp:txBody>
      <dsp:txXfrm>
        <a:off x="2406846" y="755520"/>
        <a:ext cx="908451" cy="554835"/>
      </dsp:txXfrm>
    </dsp:sp>
    <dsp:sp modelId="{4C62B369-11E5-4EE2-A2FA-1DC5B417291C}">
      <dsp:nvSpPr>
        <dsp:cNvPr id="0" name=""/>
        <dsp:cNvSpPr/>
      </dsp:nvSpPr>
      <dsp:spPr>
        <a:xfrm>
          <a:off x="2271712" y="590918"/>
          <a:ext cx="117871" cy="1178718"/>
        </a:xfrm>
        <a:custGeom>
          <a:avLst/>
          <a:gdLst/>
          <a:ahLst/>
          <a:cxnLst/>
          <a:rect l="0" t="0" r="0" b="0"/>
          <a:pathLst>
            <a:path>
              <a:moveTo>
                <a:pt x="0" y="0"/>
              </a:moveTo>
              <a:lnTo>
                <a:pt x="0" y="1178718"/>
              </a:lnTo>
              <a:lnTo>
                <a:pt x="117871" y="1178718"/>
              </a:lnTo>
            </a:path>
          </a:pathLst>
        </a:custGeom>
        <a:noFill/>
        <a:ln w="25400" cap="flat" cmpd="sng" algn="ctr">
          <a:solidFill>
            <a:srgbClr val="9BBB59">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0C05C6B8-117C-4C4E-A8A5-BC10E31D7881}">
      <dsp:nvSpPr>
        <dsp:cNvPr id="0" name=""/>
        <dsp:cNvSpPr/>
      </dsp:nvSpPr>
      <dsp:spPr>
        <a:xfrm>
          <a:off x="2389584" y="1474957"/>
          <a:ext cx="942975" cy="589359"/>
        </a:xfrm>
        <a:prstGeom prst="roundRect">
          <a:avLst>
            <a:gd name="adj" fmla="val 10000"/>
          </a:avLst>
        </a:prstGeom>
        <a:solidFill>
          <a:sysClr val="window" lastClr="FFFFFF">
            <a:alpha val="90000"/>
            <a:hueOff val="0"/>
            <a:satOff val="0"/>
            <a:lumOff val="0"/>
            <a:alphaOff val="0"/>
          </a:sysClr>
        </a:solidFill>
        <a:ln w="25400" cap="flat" cmpd="sng" algn="ctr">
          <a:solidFill>
            <a:srgbClr val="9BBB59">
              <a:shade val="50000"/>
              <a:hueOff val="267555"/>
              <a:satOff val="-4269"/>
              <a:lumOff val="41107"/>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Inwersje termiczne</a:t>
          </a:r>
        </a:p>
      </dsp:txBody>
      <dsp:txXfrm>
        <a:off x="2406846" y="1492219"/>
        <a:ext cx="908451" cy="554835"/>
      </dsp:txXfrm>
    </dsp:sp>
    <dsp:sp modelId="{5273293F-13CF-4BB3-B0D0-098315634551}">
      <dsp:nvSpPr>
        <dsp:cNvPr id="0" name=""/>
        <dsp:cNvSpPr/>
      </dsp:nvSpPr>
      <dsp:spPr>
        <a:xfrm>
          <a:off x="2271712" y="590918"/>
          <a:ext cx="117871" cy="1915417"/>
        </a:xfrm>
        <a:custGeom>
          <a:avLst/>
          <a:gdLst/>
          <a:ahLst/>
          <a:cxnLst/>
          <a:rect l="0" t="0" r="0" b="0"/>
          <a:pathLst>
            <a:path>
              <a:moveTo>
                <a:pt x="0" y="0"/>
              </a:moveTo>
              <a:lnTo>
                <a:pt x="0" y="1915417"/>
              </a:lnTo>
              <a:lnTo>
                <a:pt x="117871" y="1915417"/>
              </a:lnTo>
            </a:path>
          </a:pathLst>
        </a:custGeom>
        <a:noFill/>
        <a:ln w="25400" cap="flat" cmpd="sng" algn="ctr">
          <a:solidFill>
            <a:srgbClr val="9BBB59">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C7B88644-B09D-4FBF-9607-D2B7C6358904}">
      <dsp:nvSpPr>
        <dsp:cNvPr id="0" name=""/>
        <dsp:cNvSpPr/>
      </dsp:nvSpPr>
      <dsp:spPr>
        <a:xfrm>
          <a:off x="2389584" y="2211657"/>
          <a:ext cx="942975" cy="589359"/>
        </a:xfrm>
        <a:prstGeom prst="roundRect">
          <a:avLst>
            <a:gd name="adj" fmla="val 10000"/>
          </a:avLst>
        </a:prstGeom>
        <a:solidFill>
          <a:sysClr val="window" lastClr="FFFFFF">
            <a:alpha val="90000"/>
            <a:hueOff val="0"/>
            <a:satOff val="0"/>
            <a:lumOff val="0"/>
            <a:alphaOff val="0"/>
          </a:sysClr>
        </a:solidFill>
        <a:ln w="25400" cap="flat" cmpd="sng" algn="ctr">
          <a:solidFill>
            <a:srgbClr val="9BBB59">
              <a:shade val="50000"/>
              <a:hueOff val="200666"/>
              <a:satOff val="-3202"/>
              <a:lumOff val="3083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Smog (kwaśny i fotochemiczny)</a:t>
          </a:r>
        </a:p>
      </dsp:txBody>
      <dsp:txXfrm>
        <a:off x="2406846" y="2228919"/>
        <a:ext cx="908451" cy="554835"/>
      </dsp:txXfrm>
    </dsp:sp>
    <dsp:sp modelId="{F01F0F85-3E6D-4EBA-865E-103EE33963D0}">
      <dsp:nvSpPr>
        <dsp:cNvPr id="0" name=""/>
        <dsp:cNvSpPr/>
      </dsp:nvSpPr>
      <dsp:spPr>
        <a:xfrm>
          <a:off x="3627239" y="1559"/>
          <a:ext cx="1178718" cy="589359"/>
        </a:xfrm>
        <a:prstGeom prst="roundRect">
          <a:avLst>
            <a:gd name="adj" fmla="val 10000"/>
          </a:avLst>
        </a:prstGeom>
        <a:solidFill>
          <a:srgbClr val="9BBB59">
            <a:shade val="50000"/>
            <a:hueOff val="178370"/>
            <a:satOff val="-2846"/>
            <a:lumOff val="27405"/>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pl-PL" sz="1000" b="1" kern="1200">
              <a:solidFill>
                <a:sysClr val="window" lastClr="FFFFFF"/>
              </a:solidFill>
              <a:latin typeface="Arial" panose="020B0604020202020204" pitchFamily="34" charset="0"/>
              <a:ea typeface="+mn-ea"/>
              <a:cs typeface="Arial" panose="020B0604020202020204" pitchFamily="34" charset="0"/>
            </a:rPr>
            <a:t>Zaburzenia cyrkulacji powietrza w mieście</a:t>
          </a:r>
        </a:p>
      </dsp:txBody>
      <dsp:txXfrm>
        <a:off x="3644501" y="18821"/>
        <a:ext cx="1144194" cy="554835"/>
      </dsp:txXfrm>
    </dsp:sp>
    <dsp:sp modelId="{9E9557A0-ACDE-4CB1-9AEE-E4CDBC590A6F}">
      <dsp:nvSpPr>
        <dsp:cNvPr id="0" name=""/>
        <dsp:cNvSpPr/>
      </dsp:nvSpPr>
      <dsp:spPr>
        <a:xfrm>
          <a:off x="3745110" y="590918"/>
          <a:ext cx="117871" cy="442019"/>
        </a:xfrm>
        <a:custGeom>
          <a:avLst/>
          <a:gdLst/>
          <a:ahLst/>
          <a:cxnLst/>
          <a:rect l="0" t="0" r="0" b="0"/>
          <a:pathLst>
            <a:path>
              <a:moveTo>
                <a:pt x="0" y="0"/>
              </a:moveTo>
              <a:lnTo>
                <a:pt x="0" y="442019"/>
              </a:lnTo>
              <a:lnTo>
                <a:pt x="117871" y="442019"/>
              </a:lnTo>
            </a:path>
          </a:pathLst>
        </a:custGeom>
        <a:noFill/>
        <a:ln w="25400" cap="flat" cmpd="sng" algn="ctr">
          <a:solidFill>
            <a:srgbClr val="9BBB59">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64F3D66D-0D3B-4750-BB3F-B71DF2C96678}">
      <dsp:nvSpPr>
        <dsp:cNvPr id="0" name=""/>
        <dsp:cNvSpPr/>
      </dsp:nvSpPr>
      <dsp:spPr>
        <a:xfrm>
          <a:off x="3862982" y="738258"/>
          <a:ext cx="942975" cy="589359"/>
        </a:xfrm>
        <a:prstGeom prst="roundRect">
          <a:avLst>
            <a:gd name="adj" fmla="val 10000"/>
          </a:avLst>
        </a:prstGeom>
        <a:solidFill>
          <a:sysClr val="window" lastClr="FFFFFF">
            <a:alpha val="90000"/>
            <a:hueOff val="0"/>
            <a:satOff val="0"/>
            <a:lumOff val="0"/>
            <a:alphaOff val="0"/>
          </a:sysClr>
        </a:solidFill>
        <a:ln w="25400" cap="flat" cmpd="sng" algn="ctr">
          <a:solidFill>
            <a:srgbClr val="9BBB59">
              <a:shade val="50000"/>
              <a:hueOff val="133778"/>
              <a:satOff val="-2135"/>
              <a:lumOff val="20553"/>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Brak lub ograniczone przewietrzanie</a:t>
          </a:r>
        </a:p>
      </dsp:txBody>
      <dsp:txXfrm>
        <a:off x="3880244" y="755520"/>
        <a:ext cx="908451" cy="554835"/>
      </dsp:txXfrm>
    </dsp:sp>
    <dsp:sp modelId="{D3B10C91-C8A3-4951-99B8-560AC0BDB348}">
      <dsp:nvSpPr>
        <dsp:cNvPr id="0" name=""/>
        <dsp:cNvSpPr/>
      </dsp:nvSpPr>
      <dsp:spPr>
        <a:xfrm>
          <a:off x="3745110" y="590918"/>
          <a:ext cx="117871" cy="1178718"/>
        </a:xfrm>
        <a:custGeom>
          <a:avLst/>
          <a:gdLst/>
          <a:ahLst/>
          <a:cxnLst/>
          <a:rect l="0" t="0" r="0" b="0"/>
          <a:pathLst>
            <a:path>
              <a:moveTo>
                <a:pt x="0" y="0"/>
              </a:moveTo>
              <a:lnTo>
                <a:pt x="0" y="1178718"/>
              </a:lnTo>
              <a:lnTo>
                <a:pt x="117871" y="1178718"/>
              </a:lnTo>
            </a:path>
          </a:pathLst>
        </a:custGeom>
        <a:noFill/>
        <a:ln w="25400" cap="flat" cmpd="sng" algn="ctr">
          <a:solidFill>
            <a:srgbClr val="9BBB59">
              <a:tint val="9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B9877270-A0AE-41F1-BA5B-E703105C3933}">
      <dsp:nvSpPr>
        <dsp:cNvPr id="0" name=""/>
        <dsp:cNvSpPr/>
      </dsp:nvSpPr>
      <dsp:spPr>
        <a:xfrm>
          <a:off x="3862982" y="1474957"/>
          <a:ext cx="942975" cy="589359"/>
        </a:xfrm>
        <a:prstGeom prst="roundRect">
          <a:avLst>
            <a:gd name="adj" fmla="val 10000"/>
          </a:avLst>
        </a:prstGeom>
        <a:solidFill>
          <a:sysClr val="window" lastClr="FFFFFF">
            <a:alpha val="90000"/>
            <a:hueOff val="0"/>
            <a:satOff val="0"/>
            <a:lumOff val="0"/>
            <a:alphaOff val="0"/>
          </a:sysClr>
        </a:solidFill>
        <a:ln w="25400" cap="flat" cmpd="sng" algn="ctr">
          <a:solidFill>
            <a:srgbClr val="9BBB59">
              <a:shade val="50000"/>
              <a:hueOff val="66889"/>
              <a:satOff val="-1067"/>
              <a:lumOff val="10277"/>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Kaniony miejskie</a:t>
          </a:r>
        </a:p>
      </dsp:txBody>
      <dsp:txXfrm>
        <a:off x="3880244" y="1492219"/>
        <a:ext cx="908451" cy="554835"/>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58607F-BF65-4678-8419-A05362CD9B26}">
      <dsp:nvSpPr>
        <dsp:cNvPr id="0" name=""/>
        <dsp:cNvSpPr/>
      </dsp:nvSpPr>
      <dsp:spPr>
        <a:xfrm>
          <a:off x="0" y="360652"/>
          <a:ext cx="5486400" cy="15309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5806" tIns="374904" rIns="425806" bIns="78232" numCol="1" spcCol="1270" anchor="t" anchorCtr="0">
          <a:noAutofit/>
        </a:bodyPr>
        <a:lstStyle/>
        <a:p>
          <a:pPr marL="57150" lvl="1" indent="-57150" algn="l" defTabSz="488950">
            <a:lnSpc>
              <a:spcPct val="90000"/>
            </a:lnSpc>
            <a:spcBef>
              <a:spcPct val="0"/>
            </a:spcBef>
            <a:spcAft>
              <a:spcPct val="15000"/>
            </a:spcAft>
            <a:buChar char="•"/>
          </a:pPr>
          <a:r>
            <a:rPr lang="pl-PL" sz="1100" kern="1200"/>
            <a:t>działania wspierające, podnoszące świadomość społeczną, mające na celu propagowanie dobrych praktyk pozwalających uodpornić miasto i jego mieszkańców poprzez edukację i zintensyfikowane działania informacyjne. Jako kluczowe w tej kategorii zidentyfikowano działanie związane z kształtowaniem świadomości o zagrożeniach klimatycznych i edukację ekologiczną na rzecz zrównoważonego rozwoju oraz działania z zakresu informowania i ostrzegania o zagrożeniach związanych ze zmianami klimatu.</a:t>
          </a:r>
        </a:p>
      </dsp:txBody>
      <dsp:txXfrm>
        <a:off x="0" y="360652"/>
        <a:ext cx="5486400" cy="1530900"/>
      </dsp:txXfrm>
    </dsp:sp>
    <dsp:sp modelId="{9E2D45F4-15B1-426B-9936-5D8CED6F44BC}">
      <dsp:nvSpPr>
        <dsp:cNvPr id="0" name=""/>
        <dsp:cNvSpPr/>
      </dsp:nvSpPr>
      <dsp:spPr>
        <a:xfrm>
          <a:off x="274320" y="94972"/>
          <a:ext cx="3840480" cy="531360"/>
        </a:xfrm>
        <a:prstGeom prst="roundRect">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45161" tIns="0" rIns="145161" bIns="0" numCol="1" spcCol="1270" anchor="ctr" anchorCtr="0">
          <a:noAutofit/>
        </a:bodyPr>
        <a:lstStyle/>
        <a:p>
          <a:pPr marL="0" lvl="0" indent="0" algn="l" defTabSz="800100">
            <a:lnSpc>
              <a:spcPct val="90000"/>
            </a:lnSpc>
            <a:spcBef>
              <a:spcPct val="0"/>
            </a:spcBef>
            <a:spcAft>
              <a:spcPct val="35000"/>
            </a:spcAft>
            <a:buNone/>
          </a:pPr>
          <a:r>
            <a:rPr lang="pl-PL" sz="1800" b="1" kern="1200"/>
            <a:t>Działania informacyjno-edukacyjne</a:t>
          </a:r>
          <a:r>
            <a:rPr lang="pl-PL" sz="1800" kern="1200"/>
            <a:t> </a:t>
          </a:r>
        </a:p>
      </dsp:txBody>
      <dsp:txXfrm>
        <a:off x="300259" y="120911"/>
        <a:ext cx="3788602" cy="479482"/>
      </dsp:txXfrm>
    </dsp:sp>
    <dsp:sp modelId="{42B85487-C0FE-4780-AFEB-D2EF16582334}">
      <dsp:nvSpPr>
        <dsp:cNvPr id="0" name=""/>
        <dsp:cNvSpPr/>
      </dsp:nvSpPr>
      <dsp:spPr>
        <a:xfrm>
          <a:off x="0" y="2254432"/>
          <a:ext cx="5486400" cy="12474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5806" tIns="374904" rIns="425806" bIns="78232" numCol="1" spcCol="1270" anchor="t" anchorCtr="0">
          <a:noAutofit/>
        </a:bodyPr>
        <a:lstStyle/>
        <a:p>
          <a:pPr marL="57150" lvl="1" indent="-57150" algn="l" defTabSz="488950">
            <a:lnSpc>
              <a:spcPct val="90000"/>
            </a:lnSpc>
            <a:spcBef>
              <a:spcPct val="0"/>
            </a:spcBef>
            <a:spcAft>
              <a:spcPct val="15000"/>
            </a:spcAft>
            <a:buChar char="•"/>
          </a:pPr>
          <a:r>
            <a:rPr lang="pl-PL" sz="1100" kern="1200"/>
            <a:t>polegające na aktualizacji dokumentów strategicznych planistycznych obwiązujących w mieście, wdrażaniu nowych procedur oraz nawiązywaniu współpracy pomiędzy podmiotami odpowiedzialnymi za adaptację do zmian klimatu, zmiany prawa miejscowego czy stworzenie wytycznych postępowania w sytuacjach wystąpienia zagrożeń klimatycznych.</a:t>
          </a:r>
        </a:p>
      </dsp:txBody>
      <dsp:txXfrm>
        <a:off x="0" y="2254432"/>
        <a:ext cx="5486400" cy="1247400"/>
      </dsp:txXfrm>
    </dsp:sp>
    <dsp:sp modelId="{B42AFD30-E46C-4ECE-9557-C2D8CB475930}">
      <dsp:nvSpPr>
        <dsp:cNvPr id="0" name=""/>
        <dsp:cNvSpPr/>
      </dsp:nvSpPr>
      <dsp:spPr>
        <a:xfrm>
          <a:off x="274320" y="1988752"/>
          <a:ext cx="3840480" cy="531360"/>
        </a:xfrm>
        <a:prstGeom prst="roundRect">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45161" tIns="0" rIns="145161" bIns="0" numCol="1" spcCol="1270" anchor="ctr" anchorCtr="0">
          <a:noAutofit/>
        </a:bodyPr>
        <a:lstStyle/>
        <a:p>
          <a:pPr marL="0" lvl="0" indent="0" algn="l" defTabSz="800100">
            <a:lnSpc>
              <a:spcPct val="90000"/>
            </a:lnSpc>
            <a:spcBef>
              <a:spcPct val="0"/>
            </a:spcBef>
            <a:spcAft>
              <a:spcPct val="35000"/>
            </a:spcAft>
            <a:buNone/>
          </a:pPr>
          <a:r>
            <a:rPr lang="pl-PL" sz="1800" b="1" kern="1200"/>
            <a:t>Działania organizacyjne</a:t>
          </a:r>
          <a:r>
            <a:rPr lang="pl-PL" sz="1800" kern="1200"/>
            <a:t> </a:t>
          </a:r>
        </a:p>
      </dsp:txBody>
      <dsp:txXfrm>
        <a:off x="300259" y="2014691"/>
        <a:ext cx="3788602" cy="479482"/>
      </dsp:txXfrm>
    </dsp:sp>
    <dsp:sp modelId="{F85AFFEB-97D3-40E5-8950-36BFBB0C09F5}">
      <dsp:nvSpPr>
        <dsp:cNvPr id="0" name=""/>
        <dsp:cNvSpPr/>
      </dsp:nvSpPr>
      <dsp:spPr>
        <a:xfrm>
          <a:off x="0" y="3864712"/>
          <a:ext cx="5486400" cy="1871100"/>
        </a:xfrm>
        <a:prstGeom prst="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25806" tIns="374904" rIns="425806" bIns="78232" numCol="1" spcCol="1270" anchor="t" anchorCtr="0">
          <a:noAutofit/>
        </a:bodyPr>
        <a:lstStyle/>
        <a:p>
          <a:pPr marL="57150" lvl="1" indent="-57150" algn="l" defTabSz="488950">
            <a:lnSpc>
              <a:spcPct val="90000"/>
            </a:lnSpc>
            <a:spcBef>
              <a:spcPct val="0"/>
            </a:spcBef>
            <a:spcAft>
              <a:spcPct val="15000"/>
            </a:spcAft>
            <a:buChar char="•"/>
          </a:pPr>
          <a:r>
            <a:rPr lang="pl-PL" sz="1100" kern="1200"/>
            <a:t>działania o charakterze inwestycyjnym obejmujące budowę nowej lub modernizację istniejącej infrastruktury. Do kluczowych działań technicznych, które pozwolą miastu uzyskać odporność miasta na zagrożenia związane ze zmianami klimatu, zaliczono przedsięwzięcia polegające na inwestycjach w infrastrukturę i środowisko, takich jak: sieć wodociągowa, sieć kanalizacyjna, wały przeciwpowodziowe, drogi, termomodernizacja budynków i obiektów, OZE, tereny zielone, działania związane z budową i rozwojem systemu gospodarowania wodami opadowymi oraz błękitnej i zielonej infrastruktury, rozwój terenów zielonych, działania rewitalizacyjne.</a:t>
          </a:r>
        </a:p>
      </dsp:txBody>
      <dsp:txXfrm>
        <a:off x="0" y="3864712"/>
        <a:ext cx="5486400" cy="1871100"/>
      </dsp:txXfrm>
    </dsp:sp>
    <dsp:sp modelId="{4FB1E9EC-7F97-4926-B75A-A08C93A63BE7}">
      <dsp:nvSpPr>
        <dsp:cNvPr id="0" name=""/>
        <dsp:cNvSpPr/>
      </dsp:nvSpPr>
      <dsp:spPr>
        <a:xfrm>
          <a:off x="274320" y="3599032"/>
          <a:ext cx="3840480" cy="531360"/>
        </a:xfrm>
        <a:prstGeom prst="roundRect">
          <a:avLst/>
        </a:prstGeom>
        <a:solidFill>
          <a:schemeClr val="accent1">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45161" tIns="0" rIns="145161" bIns="0" numCol="1" spcCol="1270" anchor="ctr" anchorCtr="0">
          <a:noAutofit/>
        </a:bodyPr>
        <a:lstStyle/>
        <a:p>
          <a:pPr marL="0" lvl="0" indent="0" algn="l" defTabSz="800100">
            <a:lnSpc>
              <a:spcPct val="90000"/>
            </a:lnSpc>
            <a:spcBef>
              <a:spcPct val="0"/>
            </a:spcBef>
            <a:spcAft>
              <a:spcPct val="35000"/>
            </a:spcAft>
            <a:buNone/>
          </a:pPr>
          <a:r>
            <a:rPr lang="pl-PL" sz="1800" b="1" kern="1200"/>
            <a:t>Działania techniczne</a:t>
          </a:r>
          <a:r>
            <a:rPr lang="pl-PL" sz="1800" kern="1200"/>
            <a:t> </a:t>
          </a:r>
        </a:p>
      </dsp:txBody>
      <dsp:txXfrm>
        <a:off x="300259" y="3624971"/>
        <a:ext cx="3788602" cy="479482"/>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4A1EE49-067D-40E7-95DE-24B242CC76B9}">
      <dsp:nvSpPr>
        <dsp:cNvPr id="0" name=""/>
        <dsp:cNvSpPr/>
      </dsp:nvSpPr>
      <dsp:spPr>
        <a:xfrm>
          <a:off x="1638098" y="0"/>
          <a:ext cx="1279113" cy="1279308"/>
        </a:xfrm>
        <a:prstGeom prst="circularArrow">
          <a:avLst>
            <a:gd name="adj1" fmla="val 10980"/>
            <a:gd name="adj2" fmla="val 1142322"/>
            <a:gd name="adj3" fmla="val 4500000"/>
            <a:gd name="adj4" fmla="val 10800000"/>
            <a:gd name="adj5" fmla="val 12500"/>
          </a:avLst>
        </a:prstGeom>
        <a:solidFill>
          <a:srgbClr val="029676">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BB07432B-EB6A-4DB8-825B-BC12676163D9}">
      <dsp:nvSpPr>
        <dsp:cNvPr id="0" name=""/>
        <dsp:cNvSpPr/>
      </dsp:nvSpPr>
      <dsp:spPr>
        <a:xfrm>
          <a:off x="2876500" y="273697"/>
          <a:ext cx="2351967" cy="7977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57150" lvl="1" indent="-57150" algn="l" defTabSz="444500">
            <a:lnSpc>
              <a:spcPct val="90000"/>
            </a:lnSpc>
            <a:spcBef>
              <a:spcPct val="0"/>
            </a:spcBef>
            <a:spcAft>
              <a:spcPct val="15000"/>
            </a:spcAft>
            <a:buChar char="•"/>
          </a:pPr>
          <a:r>
            <a:rPr lang="pl-PL" sz="1000" kern="1200" dirty="0">
              <a:solidFill>
                <a:sysClr val="windowText" lastClr="000000">
                  <a:hueOff val="0"/>
                  <a:satOff val="0"/>
                  <a:lumOff val="0"/>
                  <a:alphaOff val="0"/>
                </a:sysClr>
              </a:solidFill>
              <a:latin typeface="+mn-lt"/>
              <a:ea typeface="+mn-ea"/>
              <a:cs typeface="Arial" pitchFamily="34" charset="0"/>
            </a:rPr>
            <a:t>Zwiększenie udziału odnawialnych źródeł energii (OZE) i podniesienie efektywności energetycznej</a:t>
          </a:r>
          <a:endParaRPr lang="en-GB" sz="1000" kern="1200">
            <a:solidFill>
              <a:sysClr val="windowText" lastClr="000000">
                <a:hueOff val="0"/>
                <a:satOff val="0"/>
                <a:lumOff val="0"/>
                <a:alphaOff val="0"/>
              </a:sysClr>
            </a:solidFill>
            <a:latin typeface="+mn-lt"/>
            <a:ea typeface="+mn-ea"/>
            <a:cs typeface="Arial" panose="020B0604020202020204" pitchFamily="34" charset="0"/>
          </a:endParaRPr>
        </a:p>
      </dsp:txBody>
      <dsp:txXfrm>
        <a:off x="2876500" y="273697"/>
        <a:ext cx="2351967" cy="797763"/>
      </dsp:txXfrm>
    </dsp:sp>
    <dsp:sp modelId="{D4D25F8E-76F8-4342-A0C6-2FCADCA7CA56}">
      <dsp:nvSpPr>
        <dsp:cNvPr id="0" name=""/>
        <dsp:cNvSpPr/>
      </dsp:nvSpPr>
      <dsp:spPr>
        <a:xfrm>
          <a:off x="1920824" y="461869"/>
          <a:ext cx="710778" cy="3553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hueOff val="0"/>
                  <a:satOff val="0"/>
                  <a:lumOff val="0"/>
                  <a:alphaOff val="0"/>
                </a:sysClr>
              </a:solidFill>
              <a:latin typeface="+mn-lt"/>
              <a:ea typeface="+mn-ea"/>
              <a:cs typeface="Arial" panose="020B0604020202020204" pitchFamily="34" charset="0"/>
            </a:rPr>
            <a:t>OZE, </a:t>
          </a:r>
          <a:r>
            <a:rPr lang="pl-PL" sz="1000" kern="1200">
              <a:solidFill>
                <a:sysClr val="windowText" lastClr="000000">
                  <a:hueOff val="0"/>
                  <a:satOff val="0"/>
                  <a:lumOff val="0"/>
                  <a:alphaOff val="0"/>
                </a:sysClr>
              </a:solidFill>
              <a:latin typeface="+mn-lt"/>
              <a:ea typeface="+mn-ea"/>
              <a:cs typeface="+mn-cs"/>
            </a:rPr>
            <a:t>efektywność</a:t>
          </a:r>
          <a:r>
            <a:rPr lang="pl-PL" sz="1000" kern="1200">
              <a:solidFill>
                <a:sysClr val="windowText" lastClr="000000">
                  <a:hueOff val="0"/>
                  <a:satOff val="0"/>
                  <a:lumOff val="0"/>
                  <a:alphaOff val="0"/>
                </a:sysClr>
              </a:solidFill>
              <a:latin typeface="+mn-lt"/>
              <a:ea typeface="+mn-ea"/>
              <a:cs typeface="Arial" panose="020B0604020202020204" pitchFamily="34" charset="0"/>
            </a:rPr>
            <a:t> energetyczna</a:t>
          </a:r>
          <a:endParaRPr lang="en-GB" sz="1000" kern="1200">
            <a:solidFill>
              <a:sysClr val="windowText" lastClr="000000">
                <a:hueOff val="0"/>
                <a:satOff val="0"/>
                <a:lumOff val="0"/>
                <a:alphaOff val="0"/>
              </a:sysClr>
            </a:solidFill>
            <a:latin typeface="+mn-lt"/>
            <a:ea typeface="+mn-ea"/>
            <a:cs typeface="Arial" panose="020B0604020202020204" pitchFamily="34" charset="0"/>
          </a:endParaRPr>
        </a:p>
      </dsp:txBody>
      <dsp:txXfrm>
        <a:off x="1920824" y="461869"/>
        <a:ext cx="710778" cy="355304"/>
      </dsp:txXfrm>
    </dsp:sp>
    <dsp:sp modelId="{6C3C1B3A-2568-41C1-A6ED-2893F5DCA43A}">
      <dsp:nvSpPr>
        <dsp:cNvPr id="0" name=""/>
        <dsp:cNvSpPr/>
      </dsp:nvSpPr>
      <dsp:spPr>
        <a:xfrm>
          <a:off x="1251196" y="727151"/>
          <a:ext cx="1279113" cy="1279308"/>
        </a:xfrm>
        <a:prstGeom prst="leftCircularArrow">
          <a:avLst>
            <a:gd name="adj1" fmla="val 10980"/>
            <a:gd name="adj2" fmla="val 1142322"/>
            <a:gd name="adj3" fmla="val 6300000"/>
            <a:gd name="adj4" fmla="val 18900000"/>
            <a:gd name="adj5" fmla="val 12500"/>
          </a:avLst>
        </a:prstGeom>
        <a:solidFill>
          <a:srgbClr val="029676">
            <a:hueOff val="610539"/>
            <a:satOff val="-23261"/>
            <a:lumOff val="11568"/>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90CF7704-D109-41F3-AA0D-E74A4C9B14F8}">
      <dsp:nvSpPr>
        <dsp:cNvPr id="0" name=""/>
        <dsp:cNvSpPr/>
      </dsp:nvSpPr>
      <dsp:spPr>
        <a:xfrm>
          <a:off x="2428653" y="1022693"/>
          <a:ext cx="2552607" cy="7077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57150" lvl="1" indent="-57150" algn="l" defTabSz="444500">
            <a:lnSpc>
              <a:spcPct val="90000"/>
            </a:lnSpc>
            <a:spcBef>
              <a:spcPct val="0"/>
            </a:spcBef>
            <a:spcAft>
              <a:spcPct val="15000"/>
            </a:spcAft>
            <a:buChar char="•"/>
          </a:pPr>
          <a:r>
            <a:rPr lang="pl-PL" sz="1000" kern="1200" dirty="0">
              <a:solidFill>
                <a:sysClr val="windowText" lastClr="000000">
                  <a:hueOff val="0"/>
                  <a:satOff val="0"/>
                  <a:lumOff val="0"/>
                  <a:alphaOff val="0"/>
                </a:sysClr>
              </a:solidFill>
              <a:latin typeface="+mn-lt"/>
              <a:ea typeface="+mn-ea"/>
              <a:cs typeface="Arial" pitchFamily="34" charset="0"/>
            </a:rPr>
            <a:t>Metody sekwestracji (wychwytywania i bezpiecznego składowania dwutlenku węgla)</a:t>
          </a:r>
          <a:endParaRPr lang="en-GB" sz="1000" kern="1200">
            <a:solidFill>
              <a:sysClr val="windowText" lastClr="000000">
                <a:hueOff val="0"/>
                <a:satOff val="0"/>
                <a:lumOff val="0"/>
                <a:alphaOff val="0"/>
              </a:sysClr>
            </a:solidFill>
            <a:latin typeface="+mn-lt"/>
            <a:ea typeface="+mn-ea"/>
            <a:cs typeface="Arial" panose="020B0604020202020204" pitchFamily="34" charset="0"/>
          </a:endParaRPr>
        </a:p>
      </dsp:txBody>
      <dsp:txXfrm>
        <a:off x="2428653" y="1022693"/>
        <a:ext cx="2552607" cy="707758"/>
      </dsp:txXfrm>
    </dsp:sp>
    <dsp:sp modelId="{798961AD-16FF-489A-A3A4-5F3C58A385A6}">
      <dsp:nvSpPr>
        <dsp:cNvPr id="0" name=""/>
        <dsp:cNvSpPr/>
      </dsp:nvSpPr>
      <dsp:spPr>
        <a:xfrm>
          <a:off x="1566996" y="1201178"/>
          <a:ext cx="710778" cy="3553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hueOff val="0"/>
                  <a:satOff val="0"/>
                  <a:lumOff val="0"/>
                  <a:alphaOff val="0"/>
                </a:sysClr>
              </a:solidFill>
              <a:latin typeface="+mn-lt"/>
              <a:ea typeface="+mn-ea"/>
              <a:cs typeface="Arial" panose="020B0604020202020204" pitchFamily="34" charset="0"/>
            </a:rPr>
            <a:t>Sekwestracja CO</a:t>
          </a:r>
          <a:r>
            <a:rPr lang="pl-PL" sz="1000" kern="1200" baseline="-25000">
              <a:solidFill>
                <a:sysClr val="windowText" lastClr="000000">
                  <a:hueOff val="0"/>
                  <a:satOff val="0"/>
                  <a:lumOff val="0"/>
                  <a:alphaOff val="0"/>
                </a:sysClr>
              </a:solidFill>
              <a:latin typeface="+mn-lt"/>
              <a:ea typeface="+mn-ea"/>
              <a:cs typeface="Arial" panose="020B0604020202020204" pitchFamily="34" charset="0"/>
            </a:rPr>
            <a:t>2</a:t>
          </a:r>
          <a:endParaRPr lang="en-GB" sz="1000" kern="1200">
            <a:solidFill>
              <a:sysClr val="windowText" lastClr="000000">
                <a:hueOff val="0"/>
                <a:satOff val="0"/>
                <a:lumOff val="0"/>
                <a:alphaOff val="0"/>
              </a:sysClr>
            </a:solidFill>
            <a:latin typeface="+mn-lt"/>
            <a:ea typeface="+mn-ea"/>
            <a:cs typeface="Arial" panose="020B0604020202020204" pitchFamily="34" charset="0"/>
          </a:endParaRPr>
        </a:p>
      </dsp:txBody>
      <dsp:txXfrm>
        <a:off x="1566996" y="1201178"/>
        <a:ext cx="710778" cy="355304"/>
      </dsp:txXfrm>
    </dsp:sp>
    <dsp:sp modelId="{5B5CB89D-72A0-4ECE-8B06-FF43AE971D81}">
      <dsp:nvSpPr>
        <dsp:cNvPr id="0" name=""/>
        <dsp:cNvSpPr/>
      </dsp:nvSpPr>
      <dsp:spPr>
        <a:xfrm>
          <a:off x="1729137" y="1558077"/>
          <a:ext cx="1098956" cy="1099397"/>
        </a:xfrm>
        <a:prstGeom prst="blockArc">
          <a:avLst>
            <a:gd name="adj1" fmla="val 13500000"/>
            <a:gd name="adj2" fmla="val 10800000"/>
            <a:gd name="adj3" fmla="val 12740"/>
          </a:avLst>
        </a:prstGeom>
        <a:solidFill>
          <a:srgbClr val="029676">
            <a:hueOff val="1221077"/>
            <a:satOff val="-46523"/>
            <a:lumOff val="23135"/>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sp>
    <dsp:sp modelId="{27AFE551-E2BD-44AC-8A87-506B411FF8AB}">
      <dsp:nvSpPr>
        <dsp:cNvPr id="0" name=""/>
        <dsp:cNvSpPr/>
      </dsp:nvSpPr>
      <dsp:spPr>
        <a:xfrm>
          <a:off x="2894225" y="1644384"/>
          <a:ext cx="2348568" cy="101309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57150" lvl="1" indent="-57150" algn="l" defTabSz="444500">
            <a:lnSpc>
              <a:spcPct val="90000"/>
            </a:lnSpc>
            <a:spcBef>
              <a:spcPct val="0"/>
            </a:spcBef>
            <a:spcAft>
              <a:spcPct val="15000"/>
            </a:spcAft>
            <a:buChar char="•"/>
          </a:pPr>
          <a:r>
            <a:rPr lang="pl-PL" sz="1000" kern="1200" dirty="0">
              <a:solidFill>
                <a:sysClr val="windowText" lastClr="000000">
                  <a:hueOff val="0"/>
                  <a:satOff val="0"/>
                  <a:lumOff val="0"/>
                  <a:alphaOff val="0"/>
                </a:sysClr>
              </a:solidFill>
              <a:latin typeface="+mn-lt"/>
              <a:ea typeface="+mn-ea"/>
              <a:cs typeface="Arial" pitchFamily="34" charset="0"/>
            </a:rPr>
            <a:t>Ochrona ekosystemów, bioróżnorodności biologicznej - min. zwiększenie pochłaniania gazów cieplarnianych przez ekosystemy</a:t>
          </a:r>
          <a:endParaRPr lang="en-GB" sz="1000" kern="1200">
            <a:solidFill>
              <a:sysClr val="windowText" lastClr="000000">
                <a:hueOff val="0"/>
                <a:satOff val="0"/>
                <a:lumOff val="0"/>
                <a:alphaOff val="0"/>
              </a:sysClr>
            </a:solidFill>
            <a:latin typeface="+mn-lt"/>
            <a:ea typeface="+mn-ea"/>
            <a:cs typeface="Arial" panose="020B0604020202020204" pitchFamily="34" charset="0"/>
          </a:endParaRPr>
        </a:p>
      </dsp:txBody>
      <dsp:txXfrm>
        <a:off x="2894225" y="1644384"/>
        <a:ext cx="2348568" cy="1013090"/>
      </dsp:txXfrm>
    </dsp:sp>
    <dsp:sp modelId="{533F8C1B-9870-4463-8CD4-70EDA6A5385C}">
      <dsp:nvSpPr>
        <dsp:cNvPr id="0" name=""/>
        <dsp:cNvSpPr/>
      </dsp:nvSpPr>
      <dsp:spPr>
        <a:xfrm>
          <a:off x="1922506" y="1941551"/>
          <a:ext cx="710778" cy="3553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pl-PL" sz="1000" kern="1200">
              <a:solidFill>
                <a:sysClr val="windowText" lastClr="000000">
                  <a:hueOff val="0"/>
                  <a:satOff val="0"/>
                  <a:lumOff val="0"/>
                  <a:alphaOff val="0"/>
                </a:sysClr>
              </a:solidFill>
              <a:latin typeface="+mn-lt"/>
              <a:ea typeface="+mn-ea"/>
              <a:cs typeface="Arial" panose="020B0604020202020204" pitchFamily="34" charset="0"/>
            </a:rPr>
            <a:t>Ochrona przyrody</a:t>
          </a:r>
          <a:endParaRPr lang="en-GB" sz="1000" kern="1200">
            <a:solidFill>
              <a:sysClr val="windowText" lastClr="000000">
                <a:hueOff val="0"/>
                <a:satOff val="0"/>
                <a:lumOff val="0"/>
                <a:alphaOff val="0"/>
              </a:sysClr>
            </a:solidFill>
            <a:latin typeface="+mn-lt"/>
            <a:ea typeface="+mn-ea"/>
            <a:cs typeface="Arial" panose="020B0604020202020204" pitchFamily="34" charset="0"/>
          </a:endParaRPr>
        </a:p>
      </dsp:txBody>
      <dsp:txXfrm>
        <a:off x="1922506" y="1941551"/>
        <a:ext cx="710778" cy="355304"/>
      </dsp:txXfrm>
    </dsp:sp>
  </dsp:spTree>
</dsp:drawing>
</file>

<file path=word/diagrams/layout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1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8/layout/PictureStrips">
  <dgm:title val=""/>
  <dgm:desc val=""/>
  <dgm:catLst>
    <dgm:cat type="list" pri="12500"/>
    <dgm:cat type="picture" pri="13000"/>
    <dgm:cat type="pictureconvert" pri="13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40" srcId="0" destId="10" srcOrd="0" destOrd="0"/>
        <dgm:cxn modelId="5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40" srcId="0" destId="10" srcOrd="0" destOrd="0"/>
        <dgm:cxn modelId="50" srcId="0" destId="20" srcOrd="1" destOrd="0"/>
        <dgm:cxn modelId="60" srcId="0" destId="30" srcOrd="2" destOrd="0"/>
        <dgm:cxn modelId="70" srcId="0" destId="40" srcOrd="2" destOrd="0"/>
      </dgm:cxnLst>
      <dgm:bg/>
      <dgm:whole/>
    </dgm:dataModel>
  </dgm:clrData>
  <dgm:layoutNode name="Name0">
    <dgm:varLst>
      <dgm:dir/>
      <dgm:resizeHandles val="exact"/>
    </dgm:varLst>
    <dgm:choose name="Name1">
      <dgm:if name="Name2" func="var" arg="dir" op="equ" val="norm">
        <dgm:alg type="snake">
          <dgm:param type="off" val="ctr"/>
        </dgm:alg>
      </dgm:if>
      <dgm:else name="Name3">
        <dgm:alg type="snake">
          <dgm:param type="off" val="ctr"/>
          <dgm:param type="grDir" val="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h" refFor="ch" refForName="composite" op="equ" fact="0.1"/>
      <dgm:constr type="h" for="ch" forName="sibTrans" refType="h" refFor="ch" refForName="composite" op="equ" fact="0.1"/>
      <dgm:constr type="w" for="ch" forName="sibTrans" refType="h" refFor="ch" refForName="sibTrans" op="equ"/>
    </dgm:constrLst>
    <dgm:forEach name="nodesForEach" axis="ch" ptType="node">
      <dgm:layoutNode name="composite">
        <dgm:alg type="composite">
          <dgm:param type="ar" val="3"/>
        </dgm:alg>
        <dgm:shape xmlns:r="http://schemas.openxmlformats.org/officeDocument/2006/relationships" r:blip="">
          <dgm:adjLst/>
        </dgm:shape>
        <dgm:choose name="Name4">
          <dgm:if name="Name5" func="var" arg="dir" op="equ" val="norm">
            <dgm:constrLst>
              <dgm:constr type="l" for="ch" forName="rect1" refType="w" fact="0.04"/>
              <dgm:constr type="t" for="ch" forName="rect1" refType="h" fact="0.13"/>
              <dgm:constr type="w" for="ch" forName="rect1" refType="w" fact="0.96"/>
              <dgm:constr type="h" for="ch" forName="rect1" refType="h" fact="0.9"/>
              <dgm:constr type="l" for="ch" forName="rect2" refType="w" fact="0"/>
              <dgm:constr type="t" for="ch" forName="rect2" refType="h" fact="0"/>
              <dgm:constr type="w" for="ch" forName="rect2" refType="w" fact="0.21"/>
              <dgm:constr type="h" for="ch" forName="rect2" refType="w" fact="0.315"/>
            </dgm:constrLst>
          </dgm:if>
          <dgm:else name="Name6">
            <dgm:constrLst>
              <dgm:constr type="l" for="ch" forName="rect1" refType="w" fact="0"/>
              <dgm:constr type="t" for="ch" forName="rect1" refType="h" fact="0.13"/>
              <dgm:constr type="w" for="ch" forName="rect1" refType="w" fact="0.96"/>
              <dgm:constr type="h" for="ch" forName="rect1" refType="h" fact="0.9"/>
              <dgm:constr type="l" for="ch" forName="rect2" refType="w" fact="0.79"/>
              <dgm:constr type="t" for="ch" forName="rect2" refType="h" fact="0"/>
              <dgm:constr type="w" for="ch" forName="rect2" refType="w" fact="0.21"/>
              <dgm:constr type="h" for="ch" forName="rect2" refType="w" fact="0.315"/>
            </dgm:constrLst>
          </dgm:else>
        </dgm:choose>
        <dgm:layoutNode name="rect1" styleLbl="trAlignAcc1">
          <dgm:varLst>
            <dgm:bulletEnabled val="1"/>
          </dgm:varLst>
          <dgm:alg type="tx">
            <dgm:param type="parTxLTRAlign" val="l"/>
          </dgm:alg>
          <dgm:shape xmlns:r="http://schemas.openxmlformats.org/officeDocument/2006/relationships" type="rect" r:blip="">
            <dgm:adjLst/>
          </dgm:shape>
          <dgm:presOf axis="desOrSelf" ptType="node"/>
          <dgm:choose name="Name7">
            <dgm:if name="Name8" func="var" arg="dir" op="equ" val="norm">
              <dgm:constrLst>
                <dgm:constr type="lMarg" refType="w" fact="0.6"/>
                <dgm:constr type="rMarg" refType="primFontSz" fact="0.3"/>
                <dgm:constr type="tMarg" refType="primFontSz" fact="0.3"/>
                <dgm:constr type="bMarg" refType="primFontSz" fact="0.3"/>
              </dgm:constrLst>
            </dgm:if>
            <dgm:else name="Name9">
              <dgm:constrLst>
                <dgm:constr type="lMarg" refType="primFontSz" fact="0.3"/>
                <dgm:constr type="rMarg" refType="w" fact="0.6"/>
                <dgm:constr type="tMarg" refType="primFontSz" fact="0.3"/>
                <dgm:constr type="bMarg" refType="primFontSz" fact="0.3"/>
              </dgm:constrLst>
            </dgm:else>
          </dgm:choose>
          <dgm:ruleLst>
            <dgm:rule type="primFontSz" val="5" fact="NaN" max="NaN"/>
          </dgm:ruleLst>
        </dgm:layoutNode>
        <dgm:layoutNode name="rect2" styleLbl="fgImgPlac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0.04465</cdr:x>
      <cdr:y>0.48966</cdr:y>
    </cdr:from>
    <cdr:to>
      <cdr:x>0.49019</cdr:x>
      <cdr:y>0.97021</cdr:y>
    </cdr:to>
    <cdr:sp macro="" textlink="">
      <cdr:nvSpPr>
        <cdr:cNvPr id="2" name="Pole tekstowe 2"/>
        <cdr:cNvSpPr txBox="1">
          <a:spLocks xmlns:a="http://schemas.openxmlformats.org/drawingml/2006/main" noChangeArrowheads="1"/>
        </cdr:cNvSpPr>
      </cdr:nvSpPr>
      <cdr:spPr bwMode="auto">
        <a:xfrm xmlns:a="http://schemas.openxmlformats.org/drawingml/2006/main">
          <a:off x="257318" y="2028825"/>
          <a:ext cx="2567464" cy="1991130"/>
        </a:xfrm>
        <a:prstGeom xmlns:a="http://schemas.openxmlformats.org/drawingml/2006/main" prst="rect">
          <a:avLst/>
        </a:prstGeom>
        <a:solidFill xmlns:a="http://schemas.openxmlformats.org/drawingml/2006/main">
          <a:srgbClr val="FFFFFF"/>
        </a:solidFill>
        <a:ln xmlns:a="http://schemas.openxmlformats.org/drawingml/2006/main" w="9525">
          <a:solidFill>
            <a:schemeClr val="accent3">
              <a:lumMod val="75000"/>
            </a:schemeClr>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marL="90170" indent="-90170" algn="l">
            <a:lnSpc>
              <a:spcPct val="80000"/>
            </a:lnSpc>
            <a:spcAft>
              <a:spcPts val="0"/>
            </a:spcAft>
          </a:pPr>
          <a:r>
            <a:rPr lang="pl-PL" sz="900">
              <a:solidFill>
                <a:srgbClr val="000000"/>
              </a:solidFill>
              <a:effectLst/>
              <a:latin typeface="Calibri"/>
              <a:ea typeface="Calibri"/>
              <a:cs typeface="Times New Roman"/>
            </a:rPr>
            <a:t>Sekcja A – Rolnictwo, leśnictwo, łowiectwo i rybactwo</a:t>
          </a:r>
          <a:endParaRPr lang="en-GB" sz="1100">
            <a:solidFill>
              <a:srgbClr val="000000"/>
            </a:solidFill>
            <a:effectLst/>
            <a:latin typeface="Calibri"/>
            <a:ea typeface="Calibri"/>
            <a:cs typeface="Times New Roman"/>
          </a:endParaRPr>
        </a:p>
        <a:p xmlns:a="http://schemas.openxmlformats.org/drawingml/2006/main">
          <a:pPr marL="90170" indent="-90170" algn="l">
            <a:lnSpc>
              <a:spcPct val="80000"/>
            </a:lnSpc>
            <a:spcAft>
              <a:spcPts val="0"/>
            </a:spcAft>
          </a:pPr>
          <a:r>
            <a:rPr lang="pl-PL" sz="900">
              <a:solidFill>
                <a:srgbClr val="000000"/>
              </a:solidFill>
              <a:effectLst/>
              <a:latin typeface="Calibri"/>
              <a:ea typeface="Calibri"/>
              <a:cs typeface="Times New Roman"/>
            </a:rPr>
            <a:t>Sekcja B – Górnictwo i wydobywanie</a:t>
          </a:r>
          <a:endParaRPr lang="en-GB" sz="1100">
            <a:solidFill>
              <a:srgbClr val="000000"/>
            </a:solidFill>
            <a:effectLst/>
            <a:latin typeface="Calibri"/>
            <a:ea typeface="Calibri"/>
            <a:cs typeface="Times New Roman"/>
          </a:endParaRPr>
        </a:p>
        <a:p xmlns:a="http://schemas.openxmlformats.org/drawingml/2006/main">
          <a:pPr marL="90170" indent="-90170" algn="l">
            <a:lnSpc>
              <a:spcPct val="80000"/>
            </a:lnSpc>
            <a:spcAft>
              <a:spcPts val="0"/>
            </a:spcAft>
          </a:pPr>
          <a:r>
            <a:rPr lang="pl-PL" sz="900">
              <a:solidFill>
                <a:srgbClr val="000000"/>
              </a:solidFill>
              <a:effectLst/>
              <a:latin typeface="Calibri"/>
              <a:ea typeface="Calibri"/>
              <a:cs typeface="Times New Roman"/>
            </a:rPr>
            <a:t>Sekcja C – Przetwórstwo przemysłowe</a:t>
          </a:r>
          <a:endParaRPr lang="en-GB" sz="1100">
            <a:solidFill>
              <a:srgbClr val="000000"/>
            </a:solidFill>
            <a:effectLst/>
            <a:latin typeface="Calibri"/>
            <a:ea typeface="Calibri"/>
            <a:cs typeface="Times New Roman"/>
          </a:endParaRPr>
        </a:p>
        <a:p xmlns:a="http://schemas.openxmlformats.org/drawingml/2006/main">
          <a:pPr marL="90170" indent="-90170" algn="l">
            <a:lnSpc>
              <a:spcPct val="80000"/>
            </a:lnSpc>
            <a:spcAft>
              <a:spcPts val="0"/>
            </a:spcAft>
          </a:pPr>
          <a:r>
            <a:rPr lang="pl-PL" sz="900">
              <a:solidFill>
                <a:srgbClr val="000000"/>
              </a:solidFill>
              <a:effectLst/>
              <a:latin typeface="Calibri"/>
              <a:ea typeface="Calibri"/>
              <a:cs typeface="Times New Roman"/>
            </a:rPr>
            <a:t>Sekcja D – Wytwarzanie i zaopatrywanie w energię elektryczną, gaz, parę wodną, gorącą wodę i powietrze do układów klimatyzacyjnych</a:t>
          </a:r>
          <a:endParaRPr lang="en-GB" sz="1100">
            <a:solidFill>
              <a:srgbClr val="000000"/>
            </a:solidFill>
            <a:effectLst/>
            <a:latin typeface="Calibri"/>
            <a:ea typeface="Calibri"/>
            <a:cs typeface="Times New Roman"/>
          </a:endParaRPr>
        </a:p>
        <a:p xmlns:a="http://schemas.openxmlformats.org/drawingml/2006/main">
          <a:pPr marL="90170" indent="-90170" algn="l">
            <a:lnSpc>
              <a:spcPct val="80000"/>
            </a:lnSpc>
            <a:spcAft>
              <a:spcPts val="0"/>
            </a:spcAft>
          </a:pPr>
          <a:r>
            <a:rPr lang="pl-PL" sz="900">
              <a:solidFill>
                <a:srgbClr val="000000"/>
              </a:solidFill>
              <a:effectLst/>
              <a:latin typeface="Calibri"/>
              <a:ea typeface="Calibri"/>
              <a:cs typeface="Times New Roman"/>
            </a:rPr>
            <a:t>Sekcja E – Dostawa wody; gospodarowanie ściekami i odpadami oraz działalność związana z rekultywacją</a:t>
          </a:r>
          <a:endParaRPr lang="en-GB" sz="1100">
            <a:solidFill>
              <a:srgbClr val="000000"/>
            </a:solidFill>
            <a:effectLst/>
            <a:latin typeface="Calibri"/>
            <a:ea typeface="Calibri"/>
            <a:cs typeface="Times New Roman"/>
          </a:endParaRPr>
        </a:p>
        <a:p xmlns:a="http://schemas.openxmlformats.org/drawingml/2006/main">
          <a:pPr marL="90170" indent="-90170" algn="l">
            <a:lnSpc>
              <a:spcPct val="80000"/>
            </a:lnSpc>
            <a:spcAft>
              <a:spcPts val="0"/>
            </a:spcAft>
          </a:pPr>
          <a:r>
            <a:rPr lang="pl-PL" sz="900">
              <a:solidFill>
                <a:srgbClr val="000000"/>
              </a:solidFill>
              <a:effectLst/>
              <a:latin typeface="Calibri"/>
              <a:ea typeface="Calibri"/>
              <a:cs typeface="Times New Roman"/>
            </a:rPr>
            <a:t>Sekcja F – Budownictwo</a:t>
          </a:r>
          <a:endParaRPr lang="en-GB" sz="1100">
            <a:solidFill>
              <a:srgbClr val="000000"/>
            </a:solidFill>
            <a:effectLst/>
            <a:latin typeface="Calibri"/>
            <a:ea typeface="Calibri"/>
            <a:cs typeface="Times New Roman"/>
          </a:endParaRPr>
        </a:p>
        <a:p xmlns:a="http://schemas.openxmlformats.org/drawingml/2006/main">
          <a:pPr marL="90170" indent="-90170" algn="l">
            <a:lnSpc>
              <a:spcPct val="80000"/>
            </a:lnSpc>
            <a:spcAft>
              <a:spcPts val="0"/>
            </a:spcAft>
          </a:pPr>
          <a:r>
            <a:rPr lang="pl-PL" sz="900">
              <a:solidFill>
                <a:srgbClr val="000000"/>
              </a:solidFill>
              <a:effectLst/>
              <a:latin typeface="Calibri"/>
              <a:ea typeface="Calibri"/>
              <a:cs typeface="Times New Roman"/>
            </a:rPr>
            <a:t>Sekcja G – Handel hurtowy i detaliczny; naprawa pojazdów samochodowych, włączając motocykle</a:t>
          </a:r>
          <a:endParaRPr lang="en-GB" sz="1100">
            <a:solidFill>
              <a:srgbClr val="000000"/>
            </a:solidFill>
            <a:effectLst/>
            <a:latin typeface="Calibri"/>
            <a:ea typeface="Calibri"/>
            <a:cs typeface="Times New Roman"/>
          </a:endParaRPr>
        </a:p>
        <a:p xmlns:a="http://schemas.openxmlformats.org/drawingml/2006/main">
          <a:pPr marL="90170" indent="-90170" algn="l">
            <a:lnSpc>
              <a:spcPct val="80000"/>
            </a:lnSpc>
            <a:spcAft>
              <a:spcPts val="0"/>
            </a:spcAft>
          </a:pPr>
          <a:r>
            <a:rPr lang="pl-PL" sz="900">
              <a:solidFill>
                <a:srgbClr val="000000"/>
              </a:solidFill>
              <a:effectLst/>
              <a:latin typeface="Calibri"/>
              <a:ea typeface="Calibri"/>
              <a:cs typeface="Times New Roman"/>
            </a:rPr>
            <a:t>Sekcja H – Transport i gospodarka magazynowa</a:t>
          </a:r>
          <a:endParaRPr lang="en-GB" sz="1100">
            <a:solidFill>
              <a:srgbClr val="000000"/>
            </a:solidFill>
            <a:effectLst/>
            <a:latin typeface="Calibri"/>
            <a:ea typeface="Calibri"/>
            <a:cs typeface="Times New Roman"/>
          </a:endParaRPr>
        </a:p>
        <a:p xmlns:a="http://schemas.openxmlformats.org/drawingml/2006/main">
          <a:pPr marL="90170" indent="-90170" algn="l">
            <a:lnSpc>
              <a:spcPct val="80000"/>
            </a:lnSpc>
            <a:spcAft>
              <a:spcPts val="0"/>
            </a:spcAft>
          </a:pPr>
          <a:r>
            <a:rPr lang="pl-PL" sz="900">
              <a:solidFill>
                <a:srgbClr val="000000"/>
              </a:solidFill>
              <a:effectLst/>
              <a:latin typeface="Calibri"/>
              <a:ea typeface="Calibri"/>
              <a:cs typeface="Times New Roman"/>
            </a:rPr>
            <a:t>Sekcja I – Działalność związana z zakwaterowaniem i usługami gastronomicznymi</a:t>
          </a:r>
          <a:endParaRPr lang="en-GB" sz="1100">
            <a:solidFill>
              <a:srgbClr val="000000"/>
            </a:solidFill>
            <a:effectLst/>
            <a:latin typeface="Calibri"/>
            <a:ea typeface="Calibri"/>
            <a:cs typeface="Times New Roman"/>
          </a:endParaRPr>
        </a:p>
        <a:p xmlns:a="http://schemas.openxmlformats.org/drawingml/2006/main">
          <a:pPr marL="90170" indent="-90170" algn="l">
            <a:lnSpc>
              <a:spcPct val="80000"/>
            </a:lnSpc>
            <a:spcAft>
              <a:spcPts val="0"/>
            </a:spcAft>
          </a:pPr>
          <a:r>
            <a:rPr lang="pl-PL" sz="900">
              <a:solidFill>
                <a:srgbClr val="000000"/>
              </a:solidFill>
              <a:effectLst/>
              <a:latin typeface="Calibri"/>
              <a:ea typeface="Calibri"/>
              <a:cs typeface="Times New Roman"/>
            </a:rPr>
            <a:t>Sekcja J – Informacja i komunikacja</a:t>
          </a:r>
          <a:endParaRPr lang="en-GB" sz="1100">
            <a:solidFill>
              <a:srgbClr val="000000"/>
            </a:solidFill>
            <a:effectLst/>
            <a:latin typeface="Calibri"/>
            <a:ea typeface="Calibri"/>
            <a:cs typeface="Times New Roman"/>
          </a:endParaRPr>
        </a:p>
      </cdr:txBody>
    </cdr:sp>
  </cdr:relSizeAnchor>
  <cdr:relSizeAnchor xmlns:cdr="http://schemas.openxmlformats.org/drawingml/2006/chartDrawing">
    <cdr:from>
      <cdr:x>0.50873</cdr:x>
      <cdr:y>0.48736</cdr:y>
    </cdr:from>
    <cdr:to>
      <cdr:x>0.98512</cdr:x>
      <cdr:y>0.97872</cdr:y>
    </cdr:to>
    <cdr:sp macro="" textlink="">
      <cdr:nvSpPr>
        <cdr:cNvPr id="3" name="Pole tekstowe 2"/>
        <cdr:cNvSpPr txBox="1">
          <a:spLocks xmlns:a="http://schemas.openxmlformats.org/drawingml/2006/main" noChangeArrowheads="1"/>
        </cdr:cNvSpPr>
      </cdr:nvSpPr>
      <cdr:spPr bwMode="auto">
        <a:xfrm xmlns:a="http://schemas.openxmlformats.org/drawingml/2006/main">
          <a:off x="2931642" y="2019301"/>
          <a:ext cx="2745257" cy="2035918"/>
        </a:xfrm>
        <a:prstGeom xmlns:a="http://schemas.openxmlformats.org/drawingml/2006/main" prst="rect">
          <a:avLst/>
        </a:prstGeom>
        <a:solidFill xmlns:a="http://schemas.openxmlformats.org/drawingml/2006/main">
          <a:srgbClr val="FFFFFF"/>
        </a:solidFill>
        <a:ln xmlns:a="http://schemas.openxmlformats.org/drawingml/2006/main" w="9525">
          <a:solidFill>
            <a:schemeClr val="accent3">
              <a:lumMod val="75000"/>
            </a:schemeClr>
          </a:solid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marL="90170" indent="-90170" algn="l">
            <a:lnSpc>
              <a:spcPct val="80000"/>
            </a:lnSpc>
            <a:spcAft>
              <a:spcPts val="0"/>
            </a:spcAft>
          </a:pPr>
          <a:r>
            <a:rPr lang="pl-PL" sz="900">
              <a:solidFill>
                <a:srgbClr val="000000"/>
              </a:solidFill>
              <a:effectLst/>
              <a:latin typeface="Calibri"/>
              <a:ea typeface="Calibri"/>
              <a:cs typeface="Times New Roman"/>
            </a:rPr>
            <a:t>Sekcja K – Działalność finansowa i ubezpieczeniowa</a:t>
          </a:r>
          <a:endParaRPr lang="en-GB" sz="1100">
            <a:solidFill>
              <a:srgbClr val="000000"/>
            </a:solidFill>
            <a:effectLst/>
            <a:latin typeface="Calibri"/>
            <a:ea typeface="Calibri"/>
            <a:cs typeface="Times New Roman"/>
          </a:endParaRPr>
        </a:p>
        <a:p xmlns:a="http://schemas.openxmlformats.org/drawingml/2006/main">
          <a:pPr marL="90170" indent="-90170" algn="l">
            <a:lnSpc>
              <a:spcPct val="80000"/>
            </a:lnSpc>
            <a:spcAft>
              <a:spcPts val="0"/>
            </a:spcAft>
          </a:pPr>
          <a:r>
            <a:rPr lang="pl-PL" sz="900">
              <a:solidFill>
                <a:srgbClr val="000000"/>
              </a:solidFill>
              <a:effectLst/>
              <a:latin typeface="Calibri"/>
              <a:ea typeface="Calibri"/>
              <a:cs typeface="Times New Roman"/>
            </a:rPr>
            <a:t>Sekcja L – Działalność związana z obsługą rynku nieruchomości</a:t>
          </a:r>
          <a:endParaRPr lang="en-GB" sz="1100">
            <a:solidFill>
              <a:srgbClr val="000000"/>
            </a:solidFill>
            <a:effectLst/>
            <a:latin typeface="Calibri"/>
            <a:ea typeface="Calibri"/>
            <a:cs typeface="Times New Roman"/>
          </a:endParaRPr>
        </a:p>
        <a:p xmlns:a="http://schemas.openxmlformats.org/drawingml/2006/main">
          <a:pPr marL="90170" indent="-90170" algn="l">
            <a:lnSpc>
              <a:spcPct val="80000"/>
            </a:lnSpc>
            <a:spcAft>
              <a:spcPts val="0"/>
            </a:spcAft>
          </a:pPr>
          <a:r>
            <a:rPr lang="pl-PL" sz="900">
              <a:solidFill>
                <a:srgbClr val="000000"/>
              </a:solidFill>
              <a:effectLst/>
              <a:latin typeface="Calibri"/>
              <a:ea typeface="Calibri"/>
              <a:cs typeface="Times New Roman"/>
            </a:rPr>
            <a:t>Sekcja M – Działalność profesjonalna, naukowa i techniczna</a:t>
          </a:r>
          <a:endParaRPr lang="en-GB" sz="1100">
            <a:solidFill>
              <a:srgbClr val="000000"/>
            </a:solidFill>
            <a:effectLst/>
            <a:latin typeface="Calibri"/>
            <a:ea typeface="Calibri"/>
            <a:cs typeface="Times New Roman"/>
          </a:endParaRPr>
        </a:p>
        <a:p xmlns:a="http://schemas.openxmlformats.org/drawingml/2006/main">
          <a:pPr marL="90170" indent="-90170" algn="l">
            <a:lnSpc>
              <a:spcPct val="80000"/>
            </a:lnSpc>
            <a:spcAft>
              <a:spcPts val="0"/>
            </a:spcAft>
          </a:pPr>
          <a:r>
            <a:rPr lang="pl-PL" sz="900">
              <a:solidFill>
                <a:srgbClr val="000000"/>
              </a:solidFill>
              <a:effectLst/>
              <a:latin typeface="Calibri"/>
              <a:ea typeface="Calibri"/>
              <a:cs typeface="Times New Roman"/>
            </a:rPr>
            <a:t>Sekcja N – Działalność w zakresie usług administrowania i działalność wspierająca</a:t>
          </a:r>
          <a:endParaRPr lang="en-GB" sz="1100">
            <a:solidFill>
              <a:srgbClr val="000000"/>
            </a:solidFill>
            <a:effectLst/>
            <a:latin typeface="Calibri"/>
            <a:ea typeface="Calibri"/>
            <a:cs typeface="Times New Roman"/>
          </a:endParaRPr>
        </a:p>
        <a:p xmlns:a="http://schemas.openxmlformats.org/drawingml/2006/main">
          <a:pPr marL="90170" indent="-90170" algn="l">
            <a:lnSpc>
              <a:spcPct val="80000"/>
            </a:lnSpc>
            <a:spcAft>
              <a:spcPts val="0"/>
            </a:spcAft>
          </a:pPr>
          <a:r>
            <a:rPr lang="pl-PL" sz="900">
              <a:solidFill>
                <a:srgbClr val="000000"/>
              </a:solidFill>
              <a:effectLst/>
              <a:latin typeface="Calibri"/>
              <a:ea typeface="Calibri"/>
              <a:cs typeface="Times New Roman"/>
            </a:rPr>
            <a:t>Sekcja O – Administracja publiczna i obrona narodowa; obowiązkowe zabezpieczenia społeczne</a:t>
          </a:r>
          <a:endParaRPr lang="en-GB" sz="1100">
            <a:solidFill>
              <a:srgbClr val="000000"/>
            </a:solidFill>
            <a:effectLst/>
            <a:latin typeface="Calibri"/>
            <a:ea typeface="Calibri"/>
            <a:cs typeface="Times New Roman"/>
          </a:endParaRPr>
        </a:p>
        <a:p xmlns:a="http://schemas.openxmlformats.org/drawingml/2006/main">
          <a:pPr marL="90170" indent="-90170" algn="l">
            <a:lnSpc>
              <a:spcPct val="80000"/>
            </a:lnSpc>
            <a:spcAft>
              <a:spcPts val="0"/>
            </a:spcAft>
          </a:pPr>
          <a:r>
            <a:rPr lang="pl-PL" sz="900">
              <a:solidFill>
                <a:srgbClr val="000000"/>
              </a:solidFill>
              <a:effectLst/>
              <a:latin typeface="Calibri"/>
              <a:ea typeface="Calibri"/>
              <a:cs typeface="Times New Roman"/>
            </a:rPr>
            <a:t>Sekcja P – Edukacja</a:t>
          </a:r>
          <a:endParaRPr lang="en-GB" sz="1100">
            <a:solidFill>
              <a:srgbClr val="000000"/>
            </a:solidFill>
            <a:effectLst/>
            <a:latin typeface="Calibri"/>
            <a:ea typeface="Calibri"/>
            <a:cs typeface="Times New Roman"/>
          </a:endParaRPr>
        </a:p>
        <a:p xmlns:a="http://schemas.openxmlformats.org/drawingml/2006/main">
          <a:pPr marL="90170" indent="-90170" algn="l">
            <a:lnSpc>
              <a:spcPct val="80000"/>
            </a:lnSpc>
            <a:spcAft>
              <a:spcPts val="0"/>
            </a:spcAft>
          </a:pPr>
          <a:r>
            <a:rPr lang="pl-PL" sz="900">
              <a:solidFill>
                <a:srgbClr val="000000"/>
              </a:solidFill>
              <a:effectLst/>
              <a:latin typeface="Calibri"/>
              <a:ea typeface="Calibri"/>
              <a:cs typeface="Times New Roman"/>
            </a:rPr>
            <a:t>Sekcja Q – Opieka zdrowotna i pomoc społeczna</a:t>
          </a:r>
          <a:endParaRPr lang="en-GB" sz="1100">
            <a:solidFill>
              <a:srgbClr val="000000"/>
            </a:solidFill>
            <a:effectLst/>
            <a:latin typeface="Calibri"/>
            <a:ea typeface="Calibri"/>
            <a:cs typeface="Times New Roman"/>
          </a:endParaRPr>
        </a:p>
        <a:p xmlns:a="http://schemas.openxmlformats.org/drawingml/2006/main">
          <a:pPr marL="90170" indent="-90170" algn="l">
            <a:lnSpc>
              <a:spcPct val="80000"/>
            </a:lnSpc>
            <a:spcAft>
              <a:spcPts val="0"/>
            </a:spcAft>
          </a:pPr>
          <a:r>
            <a:rPr lang="pl-PL" sz="900">
              <a:solidFill>
                <a:srgbClr val="000000"/>
              </a:solidFill>
              <a:effectLst/>
              <a:latin typeface="Calibri"/>
              <a:ea typeface="Calibri"/>
              <a:cs typeface="Times New Roman"/>
            </a:rPr>
            <a:t>Sekcja R – Działalność związana z kulturą, rozrywką i rekreacją</a:t>
          </a:r>
          <a:endParaRPr lang="en-GB" sz="1100">
            <a:solidFill>
              <a:srgbClr val="000000"/>
            </a:solidFill>
            <a:effectLst/>
            <a:latin typeface="Calibri"/>
            <a:ea typeface="Calibri"/>
            <a:cs typeface="Times New Roman"/>
          </a:endParaRPr>
        </a:p>
        <a:p xmlns:a="http://schemas.openxmlformats.org/drawingml/2006/main">
          <a:pPr marL="90170" indent="-90170" algn="l">
            <a:lnSpc>
              <a:spcPct val="80000"/>
            </a:lnSpc>
            <a:spcAft>
              <a:spcPts val="0"/>
            </a:spcAft>
          </a:pPr>
          <a:r>
            <a:rPr lang="pl-PL" sz="900">
              <a:solidFill>
                <a:srgbClr val="000000"/>
              </a:solidFill>
              <a:effectLst/>
              <a:latin typeface="Calibri"/>
              <a:ea typeface="Calibri"/>
              <a:cs typeface="Times New Roman"/>
            </a:rPr>
            <a:t>Sekcja S – Pozostała działalność usługowa, </a:t>
          </a:r>
          <a:endParaRPr lang="en-GB" sz="1100">
            <a:solidFill>
              <a:srgbClr val="000000"/>
            </a:solidFill>
            <a:effectLst/>
            <a:latin typeface="Calibri"/>
            <a:ea typeface="Calibri"/>
            <a:cs typeface="Times New Roman"/>
          </a:endParaRPr>
        </a:p>
        <a:p xmlns:a="http://schemas.openxmlformats.org/drawingml/2006/main">
          <a:pPr marL="90170" indent="-90170" algn="l">
            <a:lnSpc>
              <a:spcPct val="80000"/>
            </a:lnSpc>
            <a:spcAft>
              <a:spcPts val="0"/>
            </a:spcAft>
          </a:pPr>
          <a:r>
            <a:rPr lang="pl-PL" sz="900">
              <a:solidFill>
                <a:srgbClr val="000000"/>
              </a:solidFill>
              <a:effectLst/>
              <a:latin typeface="Calibri"/>
              <a:ea typeface="Calibri"/>
              <a:cs typeface="Times New Roman"/>
            </a:rPr>
            <a:t>Sekcja T – Gospodarstwa domowe zatrudniające pracowników; gospodarstwa domowe produkujące wyroby i świadczące usługi na własne potrzeby</a:t>
          </a:r>
          <a:endParaRPr lang="en-GB" sz="1100">
            <a:solidFill>
              <a:srgbClr val="000000"/>
            </a:solidFill>
            <a:effectLst/>
            <a:latin typeface="Calibri"/>
            <a:ea typeface="Calibri"/>
            <a:cs typeface="Times New Roman"/>
          </a:endParaRPr>
        </a:p>
      </cdr:txBody>
    </cdr:sp>
  </cdr:relSizeAnchor>
</c:userShapes>
</file>

<file path=word/theme/theme1.xml><?xml version="1.0" encoding="utf-8"?>
<a:theme xmlns:a="http://schemas.openxmlformats.org/drawingml/2006/main" name="Motyw pakietu Office">
  <a:themeElements>
    <a:clrScheme name="MPA">
      <a:dk1>
        <a:sysClr val="windowText" lastClr="000000"/>
      </a:dk1>
      <a:lt1>
        <a:sysClr val="window" lastClr="FFFFFF"/>
      </a:lt1>
      <a:dk2>
        <a:srgbClr val="455B14"/>
      </a:dk2>
      <a:lt2>
        <a:srgbClr val="FBFFE9"/>
      </a:lt2>
      <a:accent1>
        <a:srgbClr val="638A29"/>
      </a:accent1>
      <a:accent2>
        <a:srgbClr val="BCC167"/>
      </a:accent2>
      <a:accent3>
        <a:srgbClr val="9DA321"/>
      </a:accent3>
      <a:accent4>
        <a:srgbClr val="E6E6E6"/>
      </a:accent4>
      <a:accent5>
        <a:srgbClr val="D7E3BC"/>
      </a:accent5>
      <a:accent6>
        <a:srgbClr val="C3D69B"/>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Pakiet 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2007–2010">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2007–2010">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Nar</b:Tag>
    <b:SourceType>Report</b:SourceType>
    <b:Guid>{B2476EA7-01A7-41EE-ADAC-28C99A143004}</b:Guid>
    <b:Author>
      <b:Author>
        <b:Corporate>Narodowy Fundusz Ochrony Środowiska i Gospodarki Wodnej</b:Corporate>
      </b:Author>
    </b:Author>
    <b:Title>Retencja wodna i jej znaczenie</b:Title>
    <b:Publisher>http://www.malaretencja.pl/</b:Publisher>
    <b:RefOrder>15</b:RefOrder>
  </b:Source>
  <b:Source>
    <b:Tag>Nar1</b:Tag>
    <b:SourceType>Report</b:SourceType>
    <b:Guid>{E42A201E-82BB-4A3A-AC20-A600B09F4DA1}</b:Guid>
    <b:Author>
      <b:Author>
        <b:Corporate>Narodowy Fundusz Ochrony Środowiska i Gospodarki Wodnej</b:Corporate>
      </b:Author>
    </b:Author>
    <b:Title>Retencja wodna i jej znaczenie cz. 2</b:Title>
    <b:Publisher>http://www.malaretencja.pl/</b:Publisher>
    <b:RefOrder>16</b:RefOrder>
  </b:Source>
</b:Sources>
</file>

<file path=customXml/itemProps1.xml><?xml version="1.0" encoding="utf-8"?>
<ds:datastoreItem xmlns:ds="http://schemas.openxmlformats.org/officeDocument/2006/customXml" ds:itemID="{762AEF3E-E45D-45A4-A678-7B888DBB6A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176</TotalTime>
  <Pages>1</Pages>
  <Words>45049</Words>
  <Characters>270297</Characters>
  <Application>Microsoft Office Word</Application>
  <DocSecurity>0</DocSecurity>
  <Lines>2252</Lines>
  <Paragraphs>629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314717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Karolina</dc:creator>
  <cp:lastModifiedBy>Oliwia Safin</cp:lastModifiedBy>
  <cp:revision>11</cp:revision>
  <cp:lastPrinted>2024-10-03T09:26:00Z</cp:lastPrinted>
  <dcterms:created xsi:type="dcterms:W3CDTF">2024-10-03T06:07:00Z</dcterms:created>
  <dcterms:modified xsi:type="dcterms:W3CDTF">2024-10-03T09:39:00Z</dcterms:modified>
</cp:coreProperties>
</file>